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3EB8C6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759A" w:rsidP="0010095E" w14:paraId="44AA6B56" w14:textId="77777777">
            <w:pPr>
              <w:pStyle w:val="EPName"/>
            </w:pPr>
            <w:r w:rsidRPr="00CD759A">
              <w:t>Parlament Europejski</w:t>
            </w:r>
          </w:p>
          <w:p w:rsidR="00751A4A" w:rsidRPr="00CD759A" w:rsidP="005F1B17" w14:paraId="58E4953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59A">
              <w:t>2024</w:t>
            </w:r>
            <w:r w:rsidRPr="00CD759A" w:rsidR="00817416">
              <w:t>-202</w:t>
            </w:r>
            <w:r w:rsidRPr="00CD75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759A" w:rsidP="0010095E" w14:paraId="543C2F33" w14:textId="77777777">
            <w:pPr>
              <w:pStyle w:val="EPLogo"/>
            </w:pPr>
            <w:r w:rsidRPr="00CD759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759A" w:rsidP="004C5D52" w14:paraId="1E76DD5C" w14:textId="77777777">
      <w:pPr>
        <w:pStyle w:val="LineTop"/>
      </w:pPr>
    </w:p>
    <w:p w:rsidR="00680577" w:rsidRPr="00CD759A" w:rsidP="00680577" w14:paraId="5116C8E5" w14:textId="77777777">
      <w:pPr>
        <w:pStyle w:val="EPBodyTA1"/>
      </w:pPr>
      <w:r w:rsidRPr="00CD759A">
        <w:t>TEKSTY PRZYJĘTE</w:t>
      </w:r>
    </w:p>
    <w:p w:rsidR="00D058B8" w:rsidRPr="00CD759A" w:rsidP="00D058B8" w14:paraId="7225D50D" w14:textId="77777777">
      <w:pPr>
        <w:pStyle w:val="LineBottom"/>
      </w:pPr>
    </w:p>
    <w:p w:rsidR="00937FDA" w:rsidRPr="00CD759A" w:rsidP="00937FDA" w14:paraId="306B4816" w14:textId="2F25F7BB">
      <w:pPr>
        <w:pStyle w:val="ATHeading1"/>
      </w:pPr>
      <w:bookmarkStart w:id="0" w:name="TANumber"/>
      <w:r w:rsidRPr="00CD759A">
        <w:t>P10_TA(2026)0</w:t>
      </w:r>
      <w:bookmarkEnd w:id="0"/>
      <w:r w:rsidR="000B4D32">
        <w:t>219</w:t>
      </w:r>
    </w:p>
    <w:p w:rsidR="00937FDA" w:rsidRPr="00CD759A" w:rsidP="00937FDA" w14:paraId="1EB95148" w14:textId="77777777">
      <w:pPr>
        <w:pStyle w:val="ATHeading2"/>
      </w:pPr>
      <w:bookmarkStart w:id="1" w:name="title"/>
      <w:r w:rsidRPr="00CD759A">
        <w:t>Sprawozdanie Komisji dotyczące Bośni i Hercegowiny – 2025 r.</w:t>
      </w:r>
      <w:bookmarkEnd w:id="1"/>
    </w:p>
    <w:p w:rsidR="00937FDA" w:rsidRPr="00CD759A" w:rsidP="00937FDA" w14:paraId="466FF01A" w14:textId="77777777">
      <w:pPr>
        <w:rPr>
          <w:i/>
          <w:vanish/>
        </w:rPr>
      </w:pPr>
      <w:r>
        <w:rPr>
          <w:i/>
        </w:rPr>
        <w:fldChar w:fldCharType="begin"/>
      </w:r>
      <w:r w:rsidRPr="00CD759A">
        <w:rPr>
          <w:i/>
        </w:rPr>
        <w:instrText xml:space="preserve"> TC"(</w:instrText>
      </w:r>
      <w:bookmarkStart w:id="2" w:name="DocNumber"/>
      <w:r w:rsidRPr="00CD759A">
        <w:rPr>
          <w:i/>
        </w:rPr>
        <w:instrText>A10-0165/2026</w:instrText>
      </w:r>
      <w:bookmarkEnd w:id="2"/>
      <w:r w:rsidRPr="00CD759A">
        <w:rPr>
          <w:i/>
        </w:rPr>
        <w:instrText xml:space="preserve"> - Sprawozdawca: Ondřej Kolář)"\l3 \n&gt; \* MERGEFORMAT </w:instrText>
      </w:r>
      <w:r>
        <w:rPr>
          <w:i/>
        </w:rPr>
        <w:fldChar w:fldCharType="end"/>
      </w:r>
    </w:p>
    <w:p w:rsidR="00937FDA" w:rsidRPr="00CD759A" w:rsidP="00937FDA" w14:paraId="4F5AF115" w14:textId="77777777">
      <w:pPr>
        <w:rPr>
          <w:vanish/>
        </w:rPr>
      </w:pPr>
      <w:bookmarkStart w:id="3" w:name="Commission"/>
      <w:r w:rsidRPr="00CD759A">
        <w:rPr>
          <w:vanish/>
        </w:rPr>
        <w:t>Komisja Spraw Zagranicznych</w:t>
      </w:r>
      <w:bookmarkEnd w:id="3"/>
    </w:p>
    <w:p w:rsidR="00937FDA" w:rsidRPr="00CD759A" w:rsidP="00937FDA" w14:paraId="6EDF9216" w14:textId="77777777">
      <w:pPr>
        <w:rPr>
          <w:vanish/>
        </w:rPr>
      </w:pPr>
      <w:bookmarkStart w:id="4" w:name="PE"/>
      <w:r w:rsidRPr="00CD759A">
        <w:rPr>
          <w:vanish/>
        </w:rPr>
        <w:t>PE785.353</w:t>
      </w:r>
      <w:bookmarkEnd w:id="4"/>
    </w:p>
    <w:p w:rsidR="00937FDA" w:rsidRPr="00CD759A" w:rsidP="00937FDA" w14:paraId="11F43F92" w14:textId="2B9030F4">
      <w:pPr>
        <w:pStyle w:val="ATHeading3"/>
      </w:pPr>
      <w:bookmarkStart w:id="5" w:name="Sujet"/>
      <w:r w:rsidRPr="00CD759A">
        <w:t xml:space="preserve">Rezolucja Parlamentu Europejskiego z dnia </w:t>
      </w:r>
      <w:r w:rsidR="009F2848">
        <w:t>17 czerwca</w:t>
      </w:r>
      <w:r w:rsidRPr="00CD759A">
        <w:t xml:space="preserve"> 2026 r. w sprawie sprawozdania Komisji dotyczącego Bośni i Hercegowiny – 2025 r.</w:t>
      </w:r>
      <w:bookmarkEnd w:id="5"/>
      <w:r w:rsidRPr="00CD759A">
        <w:t xml:space="preserve"> </w:t>
      </w:r>
      <w:bookmarkStart w:id="6" w:name="References"/>
      <w:r w:rsidRPr="00CD759A">
        <w:t>(2025/2251(INI))</w:t>
      </w:r>
      <w:bookmarkEnd w:id="6"/>
    </w:p>
    <w:p w:rsidR="00390AA9" w:rsidRPr="00CD759A" w:rsidP="00390AA9" w14:paraId="16F97E7D" w14:textId="77777777">
      <w:pPr>
        <w:pStyle w:val="Normal12"/>
      </w:pPr>
      <w:r w:rsidRPr="00CD759A">
        <w:t>Parlament Europejski,</w:t>
      </w:r>
    </w:p>
    <w:p w:rsidR="00390AA9" w:rsidRPr="00CD759A" w:rsidP="00390AA9" w14:paraId="7C763089" w14:textId="77777777">
      <w:pPr>
        <w:pStyle w:val="NormalHanging"/>
      </w:pPr>
      <w:r w:rsidRPr="00CD759A">
        <w:t>–</w:t>
      </w:r>
      <w:r w:rsidRPr="00CD759A">
        <w:tab/>
        <w:t>uwzględniając Układ o stabilizacji i stowarzyszeniu między Wspólnotami Europejskimi i ich państwami członkowskimi, z jednej strony, a Bośnią i Hercegowiną, z drugiej strony</w:t>
      </w:r>
      <w:r>
        <w:rPr>
          <w:rStyle w:val="FootnoteReference"/>
        </w:rPr>
        <w:footnoteReference w:customMarkFollows="1" w:id="2"/>
        <w:t xml:space="preserve">1</w:t>
      </w:r>
      <w:r w:rsidRPr="00CD759A">
        <w:t>, który wszedł w życie 1 czerwca 2015 r.,</w:t>
      </w:r>
    </w:p>
    <w:p w:rsidR="00390AA9" w:rsidRPr="00CD759A" w:rsidP="00390AA9" w14:paraId="5D3101A3" w14:textId="77777777">
      <w:pPr>
        <w:pStyle w:val="NormalHanging"/>
      </w:pPr>
      <w:r w:rsidRPr="00CD759A">
        <w:t>–</w:t>
      </w:r>
      <w:r w:rsidRPr="00CD759A">
        <w:tab/>
        <w:t>uwzględniając Ogólną umowę ramową na rzecz pokoju w Bośni i Hercegowinie, parafowaną 21 listopada 1995 r. w Dayton i podpisaną 14 grudnia 1995 r. w Paryżu (porozumienie pokojowe z Dayton),</w:t>
      </w:r>
    </w:p>
    <w:p w:rsidR="00390AA9" w:rsidRPr="00CD759A" w:rsidP="00390AA9" w14:paraId="3C18AC72" w14:textId="77777777">
      <w:pPr>
        <w:pStyle w:val="NormalHanging"/>
      </w:pPr>
      <w:r w:rsidRPr="00CD759A">
        <w:t>–</w:t>
      </w:r>
      <w:r w:rsidRPr="00CD759A">
        <w:tab/>
        <w:t>uwzględniając konkluzje prezydencji z posiedzenia Rady Europejskiej w Kopenhadze 21–22 czerwca 1993 r., w których określono kryteria kopenhaskie,</w:t>
      </w:r>
    </w:p>
    <w:p w:rsidR="00390AA9" w:rsidRPr="00CD759A" w:rsidP="00390AA9" w14:paraId="199C7047" w14:textId="77777777">
      <w:pPr>
        <w:pStyle w:val="NormalHanging"/>
      </w:pPr>
      <w:r w:rsidRPr="00CD759A">
        <w:t>–</w:t>
      </w:r>
      <w:r w:rsidRPr="00CD759A">
        <w:tab/>
        <w:t>uwzględniając wniosek Bośni i Hercegowiny o członkostwo w UE złożony 15 lutego 2016 r.,</w:t>
      </w:r>
    </w:p>
    <w:p w:rsidR="00390AA9" w:rsidRPr="00CD759A" w:rsidP="00390AA9" w14:paraId="218C059F" w14:textId="54C243DF">
      <w:pPr>
        <w:pStyle w:val="NormalHanging"/>
      </w:pPr>
      <w:r w:rsidRPr="00CD759A">
        <w:t>–</w:t>
      </w:r>
      <w:r w:rsidRPr="00CD759A">
        <w:tab/>
        <w:t>uwzględniając komunikat Komisji z 29 maja 2019 r. zatytułowany „Opinia Komisji w sprawie wniosku Bośni i Hercegowiny o członkostwo w Unii Europejskiej” (</w:t>
      </w:r>
      <w:r w:rsidRPr="009F2848">
        <w:t>COM(2019)0261</w:t>
      </w:r>
      <w:r w:rsidRPr="00CD759A">
        <w:t>),</w:t>
      </w:r>
    </w:p>
    <w:p w:rsidR="00390AA9" w:rsidRPr="00CD759A" w:rsidP="00390AA9" w14:paraId="13C07696" w14:textId="77777777">
      <w:pPr>
        <w:pStyle w:val="NormalHanging"/>
      </w:pPr>
      <w:r w:rsidRPr="00CD759A">
        <w:t>–</w:t>
      </w:r>
      <w:r w:rsidRPr="00CD759A">
        <w:tab/>
        <w:t>uwzględniając konkluzje Rady Europejskiej z 15 grudnia 2022 r., w których przyznano Bośni i Hercegowinie status kraju kandydującego do UE,</w:t>
      </w:r>
    </w:p>
    <w:p w:rsidR="00390AA9" w:rsidRPr="00CD759A" w:rsidP="00390AA9" w14:paraId="59921974" w14:textId="77777777">
      <w:pPr>
        <w:pStyle w:val="NormalHanging"/>
      </w:pPr>
      <w:r w:rsidRPr="00CD759A">
        <w:t>–</w:t>
      </w:r>
      <w:r w:rsidRPr="00CD759A">
        <w:tab/>
        <w:t>uwzględniając konkluzje Rady Europejskiej z 22 marca 2024 r. oraz decyzję o rozpoczęciu negocjacji akcesyjnych z Bośnią i Hercegowiną,</w:t>
      </w:r>
    </w:p>
    <w:p w:rsidR="00390AA9" w:rsidRPr="00CD759A" w:rsidP="00390AA9" w14:paraId="54E7637C" w14:textId="77777777">
      <w:pPr>
        <w:pStyle w:val="NormalHanging"/>
      </w:pPr>
      <w:r w:rsidRPr="00CD759A">
        <w:t>–</w:t>
      </w:r>
      <w:r w:rsidRPr="00CD759A">
        <w:tab/>
        <w:t>uwzględniając rozporządzenie Parlamentu Europejskiego i Rady (UE) 2021/1529 z dnia 15 września 2021 r. ustanawiające Instrument Pomocy Przedakcesyjnej (IPA III)</w:t>
      </w:r>
      <w:r>
        <w:rPr>
          <w:rStyle w:val="FootnoteReference"/>
        </w:rPr>
        <w:footnoteReference w:customMarkFollows="1" w:id="3"/>
        <w:t xml:space="preserve">2</w:t>
      </w:r>
      <w:r w:rsidRPr="00CD759A">
        <w:t>,</w:t>
      </w:r>
    </w:p>
    <w:p w:rsidR="00390AA9" w:rsidRPr="00CD759A" w:rsidP="00390AA9" w14:paraId="4BE07EE9" w14:textId="77777777">
      <w:pPr>
        <w:pStyle w:val="NormalHanging"/>
      </w:pPr>
      <w:r w:rsidRPr="00CD759A">
        <w:t>–</w:t>
      </w:r>
      <w:r w:rsidRPr="00CD759A">
        <w:tab/>
        <w:t>uwzględniając rozporządzenie Parlamentu Europejskiego i Rady (UE) 2024/1449 z dnia 14 maja 2024 r. w sprawie ustanowienia Instrumentu Wsparcia Reform i Wzrostu Gospodarczego na Bałkanach Zachodnich</w:t>
      </w:r>
      <w:r>
        <w:rPr>
          <w:rStyle w:val="FootnoteReference"/>
        </w:rPr>
        <w:footnoteReference w:customMarkFollows="1" w:id="4"/>
        <w:t xml:space="preserve">3</w:t>
      </w:r>
      <w:r w:rsidRPr="00CD759A">
        <w:t>,</w:t>
      </w:r>
    </w:p>
    <w:p w:rsidR="00390AA9" w:rsidRPr="00CD759A" w:rsidP="00390AA9" w14:paraId="7E719BF0" w14:textId="77777777">
      <w:pPr>
        <w:pStyle w:val="NormalHanging"/>
      </w:pPr>
      <w:r w:rsidRPr="00CD759A">
        <w:t>–</w:t>
      </w:r>
      <w:r w:rsidRPr="00CD759A">
        <w:tab/>
        <w:t>uwzględniając deklarację ze szczytu UE–Bałkany Zachodnie, który odbył się 21 czerwca 2003 r. w Salonikach,</w:t>
      </w:r>
    </w:p>
    <w:p w:rsidR="00390AA9" w:rsidRPr="00CD759A" w:rsidP="00390AA9" w14:paraId="67784A95" w14:textId="77777777">
      <w:pPr>
        <w:pStyle w:val="NormalHanging"/>
      </w:pPr>
      <w:r w:rsidRPr="00CD759A">
        <w:t>–</w:t>
      </w:r>
      <w:r w:rsidRPr="00CD759A">
        <w:tab/>
        <w:t>uwzględniając deklarację z Zagrzebia przyjętą podczas szczytu UE – Bałkany Zachodnie, który odbył się 6 maja 2020 r., w której potwierdzono wspólne priorytety, w tym perspektywę europejską regionu, wzmocnienie demokracji, praworządności i praw podstawowych, oraz potrzebę integracyjnych procesów politycznych i wzajemnego pojednania,</w:t>
      </w:r>
    </w:p>
    <w:p w:rsidR="00390AA9" w:rsidRPr="00CD759A" w:rsidP="00390AA9" w14:paraId="0CD234D6" w14:textId="77777777">
      <w:pPr>
        <w:pStyle w:val="NormalHanging"/>
      </w:pPr>
      <w:r w:rsidRPr="00CD759A">
        <w:t>–</w:t>
      </w:r>
      <w:r w:rsidRPr="00CD759A">
        <w:tab/>
        <w:t>uwzględniając deklarację ze szczytu UE–Bałkany Zachodnie, przyjętą 17 grudnia 2025 r. w Brukseli,</w:t>
      </w:r>
    </w:p>
    <w:p w:rsidR="00390AA9" w:rsidRPr="00CD759A" w:rsidP="00390AA9" w14:paraId="7741AF22" w14:textId="77777777">
      <w:pPr>
        <w:pStyle w:val="NormalHanging"/>
      </w:pPr>
      <w:r w:rsidRPr="00CD759A">
        <w:t>–</w:t>
      </w:r>
      <w:r w:rsidRPr="00CD759A">
        <w:tab/>
        <w:t>uwzględniając konkluzje prezydencji dotyczące rozszerzenia z 16 grudnia 2025 r.,</w:t>
      </w:r>
    </w:p>
    <w:p w:rsidR="00390AA9" w:rsidRPr="00CD759A" w:rsidP="00390AA9" w14:paraId="2DE8B0CD" w14:textId="77777777">
      <w:pPr>
        <w:pStyle w:val="NormalHanging"/>
      </w:pPr>
      <w:r w:rsidRPr="00CD759A">
        <w:t>–</w:t>
      </w:r>
      <w:r w:rsidRPr="00CD759A">
        <w:tab/>
        <w:t>uwzględniając proces berliński zapoczątkowany 28 sierpnia 2014 r.,</w:t>
      </w:r>
    </w:p>
    <w:p w:rsidR="00390AA9" w:rsidRPr="00CD759A" w:rsidP="00390AA9" w14:paraId="52D36F47" w14:textId="4566C10B">
      <w:pPr>
        <w:pStyle w:val="NormalHanging"/>
      </w:pPr>
      <w:r w:rsidRPr="00CD759A">
        <w:t>–</w:t>
      </w:r>
      <w:r w:rsidRPr="00CD759A">
        <w:tab/>
        <w:t>uwzględniając komunikat Komisji z 6 października 2020 r. pt. „Plan gospodarczo-inwestycyjny dla Bałkanów Zachodnich” (</w:t>
      </w:r>
      <w:r w:rsidRPr="009F2848">
        <w:t>COM(2020)0641</w:t>
      </w:r>
      <w:r w:rsidRPr="00CD759A">
        <w:t>),</w:t>
      </w:r>
    </w:p>
    <w:p w:rsidR="00390AA9" w:rsidRPr="00CD759A" w:rsidP="00390AA9" w14:paraId="1460E996" w14:textId="6E1F7ECD">
      <w:pPr>
        <w:pStyle w:val="NormalHanging"/>
      </w:pPr>
      <w:r w:rsidRPr="00CD759A">
        <w:t>–</w:t>
      </w:r>
      <w:r w:rsidRPr="00CD759A">
        <w:tab/>
        <w:t>uwzględniając komunikat Komisji z 8 listopada 2023 r. pt. „Nowy plan wzrostu gospodarczego dla Bałkanów Zachodnich” (</w:t>
      </w:r>
      <w:r w:rsidRPr="009F2848">
        <w:t>COM(2023)0691</w:t>
      </w:r>
      <w:r w:rsidRPr="00CD759A">
        <w:t>),</w:t>
      </w:r>
    </w:p>
    <w:p w:rsidR="00390AA9" w:rsidRPr="00CD759A" w:rsidP="00390AA9" w14:paraId="64EDDD75" w14:textId="2EC833CD">
      <w:pPr>
        <w:pStyle w:val="NormalHanging"/>
      </w:pPr>
      <w:r w:rsidRPr="00CD759A">
        <w:t>–</w:t>
      </w:r>
      <w:r w:rsidRPr="00CD759A">
        <w:tab/>
        <w:t>uwzględniając komunikat Komisji z 20 marca 2024 r. w sprawie reform poprzedzających rozszerzenie oraz przeglądów polityki (</w:t>
      </w:r>
      <w:r w:rsidRPr="009F2848">
        <w:t>COM(2024)0146</w:t>
      </w:r>
      <w:r w:rsidRPr="00CD759A">
        <w:t>),</w:t>
      </w:r>
    </w:p>
    <w:p w:rsidR="00390AA9" w:rsidRPr="00CD759A" w:rsidP="00390AA9" w14:paraId="1455B3AA" w14:textId="570361D9">
      <w:pPr>
        <w:pStyle w:val="NormalHanging"/>
      </w:pPr>
      <w:r w:rsidRPr="00CD759A">
        <w:t>–</w:t>
      </w:r>
      <w:r w:rsidRPr="00CD759A">
        <w:tab/>
        <w:t>uwzględniając komunikat Komisji z 4 listopada 2025 r. pt. „Komunikat w sprawie polityki rozszerzenia UE w 2025 r.” (</w:t>
      </w:r>
      <w:r w:rsidRPr="009F2848">
        <w:t>COM(2025)0690</w:t>
      </w:r>
      <w:r w:rsidRPr="00CD759A">
        <w:t>) oraz towarzyszący mu dokument roboczy służb Komisji pt. „Sprawozdanie za rok 2025 dotyczące Bośni i Hercegowiny” (</w:t>
      </w:r>
      <w:r w:rsidRPr="009F2848">
        <w:t>SWD(2025)0751</w:t>
      </w:r>
      <w:r w:rsidRPr="00CD759A">
        <w:t>),</w:t>
      </w:r>
    </w:p>
    <w:p w:rsidR="00390AA9" w:rsidRPr="00CD759A" w:rsidP="00390AA9" w14:paraId="36DA3249" w14:textId="77777777">
      <w:pPr>
        <w:pStyle w:val="NormalHanging"/>
      </w:pPr>
      <w:r w:rsidRPr="00CD759A">
        <w:t>–</w:t>
      </w:r>
      <w:r w:rsidRPr="00CD759A">
        <w:tab/>
        <w:t>uwzględniając przeprowadzone przez Komisję przegląd i krajową ocenę programu reform gospodarczych Bośni i Hercegowiny z 2 czerwca 2025 r. oraz wspólne wnioski z dialogu gospodarczo-finansowego z partnerami regionalnymi z 13 maja 2025 r.,</w:t>
      </w:r>
    </w:p>
    <w:p w:rsidR="00390AA9" w:rsidRPr="00CD759A" w:rsidP="00390AA9" w14:paraId="6BC7F6D4" w14:textId="77777777">
      <w:pPr>
        <w:pStyle w:val="NormalHanging"/>
      </w:pPr>
      <w:r w:rsidRPr="00CD759A">
        <w:t>–</w:t>
      </w:r>
      <w:r w:rsidRPr="00CD759A">
        <w:tab/>
        <w:t>uwzględniając piąte posiedzenie Rady Stabilizacji i Stowarzyszenia UE–Bośnia i Hercegowina z 19 lipca 2023 r. oraz ósme posiedzenie Komitetu Stabilizacji i Stowarzyszenia UE–Bośnia i Hercegowina z 11 września 2025 r.,</w:t>
      </w:r>
    </w:p>
    <w:p w:rsidR="00390AA9" w:rsidRPr="00CD759A" w:rsidP="00390AA9" w14:paraId="71551AD3" w14:textId="77777777">
      <w:pPr>
        <w:pStyle w:val="NormalHanging"/>
      </w:pPr>
      <w:r w:rsidRPr="00CD759A">
        <w:t>–</w:t>
      </w:r>
      <w:r w:rsidRPr="00CD759A">
        <w:tab/>
        <w:t>uwzględniając wyniki siódmego i ósmego posiedzenia Parlamentarnego Komitetu Stabilizacji i Stowarzyszenia UE–Bośnia i Hercegowina, które odbyły się odpowiednio 17 i 18 września 2025 r. oraz 11 i 12 marca 2026 r.,</w:t>
      </w:r>
    </w:p>
    <w:p w:rsidR="00390AA9" w:rsidRPr="00CD759A" w:rsidP="00390AA9" w14:paraId="68F2FB93" w14:textId="77777777">
      <w:pPr>
        <w:pStyle w:val="NormalHanging"/>
      </w:pPr>
      <w:r w:rsidRPr="00CD759A">
        <w:t>–</w:t>
      </w:r>
      <w:r w:rsidRPr="00CD759A">
        <w:tab/>
        <w:t>uwzględniając ekspertyzę z 5 grudnia 2019 r. w sprawie kwestii praworządności w Bośni i Hercegowinie,</w:t>
      </w:r>
    </w:p>
    <w:p w:rsidR="00390AA9" w:rsidRPr="00CD759A" w:rsidP="00390AA9" w14:paraId="4CAA1809" w14:textId="77777777">
      <w:pPr>
        <w:pStyle w:val="NormalHanging"/>
      </w:pPr>
      <w:r w:rsidRPr="00CD759A">
        <w:t>–</w:t>
      </w:r>
      <w:r w:rsidRPr="00CD759A">
        <w:tab/>
        <w:t xml:space="preserve">uwzględniając 67. i 68. sprawozdanie Wysokiego Przedstawiciela ds. Wdrażania </w:t>
      </w:r>
      <w:r w:rsidRPr="00CD759A">
        <w:t>Porozumienia Pokojowego w Bośni i Hercegowinie dla Sekretarza Generalnego ONZ z 6 maja 2025 r. i 31 października 2025 r.,</w:t>
      </w:r>
    </w:p>
    <w:p w:rsidR="00390AA9" w:rsidRPr="00CD759A" w:rsidP="00390AA9" w14:paraId="3468DEBF" w14:textId="77777777">
      <w:pPr>
        <w:pStyle w:val="NormalHanging"/>
      </w:pPr>
      <w:r w:rsidRPr="00CD759A">
        <w:t>–</w:t>
      </w:r>
      <w:r w:rsidRPr="00CD759A">
        <w:tab/>
        <w:t>uwzględniając rezolucję Rady Bezpieczeństwa ONZ nr 2795 (2025) z 31 października 2025 r. przedłużającą mandat sił UE w Bośni i Hercegowinie (EUFOR) do 31 października 2026 r.,</w:t>
      </w:r>
    </w:p>
    <w:p w:rsidR="00390AA9" w:rsidRPr="00CD759A" w:rsidP="00390AA9" w14:paraId="3636182F" w14:textId="77777777">
      <w:pPr>
        <w:pStyle w:val="NormalHanging"/>
      </w:pPr>
      <w:r w:rsidRPr="00CD759A">
        <w:t>–</w:t>
      </w:r>
      <w:r w:rsidRPr="00CD759A">
        <w:tab/>
        <w:t>uwzględniając rezolucję Zgromadzenia Ogólnego ONZ 78/282 z 23 maja 2024 r. ustanawiającą 11 lipca Międzynarodowym Dniem Refleksji i Upamiętnienia Ludobójstwa w Srebrenicy w 1995 r.,</w:t>
      </w:r>
    </w:p>
    <w:p w:rsidR="00390AA9" w:rsidRPr="00CD759A" w:rsidP="00390AA9" w14:paraId="544A91E6" w14:textId="77777777">
      <w:pPr>
        <w:pStyle w:val="NormalHanging"/>
      </w:pPr>
      <w:r w:rsidRPr="00CD759A">
        <w:t>–</w:t>
      </w:r>
      <w:r w:rsidRPr="00CD759A">
        <w:tab/>
        <w:t>uwzględniając konstytucję Bośni i Hercegowiny,</w:t>
      </w:r>
    </w:p>
    <w:p w:rsidR="00390AA9" w:rsidRPr="00CD759A" w:rsidP="00390AA9" w14:paraId="4BCC01B1" w14:textId="77777777">
      <w:pPr>
        <w:pStyle w:val="NormalHanging"/>
      </w:pPr>
      <w:r w:rsidRPr="00CD759A">
        <w:t>–</w:t>
      </w:r>
      <w:r w:rsidRPr="00CD759A">
        <w:tab/>
        <w:t>uwzględniając art. 21 i 22 Karty praw podstawowych Unii Europejskiej,</w:t>
      </w:r>
    </w:p>
    <w:p w:rsidR="00390AA9" w:rsidRPr="00CD759A" w:rsidP="00390AA9" w14:paraId="6C69B4AC" w14:textId="77777777">
      <w:pPr>
        <w:pStyle w:val="NormalHanging"/>
      </w:pPr>
      <w:r w:rsidRPr="00CD759A">
        <w:t>–</w:t>
      </w:r>
      <w:r w:rsidRPr="00CD759A">
        <w:tab/>
        <w:t>uwzględniając rezolucje UNESCO w sprawie prawa do edukacji w języku ojczystym,</w:t>
      </w:r>
    </w:p>
    <w:p w:rsidR="00390AA9" w:rsidRPr="00CD759A" w:rsidP="00390AA9" w14:paraId="2E450E5D" w14:textId="77777777">
      <w:pPr>
        <w:pStyle w:val="NormalHanging"/>
      </w:pPr>
      <w:r w:rsidRPr="00CD759A">
        <w:t>–</w:t>
      </w:r>
      <w:r w:rsidRPr="00CD759A">
        <w:tab/>
        <w:t>uwzględniając swoje zalecenie z 17 stycznia 2024 r. dla Rady, Komisji oraz Wiceprzewodniczącego Komisji / Wysokiego Przedstawiciela Unii do Spraw Zagranicznych i Polityki Bezpieczeństwa w sprawie „roli dyplomacji prewencyjnej w rozwiązywaniu zamrożonych konfliktów na świecie – zmarnowana szansa czy zmiana na przyszłość?”,</w:t>
      </w:r>
    </w:p>
    <w:p w:rsidR="00390AA9" w:rsidRPr="00CD759A" w:rsidP="00390AA9" w14:paraId="2A44E492" w14:textId="77777777">
      <w:pPr>
        <w:pStyle w:val="NormalHanging"/>
      </w:pPr>
      <w:r w:rsidRPr="00CD759A">
        <w:t>–</w:t>
      </w:r>
      <w:r w:rsidRPr="00CD759A">
        <w:tab/>
        <w:t>uwzględniając swoją rezolucję z 11 marca 2026 r. w sprawie strategii rozszerzenia UE</w:t>
      </w:r>
      <w:r>
        <w:rPr>
          <w:rStyle w:val="FootnoteReference"/>
        </w:rPr>
        <w:footnoteReference w:customMarkFollows="1" w:id="5"/>
        <w:t xml:space="preserve">4</w:t>
      </w:r>
      <w:r w:rsidRPr="00CD759A">
        <w:t>,</w:t>
      </w:r>
    </w:p>
    <w:p w:rsidR="00390AA9" w:rsidRPr="00CD759A" w:rsidP="00390AA9" w14:paraId="30018643" w14:textId="77777777">
      <w:pPr>
        <w:pStyle w:val="NormalHanging"/>
      </w:pPr>
      <w:r w:rsidRPr="00CD759A">
        <w:t>–</w:t>
      </w:r>
      <w:r w:rsidRPr="00CD759A">
        <w:tab/>
        <w:t>uwzględniając swoje wcześniejsze rezolucje w sprawie Bośni i Hercegowiny,</w:t>
      </w:r>
    </w:p>
    <w:p w:rsidR="00390AA9" w:rsidRPr="00CD759A" w:rsidP="00390AA9" w14:paraId="45888E48" w14:textId="77777777">
      <w:pPr>
        <w:pStyle w:val="NormalHanging"/>
      </w:pPr>
      <w:r w:rsidRPr="00CD759A">
        <w:t>–</w:t>
      </w:r>
      <w:r w:rsidRPr="00CD759A">
        <w:tab/>
        <w:t>uwzględniając art. 55 Regulaminu,</w:t>
      </w:r>
    </w:p>
    <w:p w:rsidR="00390AA9" w:rsidRPr="00CD759A" w:rsidP="00390AA9" w14:paraId="22C7471C" w14:textId="77777777">
      <w:pPr>
        <w:pStyle w:val="NormalHanging"/>
      </w:pPr>
      <w:r w:rsidRPr="00CD759A">
        <w:t>–</w:t>
      </w:r>
      <w:r w:rsidRPr="00CD759A">
        <w:tab/>
        <w:t>uwzględniając sprawozdanie Komisji Spraw Zagranicznych (A10-0165/2026),</w:t>
      </w:r>
    </w:p>
    <w:p w:rsidR="00390AA9" w:rsidRPr="00CD759A" w:rsidP="00390AA9" w14:paraId="51FFC6AD" w14:textId="77777777">
      <w:pPr>
        <w:pStyle w:val="NormalHanging"/>
      </w:pPr>
      <w:r w:rsidRPr="00CD759A">
        <w:t>A.</w:t>
      </w:r>
      <w:r w:rsidRPr="00CD759A">
        <w:tab/>
        <w:t>mając na uwadze, że Bośnia i Hercegowina (</w:t>
      </w:r>
      <w:r w:rsidRPr="00CD759A">
        <w:t>BiH</w:t>
      </w:r>
      <w:r w:rsidRPr="00CD759A">
        <w:t>) jest krajem kandydującym, który aspiruje do integracji euroatlantyckiej, widząc w niej drogę do trwałego pokoju, demokracji i długoterminowego dobrobytu; mając na uwadze, że według ostatnich badań opinii publicznej 70 % obywateli Bośni i Hercegowiny opowiada się za członkostwem w UE;</w:t>
      </w:r>
    </w:p>
    <w:p w:rsidR="00390AA9" w:rsidRPr="00CD759A" w:rsidP="00390AA9" w14:paraId="5C75BBF4" w14:textId="77777777">
      <w:pPr>
        <w:pStyle w:val="NormalHanging"/>
      </w:pPr>
      <w:r w:rsidRPr="00CD759A">
        <w:t>B.</w:t>
      </w:r>
      <w:r w:rsidRPr="00CD759A">
        <w:tab/>
        <w:t>mając na uwadze, że rosyjska wojna napastnicza przeciwko Ukrainie pogorszyła sytuację w zakresie bezpieczeństwa w Europie i jeszcze bardziej uwypukliła strategiczną pozycję krajów Bałkanów Zachodnich w europejskiej architekturze bezpieczeństwa; mając na uwadze, że Bośnia i Hercegowina utrzymuje bliskie stosunki z NATO;</w:t>
      </w:r>
    </w:p>
    <w:p w:rsidR="00390AA9" w:rsidRPr="00CD759A" w:rsidP="00390AA9" w14:paraId="2BB86911" w14:textId="77777777">
      <w:pPr>
        <w:pStyle w:val="NormalHanging"/>
      </w:pPr>
      <w:r w:rsidRPr="00CD759A">
        <w:t>C.</w:t>
      </w:r>
      <w:r w:rsidRPr="00CD759A">
        <w:tab/>
        <w:t>mając na uwadze, że każdy kraj kandydujący jest oceniany na podstawie własnych osiągnięć w wypełnianiu ustalonych kryteriów kopenhaskich;</w:t>
      </w:r>
    </w:p>
    <w:p w:rsidR="00390AA9" w:rsidRPr="00CD759A" w:rsidP="00390AA9" w14:paraId="5CA37A74" w14:textId="77777777">
      <w:pPr>
        <w:pStyle w:val="NormalHanging"/>
      </w:pPr>
      <w:r w:rsidRPr="00CD759A">
        <w:t>D.</w:t>
      </w:r>
      <w:r w:rsidRPr="00CD759A">
        <w:tab/>
        <w:t xml:space="preserve">mając na uwadze, że proces rozszerzenia jest projektem pokojowym wymagającym funkcjonalnej, demokratycznej i wieloetnicznej </w:t>
      </w:r>
      <w:r w:rsidRPr="00CD759A">
        <w:t>BiH</w:t>
      </w:r>
      <w:r w:rsidRPr="00CD759A">
        <w:t xml:space="preserve">, w której wszyscy obywatele mają równe prawa i możliwości; mając na uwadze, że utrzymujące się blokady i retoryka </w:t>
      </w:r>
      <w:r w:rsidRPr="00CD759A">
        <w:t>secesjonistyczna podważają ten cel i europejską perspektywę całego kraju;</w:t>
      </w:r>
    </w:p>
    <w:p w:rsidR="00390AA9" w:rsidRPr="00CD759A" w:rsidP="00390AA9" w14:paraId="069DA6B6" w14:textId="77777777">
      <w:pPr>
        <w:pStyle w:val="NormalHanging"/>
      </w:pPr>
      <w:r w:rsidRPr="00CD759A">
        <w:t>E.</w:t>
      </w:r>
      <w:r w:rsidRPr="00CD759A">
        <w:tab/>
        <w:t xml:space="preserve">mając na uwadze, że pozytywne skutki rozszerzenia mogą być szczególnie pomocne w pokonywaniu przez </w:t>
      </w:r>
      <w:r w:rsidRPr="00CD759A">
        <w:t>BiH</w:t>
      </w:r>
      <w:r w:rsidRPr="00CD759A">
        <w:t xml:space="preserve"> długotrwałych wyzwań wewnętrznych;</w:t>
      </w:r>
    </w:p>
    <w:p w:rsidR="00390AA9" w:rsidRPr="00CD759A" w:rsidP="00390AA9" w14:paraId="69113D2D" w14:textId="77777777">
      <w:pPr>
        <w:pStyle w:val="NormalHanging"/>
      </w:pPr>
      <w:r w:rsidRPr="00CD759A">
        <w:t>F.</w:t>
      </w:r>
      <w:r w:rsidRPr="00CD759A">
        <w:tab/>
        <w:t xml:space="preserve">mając na uwadze, że UE pozostaje głównym partnerem politycznym i gospodarczym krajów Bałkanów Zachodnich; mając na uwadze, że UE pozostaje największym partnerem handlowym i inwestycyjnym </w:t>
      </w:r>
      <w:r w:rsidRPr="00CD759A">
        <w:t>BiH</w:t>
      </w:r>
      <w:r w:rsidRPr="00CD759A">
        <w:t>;</w:t>
      </w:r>
    </w:p>
    <w:p w:rsidR="00390AA9" w:rsidRPr="00CD759A" w:rsidP="00390AA9" w14:paraId="5564D5DE" w14:textId="77777777">
      <w:pPr>
        <w:pStyle w:val="NormalHanging"/>
      </w:pPr>
      <w:r w:rsidRPr="00CD759A">
        <w:t>G.</w:t>
      </w:r>
      <w:r w:rsidRPr="00CD759A">
        <w:tab/>
        <w:t xml:space="preserve">mając na uwadze, że </w:t>
      </w:r>
      <w:r w:rsidRPr="00CD759A">
        <w:t>BiH</w:t>
      </w:r>
      <w:r w:rsidRPr="00CD759A">
        <w:t xml:space="preserve"> pozostaje pod międzynarodowym nadzorem ustanowionym na mocy porozumienia pokojowego z Dayton, które położyło kres aktywnym działaniom wojennym i stworzyło podstawy pokoju w tym kraju, i które nadal stanowi fundament struktury instytucjonalnej </w:t>
      </w:r>
      <w:r w:rsidRPr="00CD759A">
        <w:t>BiH</w:t>
      </w:r>
      <w:r w:rsidRPr="00CD759A">
        <w:t xml:space="preserve"> oraz miało służyć jako gwarancja równości trzech narodów konstytutywnych tego kraju;</w:t>
      </w:r>
    </w:p>
    <w:p w:rsidR="00390AA9" w:rsidRPr="00CD759A" w:rsidP="00390AA9" w14:paraId="186D7C6B" w14:textId="77777777">
      <w:pPr>
        <w:pStyle w:val="NormalHanging"/>
      </w:pPr>
      <w:r w:rsidRPr="00CD759A">
        <w:t>H.</w:t>
      </w:r>
      <w:r w:rsidRPr="00CD759A">
        <w:tab/>
        <w:t xml:space="preserve">mając na uwadze, że aby chronić i umocnić pokój osiągnięty dzięki temu porozumieniu pokojowemu z Dayton oraz aby </w:t>
      </w:r>
      <w:r w:rsidRPr="00CD759A">
        <w:t>BiH</w:t>
      </w:r>
      <w:r w:rsidRPr="00CD759A">
        <w:t xml:space="preserve"> mogła stać się pełnoprawnym i funkcjonującym członkiem UE, należy przejść do kolejnego etapu ustaleń konstytucyjnych po porozumieniu z Dayton, które wzmocnią jedność w tym wieloetnicznym państwie oraz przyznają pełne prawa i pełną odpowiedzialność za proces decyzyjny wyłącznie jego obywatelom;</w:t>
      </w:r>
    </w:p>
    <w:p w:rsidR="00390AA9" w:rsidRPr="00CD759A" w:rsidP="00390AA9" w14:paraId="3B4AD563" w14:textId="77777777">
      <w:pPr>
        <w:pStyle w:val="NormalHanging"/>
      </w:pPr>
      <w:r w:rsidRPr="00CD759A">
        <w:t>I.</w:t>
      </w:r>
      <w:r w:rsidRPr="00CD759A">
        <w:tab/>
        <w:t xml:space="preserve">mając na uwadze, że w Strategicznym kompasie stwierdzono, iż w dziedzinie bezpieczeństwa i stabilności szczególnie ważne jest wspieranie suwerenności, jedności i integralności terytorialnej </w:t>
      </w:r>
      <w:r w:rsidRPr="00CD759A">
        <w:t>BiH</w:t>
      </w:r>
      <w:r w:rsidRPr="00CD759A">
        <w:t>;</w:t>
      </w:r>
    </w:p>
    <w:p w:rsidR="00390AA9" w:rsidRPr="00CD759A" w:rsidP="00390AA9" w14:paraId="40E8F980" w14:textId="77777777">
      <w:pPr>
        <w:pStyle w:val="NormalHanging"/>
      </w:pPr>
      <w:r w:rsidRPr="00CD759A">
        <w:t>J.</w:t>
      </w:r>
      <w:r w:rsidRPr="00CD759A">
        <w:tab/>
        <w:t xml:space="preserve">mając na uwadze, że </w:t>
      </w:r>
      <w:r w:rsidRPr="00CD759A">
        <w:t>BiH</w:t>
      </w:r>
      <w:r w:rsidRPr="00CD759A">
        <w:t xml:space="preserve"> jest państwem wieloetnicznym, na którego terytorium od wieków współistniały różne religie i narody w atmosferze tolerancji i wzajemnego szacunku; mając na uwadze, że różnorodność językowa i kulturowa jest jedną z podstawowych zasad UE;</w:t>
      </w:r>
    </w:p>
    <w:p w:rsidR="00390AA9" w:rsidRPr="00CD759A" w:rsidP="00390AA9" w14:paraId="44B888BA" w14:textId="77777777">
      <w:pPr>
        <w:pStyle w:val="NormalHanging"/>
      </w:pPr>
      <w:r w:rsidRPr="00CD759A">
        <w:t>K.</w:t>
      </w:r>
      <w:r w:rsidRPr="00CD759A">
        <w:tab/>
        <w:t xml:space="preserve">mając na uwadze, że na początku lutego 2026 r. </w:t>
      </w:r>
      <w:r w:rsidRPr="00CD759A">
        <w:t>Milorad</w:t>
      </w:r>
      <w:r w:rsidRPr="00CD759A">
        <w:t xml:space="preserve"> </w:t>
      </w:r>
      <w:r w:rsidRPr="00CD759A">
        <w:t>Dodik</w:t>
      </w:r>
      <w:r w:rsidRPr="00CD759A">
        <w:t xml:space="preserve"> odwiedził Stany Zjednoczone i spotkał się z wysokimi rangą amerykańskimi urzędnikami; mając na uwadze, że kilku członków administracji Republiki Serbskiej zostało usuniętych z amerykańskiej listy sankcyjnej; mając na uwadze, że Republika Serbska zaangażowała zagraniczne firmy lobbingowe, a według doniesień takie umowy miały na celu zapewnienie międzynarodowego poparcia dla dążeń separatystycznych dotyczących statusu Republiki Serbskiej w ramach Bośni i Hercegowiny;</w:t>
      </w:r>
    </w:p>
    <w:p w:rsidR="00390AA9" w:rsidRPr="00CD759A" w:rsidP="00390AA9" w14:paraId="7662309E" w14:textId="77777777">
      <w:pPr>
        <w:pStyle w:val="Normal12a"/>
      </w:pPr>
      <w:r w:rsidRPr="00CD759A">
        <w:rPr>
          <w:b/>
          <w:i/>
        </w:rPr>
        <w:t>Zaangażowanie na rzecz przystąpienia do UE</w:t>
      </w:r>
    </w:p>
    <w:p w:rsidR="00390AA9" w:rsidRPr="00CD759A" w:rsidP="00390AA9" w14:paraId="2FF01091" w14:textId="77777777">
      <w:pPr>
        <w:pStyle w:val="NormalHanging12a"/>
      </w:pPr>
      <w:r w:rsidRPr="00CD759A">
        <w:t>1.</w:t>
      </w:r>
      <w:r w:rsidRPr="00CD759A">
        <w:tab/>
        <w:t xml:space="preserve">zdecydowanie potwierdza swoje poparcie dla przystąpienia </w:t>
      </w:r>
      <w:r w:rsidRPr="00CD759A">
        <w:t>BiH</w:t>
      </w:r>
      <w:r w:rsidRPr="00CD759A">
        <w:t xml:space="preserve"> do UE w oparciu o jedność, suwerenność i integralność terytorialną tego kraju; przypomina, że postępy oceniane są na podstawie konkretnych osiągnięć, co wymaga wdrożenia trwałych i wiarygodnych reform w celu spełnienia kryteriów kopenhaskich, ochrony instytucji demokratycznych, zagwarantowania demokracji, utrzymania praworządności, zwalczania korupcji i przestępczości zorganizowanej oraz zapewnienia przestrzegania praw podstawowych i niedyskryminacji wszystkich obywateli, w tym narodów konstytutywnych, bez względu na przynależność etniczną, wyznaniową lub inną;</w:t>
      </w:r>
    </w:p>
    <w:p w:rsidR="00390AA9" w:rsidRPr="00CD759A" w:rsidP="00390AA9" w14:paraId="27B84532" w14:textId="77777777">
      <w:pPr>
        <w:pStyle w:val="NormalHanging12a"/>
      </w:pPr>
      <w:r w:rsidRPr="00CD759A">
        <w:t>2.</w:t>
      </w:r>
      <w:r w:rsidRPr="00CD759A">
        <w:tab/>
        <w:t xml:space="preserve">potwierdza znaczenie </w:t>
      </w:r>
      <w:r w:rsidRPr="00CD759A">
        <w:t>BiH</w:t>
      </w:r>
      <w:r w:rsidRPr="00CD759A">
        <w:t xml:space="preserve"> na Bałkanach Zachodnich; wzywa Komisję do uruchomienia niezbędnych instrumentów dyplomatycznych, politycznych i kulturalnych, aby </w:t>
      </w:r>
      <w:r w:rsidRPr="00CD759A">
        <w:t xml:space="preserve">wzmacniać partnerstwa strategiczne </w:t>
      </w:r>
      <w:r w:rsidRPr="00CD759A">
        <w:t>BiH</w:t>
      </w:r>
      <w:r w:rsidRPr="00CD759A">
        <w:t xml:space="preserve"> z UE, oraz do wspierania integracji regionalnej przy pełnym poszanowaniu suwerenności i współpracy międzynarodowej;</w:t>
      </w:r>
    </w:p>
    <w:p w:rsidR="00390AA9" w:rsidRPr="00CD759A" w:rsidP="00390AA9" w14:paraId="634363AE" w14:textId="77777777">
      <w:pPr>
        <w:pStyle w:val="NormalHanging12a"/>
      </w:pPr>
      <w:r w:rsidRPr="00CD759A">
        <w:t>3.</w:t>
      </w:r>
      <w:r w:rsidRPr="00CD759A">
        <w:tab/>
        <w:t>podkreśla, że UE musi pozostać zarówno wymagająca, jak i sprawiedliwa w ocenie postępów kraju pod kątem kryteriów przystąpienia;</w:t>
      </w:r>
    </w:p>
    <w:p w:rsidR="00390AA9" w:rsidRPr="00CD759A" w:rsidP="00390AA9" w14:paraId="2B540638" w14:textId="77777777">
      <w:pPr>
        <w:pStyle w:val="NormalHanging12a"/>
      </w:pPr>
      <w:r w:rsidRPr="00CD759A">
        <w:t>4.</w:t>
      </w:r>
      <w:r w:rsidRPr="00CD759A">
        <w:tab/>
        <w:t xml:space="preserve">popiera stopniowe włączanie </w:t>
      </w:r>
      <w:r w:rsidRPr="00CD759A">
        <w:t>BiH</w:t>
      </w:r>
      <w:r w:rsidRPr="00CD759A">
        <w:t xml:space="preserve"> do udziału w wybranych strategiach politycznych i programach UE przed uzyskaniem przez nią pełnego członkostwa, w oparciu o postępy w reformach; uważa, że takie stopniowe włączanie przynosi wymierne korzyści obywatelom </w:t>
      </w:r>
      <w:r w:rsidRPr="00CD759A">
        <w:t>BiH</w:t>
      </w:r>
      <w:r w:rsidRPr="00CD759A">
        <w:t>, wzmacnia ich zaufanie do procesu akcesyjnego oraz tworzy nieodwracalny impuls prowadzący do pełnego członkostwa;</w:t>
      </w:r>
    </w:p>
    <w:p w:rsidR="00390AA9" w:rsidRPr="00CD759A" w:rsidP="00390AA9" w14:paraId="517F5D6C" w14:textId="77777777">
      <w:pPr>
        <w:pStyle w:val="NormalHanging12a"/>
      </w:pPr>
      <w:r w:rsidRPr="00CD759A">
        <w:t>5.</w:t>
      </w:r>
      <w:r w:rsidRPr="00CD759A">
        <w:tab/>
        <w:t xml:space="preserve">wzywa przywódców politycznych </w:t>
      </w:r>
      <w:r w:rsidRPr="00CD759A">
        <w:t>BiH</w:t>
      </w:r>
      <w:r w:rsidRPr="00CD759A">
        <w:t>, by ponowili i potwierdzili swoje zaangażowanie w realizację strategicznego celu, jakim jest przystąpienie do UE, oraz by przeprowadzili niezbędne i od dawna oczekiwane reformy oraz podjęli niezbędne kroki określone przez Komisję, w sposób wiarygodny, merytoryczny i terminowy, bez dalszych opóźnień i przeszkód politycznych, przy jednoczesnym zapewnieniu, aby działania związane z przystąpieniem przyczyniały się do spójności politycznej kraju i nie pogłębiały wewnętrznych podziałów, z myślą o bezzwłocznym rozpoczęciu negocjacji akcesyjnych po wiarygodnym spełnieniu niezbędnych warunków wstępnych;</w:t>
      </w:r>
    </w:p>
    <w:p w:rsidR="00390AA9" w:rsidRPr="00CD759A" w:rsidP="00390AA9" w14:paraId="1E2FD23A" w14:textId="77777777">
      <w:pPr>
        <w:pStyle w:val="NormalHanging12a"/>
      </w:pPr>
      <w:r w:rsidRPr="00CD759A">
        <w:t>6.</w:t>
      </w:r>
      <w:r w:rsidRPr="00CD759A">
        <w:tab/>
        <w:t xml:space="preserve">domaga się, aby położono kres obstrukcji, politycznie motywowanemu wykorzystywaniu przez części składowe prawa weta, retoryce przynoszącej efekty odwrotne do zamierzonych oraz taktyce prowadzącej do podziałów, które utrudniają postępy i odwracają uwagę od reform związanych z UE; zachęca wszystkich przywódców do konstruktywnego zaangażowania, spełniania aspiracji obywateli oraz przezwyciężenia impasu; podkreśla jednak, że osiągnięcie postępu na drodze do przystąpienia </w:t>
      </w:r>
      <w:r w:rsidRPr="00CD759A">
        <w:t>BiH</w:t>
      </w:r>
      <w:r w:rsidRPr="00CD759A">
        <w:t xml:space="preserve"> do UE ostatecznie zależy od woli politycznej i poczucia odpowiedzialności organów władzy na wszystkich szczeblach sprawowania rządów; przypomina, że podmioty polityczne w </w:t>
      </w:r>
      <w:r w:rsidRPr="00CD759A">
        <w:t>BiH</w:t>
      </w:r>
      <w:r w:rsidRPr="00CD759A">
        <w:t xml:space="preserve"> wykazały już wcześniej zdolność do osiągania konsensusu i wprowadzania kluczowych reform;</w:t>
      </w:r>
    </w:p>
    <w:p w:rsidR="00390AA9" w:rsidRPr="00CD759A" w:rsidP="00390AA9" w14:paraId="2BA0B451" w14:textId="77777777">
      <w:pPr>
        <w:pStyle w:val="NormalHanging12a"/>
      </w:pPr>
      <w:r w:rsidRPr="00CD759A">
        <w:t>7.</w:t>
      </w:r>
      <w:r w:rsidRPr="00CD759A">
        <w:tab/>
        <w:t xml:space="preserve">podkreśla kluczową rolę Zgromadzenia Narodowego </w:t>
      </w:r>
      <w:r w:rsidRPr="00CD759A">
        <w:t>BiH</w:t>
      </w:r>
      <w:r w:rsidRPr="00CD759A">
        <w:t xml:space="preserve"> w procesie akcesyjnym; zachęca parlament </w:t>
      </w:r>
      <w:r w:rsidRPr="00CD759A">
        <w:t>BiH</w:t>
      </w:r>
      <w:r w:rsidRPr="00CD759A">
        <w:t xml:space="preserve"> do priorytetowego traktowania reform związanych z UE i zaangażowania się w konstruktywny dialog, tak aby zapewnić skuteczny i niezakłócony proces legislacyjny; jest głęboko wstrząśnięty i zaniepokojony motywowanymi politycznie utrudnieniami i powtarzającymi się blokadami, które znacznie utrudniły funkcjonowanie władzy ustawodawczej na szczeblu państwowym i opóźniły przyjęcie przepisów wymaganych przez UE; apeluje o przyjęcie ustawy o Wysokiej Radzie Sędziów i Prokuratorów </w:t>
      </w:r>
      <w:r w:rsidRPr="00CD759A">
        <w:t>BiH</w:t>
      </w:r>
      <w:r w:rsidRPr="00CD759A">
        <w:t xml:space="preserve"> oraz ustawy o sądach, z należytym uwzględnieniem zaleceń Komisji Weneckiej oraz po przeprowadzeniu konstruktywnego i integracyjnego procesu konsultacji publicznych, zgodnie ze standardami europejskim;</w:t>
      </w:r>
    </w:p>
    <w:p w:rsidR="00390AA9" w:rsidRPr="00CD759A" w:rsidP="00390AA9" w14:paraId="4F325893" w14:textId="77777777">
      <w:pPr>
        <w:pStyle w:val="NormalHanging12a"/>
      </w:pPr>
      <w:r w:rsidRPr="00CD759A">
        <w:t>8.</w:t>
      </w:r>
      <w:r w:rsidRPr="00CD759A">
        <w:tab/>
        <w:t xml:space="preserve">podkreśla, że w krajach kandydujących o złożonych ustaleniach konstytucyjnych, takich jak </w:t>
      </w:r>
      <w:r w:rsidRPr="00CD759A">
        <w:t>BiH</w:t>
      </w:r>
      <w:r w:rsidRPr="00CD759A">
        <w:t>, nie można pospieszać ani politycznie wykorzystać kluczowych reform mających wpływ na funkcjonowanie, niezależność i kompetencje instytucji na szczeblu państwowym; zaznacza, że przyspieszone procedury lub presja związana z harmonogramami politycznymi nie mogą zagrażać jakości prawnej, integralności instytucjonalnej ani konstytucyjnemu podziałowi władzy; zwraca uwagę, że reform, które osłabiają skuteczność instytucji centralnych, nie można uznać za postęp na drodze do członkostwa w UE;</w:t>
      </w:r>
    </w:p>
    <w:p w:rsidR="00390AA9" w:rsidRPr="00CD759A" w:rsidP="00390AA9" w14:paraId="597CCE60" w14:textId="77777777">
      <w:pPr>
        <w:pStyle w:val="NormalHanging12a"/>
      </w:pPr>
      <w:r w:rsidRPr="00CD759A">
        <w:t>9.</w:t>
      </w:r>
      <w:r w:rsidRPr="00CD759A">
        <w:tab/>
        <w:t xml:space="preserve">wzywa Radę Ministrów </w:t>
      </w:r>
      <w:r w:rsidRPr="00CD759A">
        <w:t>BiH</w:t>
      </w:r>
      <w:r w:rsidRPr="00CD759A">
        <w:t xml:space="preserve"> do niezwłocznego mianowania głównego negocjatora ds. przystąpienia </w:t>
      </w:r>
      <w:r w:rsidRPr="00CD759A">
        <w:t>BiH</w:t>
      </w:r>
      <w:r w:rsidRPr="00CD759A">
        <w:t xml:space="preserve"> do UE, zgodnie z niedawnymi orzeczeniami Trybunału Konstytucyjnego </w:t>
      </w:r>
      <w:r w:rsidRPr="00CD759A">
        <w:t>BiH</w:t>
      </w:r>
      <w:r w:rsidRPr="00CD759A">
        <w:t xml:space="preserve"> oraz z pełnym poszanowaniem kompetencji konstytucyjnych i porządku prawnego </w:t>
      </w:r>
      <w:r w:rsidRPr="00CD759A">
        <w:t>BiH</w:t>
      </w:r>
      <w:r w:rsidRPr="00CD759A">
        <w:t xml:space="preserve">; zachęca władze </w:t>
      </w:r>
      <w:r w:rsidRPr="00CD759A">
        <w:t>BiH</w:t>
      </w:r>
      <w:r w:rsidRPr="00CD759A">
        <w:t xml:space="preserve"> do koordynacji na wszystkich szczeblach w celu zharmonizowanego dostosowania do dorobku prawnego UE;</w:t>
      </w:r>
    </w:p>
    <w:p w:rsidR="00390AA9" w:rsidRPr="00CD759A" w:rsidP="00390AA9" w14:paraId="240623F3" w14:textId="77777777">
      <w:pPr>
        <w:pStyle w:val="NormalHanging12a"/>
      </w:pPr>
      <w:r w:rsidRPr="00CD759A">
        <w:t>10.</w:t>
      </w:r>
      <w:r w:rsidRPr="00CD759A">
        <w:tab/>
        <w:t xml:space="preserve">wzywa </w:t>
      </w:r>
      <w:r w:rsidRPr="00CD759A">
        <w:t>BiH</w:t>
      </w:r>
      <w:r w:rsidRPr="00CD759A">
        <w:t xml:space="preserve"> do dokonania przeglądu – przed ustanowieniem krajowych ram negocjacji akcesyjnych z UE – decyzji w sprawie systemu koordynacji procesu integracji europejskiej, aby zapewnić bardziej funkcjonalny, skuteczny, przejrzysty i </w:t>
      </w:r>
      <w:r w:rsidRPr="00CD759A">
        <w:t>rozliczalny</w:t>
      </w:r>
      <w:r w:rsidRPr="00CD759A">
        <w:t xml:space="preserve"> system, w tym poprzez dostosowanie praw głosu do kompetencji konstytucyjnych, wprowadzenie mechanizmów rozliczalności i jasnych kryteriów mianowania oraz przyjęcie krajowego programu przyjmowania dorobku prawnego Unii lub równoważnego programu integracji jako planu działania dotyczącego procesu akcesyjnego;</w:t>
      </w:r>
    </w:p>
    <w:p w:rsidR="00390AA9" w:rsidRPr="00CD759A" w:rsidP="00390AA9" w14:paraId="1A9DEA69" w14:textId="77777777">
      <w:pPr>
        <w:pStyle w:val="NormalHanging12a"/>
      </w:pPr>
      <w:r w:rsidRPr="00CD759A">
        <w:t>11.</w:t>
      </w:r>
      <w:r w:rsidRPr="00CD759A">
        <w:tab/>
        <w:t xml:space="preserve">wzywa władze </w:t>
      </w:r>
      <w:r w:rsidRPr="00CD759A">
        <w:t>BiH</w:t>
      </w:r>
      <w:r w:rsidRPr="00CD759A">
        <w:t xml:space="preserve"> do zapewnienia, aby krajowe ramy negocjacji akcesyjnych z UE ustanowiono w przejrzysty i integracyjny sposób, obejmujący konstruktywne mechanizmy dialogu ze społeczeństwem obywatelskim i partnerami społecznymi;</w:t>
      </w:r>
    </w:p>
    <w:p w:rsidR="00390AA9" w:rsidRPr="00CD759A" w:rsidP="00390AA9" w14:paraId="37367C69" w14:textId="77777777">
      <w:pPr>
        <w:pStyle w:val="NormalHanging12a"/>
      </w:pPr>
      <w:r w:rsidRPr="00CD759A">
        <w:t>12.</w:t>
      </w:r>
      <w:r w:rsidRPr="00CD759A">
        <w:tab/>
        <w:t>wyraża ubolewanie z powodu utrzymujących się podziałów politycznych, nawoływania do nienawiści, w tym podżegania do nietolerancji etnicznej, religijnej i rasowej, negowania ludobójstwa i innych zbrodni wojennych, gloryfikacji zbrodniarzy wojennych, działań secesjonistycznych przywództwa Republiki Serbskiej oraz prób zawłaszczania państwa, które – dziesiątki lat po wojnie – podważają zaufanie publiczne, przyspieszają drenaż mózgów i paraliżują kraj;</w:t>
      </w:r>
    </w:p>
    <w:p w:rsidR="00390AA9" w:rsidRPr="00CD759A" w:rsidP="00390AA9" w14:paraId="404F9FD0" w14:textId="77777777">
      <w:pPr>
        <w:pStyle w:val="NormalHanging12a"/>
      </w:pPr>
      <w:r w:rsidRPr="00CD759A">
        <w:t>13.</w:t>
      </w:r>
      <w:r w:rsidRPr="00CD759A">
        <w:tab/>
        <w:t xml:space="preserve">odnotowuje decyzje Zgromadzenia Republiki Serbskiej o uchyleniu ustaw uznanych przez Trybunał Konstytucyjny </w:t>
      </w:r>
      <w:r w:rsidRPr="00CD759A">
        <w:t>BiH</w:t>
      </w:r>
      <w:r w:rsidRPr="00CD759A">
        <w:t xml:space="preserve"> za niezgodne z konstytucją; potępia utrzymującą się podburzającą i obraźliwą retorykę oraz secesjonistyczną politykę prowadzoną przez formalne i faktyczne przywództwo Republiki Serbskiej, wrogie zachowanie urzędników państwowych wobec wysokich rangą urzędników, organizacji społeczeństwa obywatelskiego, opozycji politycznej i innych niezależnych głosów w społeczeństwie, a także obchody tzw. Dnia Republiki Serbskiej, które osłabiają </w:t>
      </w:r>
      <w:r w:rsidRPr="00CD759A">
        <w:t>BiH</w:t>
      </w:r>
      <w:r w:rsidRPr="00CD759A">
        <w:t xml:space="preserve"> i podważają jej ścieżkę akcesyjną oraz stanowią bezpośrednie naruszenie Ogólnej umowy ramowej na rzecz pokoju w Bośni i Hercegowinie;</w:t>
      </w:r>
    </w:p>
    <w:p w:rsidR="00390AA9" w:rsidRPr="00CD759A" w:rsidP="00390AA9" w14:paraId="49B2B5F8" w14:textId="77777777">
      <w:pPr>
        <w:pStyle w:val="NormalHanging12a"/>
      </w:pPr>
      <w:r w:rsidRPr="00CD759A">
        <w:t>14.</w:t>
      </w:r>
      <w:r w:rsidRPr="00CD759A">
        <w:tab/>
        <w:t xml:space="preserve">potępia bieżącą współpracę władz Republiki Serbskiej z rosyjskimi podmiotami rządowymi i podmiotami objętymi sankcjami oraz podkreśla zagrożenia dla bezpieczeństwa i stabilności </w:t>
      </w:r>
      <w:r w:rsidRPr="00CD759A">
        <w:t>BiH</w:t>
      </w:r>
      <w:r w:rsidRPr="00CD759A">
        <w:t xml:space="preserve">; wzywa wszystkie podmioty polityczne Republiki Serbskiej do konstruktywnego działania w ramach instytucji państwowych oraz do priorytetowego traktowania reform niezbędnych do integracji </w:t>
      </w:r>
      <w:r w:rsidRPr="00CD759A">
        <w:t>BiH</w:t>
      </w:r>
      <w:r w:rsidRPr="00CD759A">
        <w:t xml:space="preserve"> z UE; zdecydowanie potępia wszelkie działania lobbingowe rządu Republiki Serbskiej, które mają na celu uzyskanie międzynarodowego poparcia dla jej secesji lub kwestionowanie mandatu wysokiego przedstawiciela, ponieważ takie działania stanowią bezpośrednie naruszenie konstytucji </w:t>
      </w:r>
      <w:r w:rsidRPr="00CD759A">
        <w:t>BiH</w:t>
      </w:r>
      <w:r w:rsidRPr="00CD759A">
        <w:t xml:space="preserve"> oraz są sprzeczne z suwerennością i integralnością terytorialną tego kraju oraz jego dążeniem do integracji z Europą;</w:t>
      </w:r>
    </w:p>
    <w:p w:rsidR="00390AA9" w:rsidRPr="00CD759A" w:rsidP="00390AA9" w14:paraId="67FBC8E7" w14:textId="77777777">
      <w:pPr>
        <w:pStyle w:val="NormalHanging12a"/>
      </w:pPr>
      <w:r w:rsidRPr="00CD759A">
        <w:t>15.</w:t>
      </w:r>
      <w:r w:rsidRPr="00CD759A">
        <w:tab/>
        <w:t xml:space="preserve">wzywa Radę i Komisję do rozważenia wszystkich dostępnych narzędzi, w tym ukierunkowanych środków ograniczających w ramach istniejących unijnych ram sankcji wobec </w:t>
      </w:r>
      <w:r w:rsidRPr="00CD759A">
        <w:t>BiH</w:t>
      </w:r>
      <w:r w:rsidRPr="00CD759A">
        <w:t xml:space="preserve"> i ich kolejnych przedłużeń, wobec osób odpowiedzialnych za poważne i trwałe utrudnianie funkcjonowania instytucji demokratycznych, procesu reform, </w:t>
      </w:r>
      <w:r w:rsidRPr="00CD759A">
        <w:t>integralności terytorialnej i procesu integracji z UE; podkreśla, że takie środki muszą być proporcjonalne i odwracalne oraz zostać zaprojektowane w taki sposób, aby nie miały wpływu na ludność;</w:t>
      </w:r>
    </w:p>
    <w:p w:rsidR="00390AA9" w:rsidRPr="00CD759A" w:rsidP="00390AA9" w14:paraId="41572FA4" w14:textId="77777777">
      <w:pPr>
        <w:pStyle w:val="NormalHanging12a"/>
      </w:pPr>
      <w:r w:rsidRPr="00CD759A">
        <w:t>16.</w:t>
      </w:r>
      <w:r w:rsidRPr="00CD759A">
        <w:tab/>
        <w:t>zachęca Komisję do zwiększenia zaangażowania w terenie w celu promowania dialogu, budowania zaufania i pogłębiania integracji regionalnej;</w:t>
      </w:r>
    </w:p>
    <w:p w:rsidR="00390AA9" w:rsidRPr="00CD759A" w:rsidP="00390AA9" w14:paraId="48CB8BBB" w14:textId="77777777">
      <w:pPr>
        <w:pStyle w:val="NormalHanging12a"/>
      </w:pPr>
      <w:r w:rsidRPr="00CD759A">
        <w:t>17.</w:t>
      </w:r>
      <w:r w:rsidRPr="00CD759A">
        <w:tab/>
        <w:t xml:space="preserve">wyraża zadowolenie, że </w:t>
      </w:r>
      <w:r w:rsidRPr="00CD759A">
        <w:t>BiH</w:t>
      </w:r>
      <w:r w:rsidRPr="00CD759A">
        <w:t xml:space="preserve"> nieprzerwanie i w pełni dostosowuje się formalnie do wspólnej polityki zagranicznej i bezpieczeństwa UE, w tym w odniesieniu do sankcji nałożonych w odpowiedzi na rosyjską wojnę napastniczą przeciwko Ukrainie, i apeluje o skuteczne wdrożenie i egzekwowanie tych sankcji przez wszystkie podmioty polityczne; z zadowoleniem przyjmuje dalszy udział </w:t>
      </w:r>
      <w:r w:rsidRPr="00CD759A">
        <w:t>BiH</w:t>
      </w:r>
      <w:r w:rsidRPr="00CD759A">
        <w:t xml:space="preserve"> w działaniach i operacjach UE w zakresie zarządzania kryzysowego;</w:t>
      </w:r>
    </w:p>
    <w:p w:rsidR="00390AA9" w:rsidRPr="00CD759A" w:rsidP="00390AA9" w14:paraId="43BC6704" w14:textId="77777777">
      <w:pPr>
        <w:pStyle w:val="NormalHanging12a"/>
      </w:pPr>
      <w:r w:rsidRPr="00CD759A">
        <w:t>18.</w:t>
      </w:r>
      <w:r w:rsidRPr="00CD759A">
        <w:tab/>
        <w:t xml:space="preserve">z zadowoleniem przyjmuje jednomyślne przyjęcie programu reform Bośni i Hercegowiny na 2025 r. przez Radę Ministrów </w:t>
      </w:r>
      <w:r w:rsidRPr="00CD759A">
        <w:t>BiH</w:t>
      </w:r>
      <w:r w:rsidRPr="00CD759A">
        <w:t xml:space="preserve"> oraz stałe zaangażowanie </w:t>
      </w:r>
      <w:r w:rsidRPr="00CD759A">
        <w:t>BiH</w:t>
      </w:r>
      <w:r w:rsidRPr="00CD759A">
        <w:t xml:space="preserve"> w ramach Partnerstwa dla Pokoju NATO; zachęca instytucje krajowe do dalszej realizacji priorytetów i zobowiązań wynikających z tej współpracy w celu wzmocnienia zdolności instytucjonalnych, współpracy w dziedzinie bezpieczeństwa oraz integracji euroatlantyckiej, a także wzmocnienia gotowości obronnej kraju;</w:t>
      </w:r>
    </w:p>
    <w:p w:rsidR="00390AA9" w:rsidRPr="00CD759A" w:rsidP="00390AA9" w14:paraId="2DC8D561" w14:textId="77777777">
      <w:pPr>
        <w:pStyle w:val="NormalHanging12a"/>
      </w:pPr>
      <w:r w:rsidRPr="00CD759A">
        <w:t>19.</w:t>
      </w:r>
      <w:r w:rsidRPr="00CD759A">
        <w:tab/>
        <w:t xml:space="preserve">ponownie wyraża poparcie dla Biura Wysokiego Przedstawiciela i operacji Unii Europejskiej (EUFOR) ALTHEA oraz – ubolewając, że instytucje te są wciąż nieodzowne dla </w:t>
      </w:r>
      <w:r w:rsidRPr="00CD759A">
        <w:t>BiH</w:t>
      </w:r>
      <w:r w:rsidRPr="00CD759A">
        <w:t xml:space="preserve"> – uznaje ich kluczową rolę w gwarantowaniu pokoju i stabilności w </w:t>
      </w:r>
      <w:r w:rsidRPr="00CD759A">
        <w:t>BiH</w:t>
      </w:r>
      <w:r w:rsidRPr="00CD759A">
        <w:t xml:space="preserve"> oraz w tym regionie, i popiera realizację ich mandatów do czasu ustanowienia struktur odpowiedzialności na szczeblu krajowym; wyraża ubolewanie z powodu ciągłej konieczności przedłużania mandatu misji EUFOR </w:t>
      </w:r>
      <w:r w:rsidRPr="00CD759A">
        <w:t>Althea</w:t>
      </w:r>
      <w:r w:rsidRPr="00CD759A">
        <w:t xml:space="preserve"> ponad 30 lat po zawarciu porozumienia pokojowego z Dayton i zachęca </w:t>
      </w:r>
      <w:r w:rsidRPr="00CD759A">
        <w:t>BiH</w:t>
      </w:r>
      <w:r w:rsidRPr="00CD759A">
        <w:t xml:space="preserve"> do wypełnienia zaległego zobowiązania w ramach agendy 5 + 2, aby utorować drogę do zniesienia międzynarodowego nadzoru; wzywa wszystkie uprawnione państwa członkowskie do zwiększenia swojego udziału w misjach pokojowych UE, takich jak operacja EUFOR </w:t>
      </w:r>
      <w:r w:rsidRPr="00CD759A">
        <w:t>Althea</w:t>
      </w:r>
      <w:r w:rsidRPr="00CD759A">
        <w:t xml:space="preserve"> w </w:t>
      </w:r>
      <w:r w:rsidRPr="00CD759A">
        <w:t>BiH</w:t>
      </w:r>
      <w:r w:rsidRPr="00CD759A">
        <w:t>; podkreśla, jak istotne jest utrzymanie odpowiedniego poziomu sił i orientacji sytuacyjnej, w tym monitorowanie zmieniającego się środowiska politycznego i sytuacji w zakresie bezpieczeństwa; zwraca uwagę, że misja ta pozostaje kluczowym czynnikiem stabilizującym w tym kraju;</w:t>
      </w:r>
    </w:p>
    <w:p w:rsidR="00390AA9" w:rsidRPr="00CD759A" w:rsidP="00390AA9" w14:paraId="0CAEA450" w14:textId="77777777">
      <w:pPr>
        <w:pStyle w:val="NormalHanging12a"/>
      </w:pPr>
      <w:r w:rsidRPr="00CD759A">
        <w:t>20.</w:t>
      </w:r>
      <w:r w:rsidRPr="00CD759A">
        <w:tab/>
        <w:t xml:space="preserve">ubolewa nad rezygnacją wysokiego przedstawiciela Christiana Schmidta i podkreśla, że wszelkie przyszłe zmiany dotyczące Biura Wysokiego Przedstawiciela powinny opierać się na pełnym poszanowaniu porządku konstytucyjnego, suwerenności i integralności terytorialnej </w:t>
      </w:r>
      <w:r w:rsidRPr="00CD759A">
        <w:t>BiH</w:t>
      </w:r>
      <w:r w:rsidRPr="00CD759A">
        <w:t xml:space="preserve">, przy jednoczesnym wspieraniu większej odpowiedzialności lokalnej oraz odpowiedzialności instytucjonalnej za postępy na drodze tego kraju do integracji europejskiej; podkreśla, że w świetle znacznego wkładu finansowego UE każdy przyszły wysoki przedstawiciel powinien pochodzić z państwa członkowskiego UE i działać w oparciu o jasny plan działania zmierzający do stopniowego zamknięcia Biura Wysokiego Przedstawiciela i przekazania obowiązków specjalnemu przedstawicielowi UE; podkreśla, że ewentualna rezygnacja nie może być powiązana z uchyleniem przepisów przyjętych w odpowiedzi na działania separatystyczne lub środki niezgodne z konstytucją, za którymi opowiada się </w:t>
      </w:r>
      <w:r w:rsidRPr="00CD759A">
        <w:t>Milorad</w:t>
      </w:r>
      <w:r w:rsidRPr="00CD759A">
        <w:t xml:space="preserve"> </w:t>
      </w:r>
      <w:r w:rsidRPr="00CD759A">
        <w:t>Dodik</w:t>
      </w:r>
      <w:r w:rsidRPr="00CD759A">
        <w:t>, ani uzależniona od tego uchylenia;</w:t>
      </w:r>
    </w:p>
    <w:p w:rsidR="00390AA9" w:rsidRPr="00CD759A" w:rsidP="00390AA9" w14:paraId="22E23BC6" w14:textId="77777777">
      <w:pPr>
        <w:pStyle w:val="NormalHanging12a"/>
      </w:pPr>
      <w:r w:rsidRPr="00CD759A">
        <w:t>21.</w:t>
      </w:r>
      <w:r w:rsidRPr="00CD759A">
        <w:tab/>
        <w:t xml:space="preserve">jest nadal zaniepokojony szkodliwymi działaniami dezinformacyjnymi i ingerencjami zagranicznymi podejmowanymi przez podmioty z państw trzecich w </w:t>
      </w:r>
      <w:r w:rsidRPr="00CD759A">
        <w:t>BiH</w:t>
      </w:r>
      <w:r w:rsidRPr="00CD759A">
        <w:t xml:space="preserve">, których celem jest sianie niezgody, przemocy i napięć </w:t>
      </w:r>
      <w:r w:rsidRPr="00CD759A">
        <w:t>międzyetnicznych</w:t>
      </w:r>
      <w:r w:rsidRPr="00CD759A">
        <w:t xml:space="preserve"> oraz destabilizacja </w:t>
      </w:r>
      <w:r w:rsidRPr="00CD759A">
        <w:t>BiH</w:t>
      </w:r>
      <w:r w:rsidRPr="00CD759A">
        <w:t xml:space="preserve"> i jej ścieżki akcesyjnej; jest szczególnie zaniepokojony ciągłymi działaniami dezinformacyjnymi prowadzonymi przez Rosję i Serbię, wymierzonymi ogólnie w Bałkany Zachodnie, które są również wspierane przez podmioty krajowe, a w mniejszym stopniu również przez Turcję, Iran i inne kraje Zatoki Perskiej; wyraża również zaniepokojenie rosnącymi wpływami gospodarczymi i politycznymi Chin w regionie, w szczególności wywieranymi poprzez strategiczną infrastrukturę i pożyczki; wzywa </w:t>
      </w:r>
      <w:r w:rsidRPr="00CD759A">
        <w:t>BiH</w:t>
      </w:r>
      <w:r w:rsidRPr="00CD759A">
        <w:t xml:space="preserve"> do podjęcia zdecydowanych kroków w celu przeciwdziałania tym zagrożeniom i wzmocnienia odporności społecznej, w tym poprzez działania na rzecz dostosowania do aktu o usługach cyfrowych</w:t>
      </w:r>
      <w:r>
        <w:rPr>
          <w:rStyle w:val="FootnoteReference"/>
        </w:rPr>
        <w:footnoteReference w:customMarkFollows="1" w:id="6"/>
        <w:t xml:space="preserve">5</w:t>
      </w:r>
      <w:r w:rsidRPr="00CD759A">
        <w:t xml:space="preserve">, do budowania zdolności, a także opracowania strategii i mechanizmów koordynacji w celu reagowania na zagrożenia związane z wyborami i inne zagrożenia w cyfrowej przestrzeni informacyjnej, zgodnie z celami europejskiej tarczy demokracji; wzywa </w:t>
      </w:r>
      <w:r w:rsidRPr="00CD759A">
        <w:t>BiH</w:t>
      </w:r>
      <w:r w:rsidRPr="00CD759A">
        <w:t xml:space="preserve"> do dalszego rozwijania i wdrażania kompleksowych i </w:t>
      </w:r>
      <w:r w:rsidRPr="00CD759A">
        <w:t>inkluzywnych</w:t>
      </w:r>
      <w:r w:rsidRPr="00CD759A">
        <w:t xml:space="preserve"> inicjatyw na rzecz umiejętności korzystania z mediów w całym systemie edukacji;</w:t>
      </w:r>
    </w:p>
    <w:p w:rsidR="00390AA9" w:rsidRPr="00CD759A" w:rsidP="00390AA9" w14:paraId="5C1BE2EF" w14:textId="77777777">
      <w:pPr>
        <w:pStyle w:val="NormalHanging12a"/>
      </w:pPr>
      <w:r w:rsidRPr="00CD759A">
        <w:t>22.</w:t>
      </w:r>
      <w:r w:rsidRPr="00CD759A">
        <w:tab/>
        <w:t xml:space="preserve">podkreśla, jak istotna jest strategiczna komunikacja na temat korzyści płynących z członkostwa w UE; wzywa Europejską Służbę Działań Zewnętrznych i delegaturę UE w </w:t>
      </w:r>
      <w:r w:rsidRPr="00CD759A">
        <w:t>BiH</w:t>
      </w:r>
      <w:r w:rsidRPr="00CD759A">
        <w:t xml:space="preserve"> do wzmożenia wysiłków w tym zakresie oraz do wzmocnienia finansowanych przez UE środków pomocy na rzecz odporności demokratycznej i integralności informacji; podkreśla kluczową rolę organizacji społeczeństwa obywatelskiego w promowaniu bezpośredniego dyskursu publicznego na temat integracji z UE, przeciwdziałaniu dezinformacji i ułatwianiu świadomej debaty publicznej oraz wzywa Komisję i państwa członkowskie UE do zaangażowania tych organizacji w działania w zakresie komunikacji strategicznej;</w:t>
      </w:r>
    </w:p>
    <w:p w:rsidR="00390AA9" w:rsidRPr="00CD759A" w:rsidP="00390AA9" w14:paraId="34DDDA05" w14:textId="77777777">
      <w:pPr>
        <w:pStyle w:val="NormalHanging12a"/>
      </w:pPr>
      <w:r w:rsidRPr="00CD759A">
        <w:t>23.</w:t>
      </w:r>
      <w:r w:rsidRPr="00CD759A">
        <w:tab/>
        <w:t>przypomina, że bezpieczeństwo i stabilność na Bałkanach Zachodnich nadal nie są czymś trwałym oraz że istnieje ryzyko wystąpienia potencjalnych skutków zewnętrznych obecnego pogorszenia się sytuacji w zakresie bezpieczeństwa w Europie; podkreśla potrzebę proaktywnego zwalczania propagandy szerzonej w tym regionie przez podmioty działające w złej wierze, której celem jest zaszkodzenie unijnym interesom i wartościom;</w:t>
      </w:r>
    </w:p>
    <w:p w:rsidR="00390AA9" w:rsidRPr="00CD759A" w:rsidP="00390AA9" w14:paraId="3E01BA92" w14:textId="77777777">
      <w:pPr>
        <w:pStyle w:val="NormalHanging12a"/>
      </w:pPr>
      <w:r w:rsidRPr="00CD759A">
        <w:t>24.</w:t>
      </w:r>
      <w:r w:rsidRPr="00CD759A">
        <w:tab/>
        <w:t xml:space="preserve">z zadowoleniem przyjmuje zaangażowanie </w:t>
      </w:r>
      <w:r w:rsidRPr="00CD759A">
        <w:t>BiH</w:t>
      </w:r>
      <w:r w:rsidRPr="00CD759A">
        <w:t xml:space="preserve"> w prace Parlamentarnego Komitetu Stabilizacji i Stowarzyszenia UE–</w:t>
      </w:r>
      <w:r w:rsidRPr="00CD759A">
        <w:t>BiH</w:t>
      </w:r>
      <w:r w:rsidRPr="00CD759A">
        <w:t>, zgodnie z jednym z 14 kluczowych priorytetów określonych przez Komisję;</w:t>
      </w:r>
    </w:p>
    <w:p w:rsidR="00390AA9" w:rsidRPr="00CD759A" w:rsidP="00390AA9" w14:paraId="635F5B30" w14:textId="77777777">
      <w:pPr>
        <w:pStyle w:val="NormalHanging12a"/>
      </w:pPr>
      <w:r w:rsidRPr="00CD759A">
        <w:t>25.</w:t>
      </w:r>
      <w:r w:rsidRPr="00CD759A">
        <w:tab/>
        <w:t>zwraca się do Komisji Europejskiej i Rady Ministrów Bośni i Hercegowiny o pełne przestrzeganie decyzji Rady (UE) 2015/1900 z dnia 5 października 2015 r.</w:t>
      </w:r>
      <w:r>
        <w:rPr>
          <w:rStyle w:val="FootnoteReference"/>
        </w:rPr>
        <w:footnoteReference w:customMarkFollows="1" w:id="7"/>
        <w:t xml:space="preserve">6</w:t>
      </w:r>
      <w:r w:rsidRPr="00CD759A">
        <w:t>, w szczególności przepisów dotyczących składu i reprezentacji członków Komitetu Stabilizacji i Stowarzyszenia, oraz o zapewnienie jej pełnego i skutecznego wdrożenia w praktyce;</w:t>
      </w:r>
    </w:p>
    <w:p w:rsidR="00390AA9" w:rsidRPr="00CD759A" w:rsidP="00390AA9" w14:paraId="5C3A2CB5" w14:textId="77777777">
      <w:pPr>
        <w:pStyle w:val="Normal12a"/>
      </w:pPr>
      <w:r w:rsidRPr="00CD759A">
        <w:rPr>
          <w:b/>
          <w:i/>
        </w:rPr>
        <w:t>Demokracja i praworządność</w:t>
      </w:r>
    </w:p>
    <w:p w:rsidR="00390AA9" w:rsidRPr="00CD759A" w:rsidP="00390AA9" w14:paraId="3ED207A7" w14:textId="77777777">
      <w:pPr>
        <w:pStyle w:val="NormalHanging12a"/>
      </w:pPr>
      <w:r w:rsidRPr="00CD759A">
        <w:t>26.</w:t>
      </w:r>
      <w:r w:rsidRPr="00CD759A">
        <w:tab/>
        <w:t xml:space="preserve">ubolewa, że podmioty polityczne </w:t>
      </w:r>
      <w:r w:rsidRPr="00CD759A">
        <w:t>BiH</w:t>
      </w:r>
      <w:r w:rsidRPr="00CD759A">
        <w:t xml:space="preserve"> nadal nie wprowadziły niezbędnych reform konstytucyjnych i wyborczych, tak aby wszyscy obywatele mogli korzystać z przysługujących im praw politycznych na równych zasadach; ponownie wzywa </w:t>
      </w:r>
      <w:r w:rsidRPr="00CD759A">
        <w:t>BiH</w:t>
      </w:r>
      <w:r w:rsidRPr="00CD759A">
        <w:t xml:space="preserve"> do dostosowania się do europejskiej konwencji praw człowieka i wykonania odpowiednich orzeczeń Trybunału Konstytucyjnego </w:t>
      </w:r>
      <w:r w:rsidRPr="00CD759A">
        <w:t>BiH</w:t>
      </w:r>
      <w:r w:rsidRPr="00CD759A">
        <w:t xml:space="preserve"> i Europejskiego Trybunału Praw Człowieka w celu wyeliminowania wszelkich nierówności i dyskryminacji; wzywa wszystkie władze polityczne i przedstawicieli instytucji do podjęcia działań na rzecz wprowadzenia niezbędnych zmian w drodze prawdziwego dialogu, otwartego procesu oraz szeroko zakrojonych konsultacji z obywatelami, społeczeństwem obywatelskim, niezależnymi ekspertami i wszystkimi zainteresowanymi stronami w kraju, aby umożliwić trwałe przekształcenie porozumienia pokojowego z Dayton w konstytucję, w pełni zgodną z europejskimi standardami i zasadami, w celu zapewnienia sprawnego, odpowiedzialnego i reprezentatywnego systemu sprawowania rządów, cieszącego się legitymacją społeczną; ponownie wyraża pogląd, że żadne reformy wyborcze nie mogą pogłębiać ani utrwalać podziałów etnicznych;</w:t>
      </w:r>
    </w:p>
    <w:p w:rsidR="00390AA9" w:rsidRPr="00CD759A" w:rsidP="00390AA9" w14:paraId="1A7C5ABA" w14:textId="77777777">
      <w:pPr>
        <w:pStyle w:val="NormalHanging12a"/>
      </w:pPr>
      <w:r w:rsidRPr="00CD759A">
        <w:t>27.</w:t>
      </w:r>
      <w:r w:rsidRPr="00CD759A">
        <w:tab/>
        <w:t xml:space="preserve">wzywa władze </w:t>
      </w:r>
      <w:r w:rsidRPr="00CD759A">
        <w:t>BiH</w:t>
      </w:r>
      <w:r w:rsidRPr="00CD759A">
        <w:t xml:space="preserve"> do niezwłocznego wdrożenia międzynarodowych zaleceń mających na celu wzmocnienie uczciwości, wiarygodności i przejrzystości procesu wyborczego, w tym na etapie przedwyborczym, w szczególności w odniesieniu do finansowania partii i kampanii wyborczych, reklamy politycznej i kampanii politycznych, zabezpieczeń przed manipulacją i dezinformacją w informacjach rozpowszechnianych publicznie, rejestracji partii, środków zapewniających równouprawnienie płci oraz przepisów dotyczących nowoczesnych technologii wyborczych, takich jak biometryczna identyfikacja wyborców i weryfikacja kart do głosowania; apeluje o zapewnienie trwałego finansowania Centralnej Komisji Wyborczej;</w:t>
      </w:r>
    </w:p>
    <w:p w:rsidR="00390AA9" w:rsidRPr="00CD759A" w:rsidP="00390AA9" w14:paraId="2FB148DE" w14:textId="77777777">
      <w:pPr>
        <w:pStyle w:val="NormalHanging12a"/>
      </w:pPr>
      <w:r w:rsidRPr="00CD759A">
        <w:t>28.</w:t>
      </w:r>
      <w:r w:rsidRPr="00CD759A">
        <w:tab/>
        <w:t xml:space="preserve">wzywa władze </w:t>
      </w:r>
      <w:r w:rsidRPr="00CD759A">
        <w:t>BiH</w:t>
      </w:r>
      <w:r w:rsidRPr="00CD759A">
        <w:t xml:space="preserve"> do zapewnienia politycznie niezależnego mianowania oraz skutecznej weryfikacji przewodniczących komisji wyborczych i ich zastępców, do zapobiegania obchodzeniu przepisów dotyczących bezpartyjnego kierownictwa komisji wyborczych, do regularnego kontrolowania rejestrów wyborców i nieprawidłowości w frekwencji oraz do zapewnienia terminowego prowadzenia postępowań i skutecznego karania oszustw wyborczych, w tym kradzieży tożsamości, fałszowania podpisów oraz niewiarygodnych wzorców frekwencji, a także zrównoważonego przekazu medialnego i skutecznego nadzoru nad nadawcami publicznymi podczas kampanii wyborczych;</w:t>
      </w:r>
    </w:p>
    <w:p w:rsidR="00390AA9" w:rsidRPr="00CD759A" w:rsidP="00390AA9" w14:paraId="3F454870" w14:textId="77777777">
      <w:pPr>
        <w:pStyle w:val="NormalHanging12a"/>
      </w:pPr>
      <w:r w:rsidRPr="00CD759A">
        <w:t>29.</w:t>
      </w:r>
      <w:r w:rsidRPr="00CD759A">
        <w:tab/>
        <w:t xml:space="preserve">podkreśla, że chociaż decentralizacja jest zgodna z członkostwem w UE, </w:t>
      </w:r>
      <w:r w:rsidRPr="00CD759A">
        <w:t>BiH</w:t>
      </w:r>
      <w:r w:rsidRPr="00CD759A">
        <w:t xml:space="preserve"> musi dostosować swoje ramy konstytucyjne do standardów UE oraz orzeczeń Europejskiego Trybunału Praw Człowieka i Trybunału Konstytucyjnego </w:t>
      </w:r>
      <w:r w:rsidRPr="00CD759A">
        <w:t>BiH</w:t>
      </w:r>
      <w:r w:rsidRPr="00CD759A">
        <w:t xml:space="preserve"> oraz zadbać o skuteczne funkcjonowanie swoich instytucji, aby w pełni przyjąć na siebie obowiązki związane z członkostwem w UE i przynosić korzyści wszystkim obywatelom, w tym poprzez większą pewność prawa w zakresie podziału kompetencji, skuteczną zdolność na szczeblu państwowym do koordynowania, przyjmowania, wdrażania i egzekwowania dorobku prawnego UE, a także rozwiązania instytucjonalne pozwalające zapobiegać utrzymującym się blokadom oraz nadużywaniu mechanizmów weta;</w:t>
      </w:r>
    </w:p>
    <w:p w:rsidR="00390AA9" w:rsidRPr="00CD759A" w:rsidP="00390AA9" w14:paraId="5FF8B7B8" w14:textId="77777777">
      <w:pPr>
        <w:pStyle w:val="NormalHanging12a"/>
      </w:pPr>
      <w:r w:rsidRPr="00CD759A">
        <w:t>30.</w:t>
      </w:r>
      <w:r w:rsidRPr="00CD759A">
        <w:tab/>
        <w:t xml:space="preserve">wzywa wszystkie władze, zwłaszcza w Republice Serbskiej, do poszanowania i wdrożenia orzeczeń Trybunału Konstytucyjnego </w:t>
      </w:r>
      <w:r w:rsidRPr="00CD759A">
        <w:t>BiH</w:t>
      </w:r>
      <w:r w:rsidRPr="00CD759A">
        <w:t xml:space="preserve"> oraz do utrzymania porządku konstytucyjnego, a także do niezwłocznego powołania brakujących sędziów z Republiki Serbskiej do Trybunału Konstytucyjnego Bośni i Hercegowiny;</w:t>
      </w:r>
    </w:p>
    <w:p w:rsidR="00390AA9" w:rsidRPr="00CD759A" w:rsidP="00390AA9" w14:paraId="63ACEF2C" w14:textId="77777777">
      <w:pPr>
        <w:pStyle w:val="NormalHanging12a"/>
      </w:pPr>
      <w:r w:rsidRPr="00CD759A">
        <w:t>31.</w:t>
      </w:r>
      <w:r w:rsidRPr="00CD759A">
        <w:tab/>
        <w:t xml:space="preserve">podkreśla kluczową rolę praworządności w transformacji demokratycznej; wzywa do pilnej reformy sądownictwa w celu wzmocnienia niezależności, profesjonalizmu, rozliczalności i skuteczności sądownictwa, w tym poprzez ramy prawne, które wzmacniają uczciwość, niezależność, stabilność finansową i funkcjonowanie oraz przejrzystość Wysokiej Rady Sędziów i Prokuratorów, określają zabezpieczenia dotyczące nominacji, konfliktu interesów, oświadczeń majątkowych i oświadczeń o braku konfliktu interesów oraz ograniczeń dotyczących kadencji; zwraca uwagę, że wszystkie nominacje sędziowskie w </w:t>
      </w:r>
      <w:r w:rsidRPr="00CD759A">
        <w:t>BiH</w:t>
      </w:r>
      <w:r w:rsidRPr="00CD759A">
        <w:t xml:space="preserve"> powinny opierać się na zasługach, kompetencjach i kwalifikacjach zawodowych;</w:t>
      </w:r>
    </w:p>
    <w:p w:rsidR="00390AA9" w:rsidRPr="00CD759A" w:rsidP="00390AA9" w14:paraId="7C60694F" w14:textId="77777777">
      <w:pPr>
        <w:pStyle w:val="NormalHanging12a"/>
      </w:pPr>
      <w:r w:rsidRPr="00CD759A">
        <w:t>32.</w:t>
      </w:r>
      <w:r w:rsidRPr="00CD759A">
        <w:tab/>
        <w:t>z zaniepokojeniem odnotowuje ograniczone postępy w zwalczaniu powszechnej korupcji i nasilające się oznaki zawłaszczania państwa, co stanowi problem strukturalny, głęboko zakorzeniony w wysoce złożonym systemie sprawowania rządów w kraju opartym na pochodzeniu etnicznym; wzywa władze polityczne do podjęcia natychmiastowych i konkretnych działań na szczeblu państwowym i na szczeblu części składowych oraz do zacieśnienia współpracy między organami antykorupcyjnymi, policją i prokuraturą, aby skuteczniej zwalczać korupcję i przejmowanie kontroli nad państwem, co pozwoli przywrócić zaufanie społeczne i powstrzymać drenaż mózgów; apeluje o niezależne i przejrzyste sądowe działania następcze, przy czym sądownictwo należy chronić przed ingerencją polityczną, zastraszaniem lub wybiórczym stosowaniem prawa;</w:t>
      </w:r>
    </w:p>
    <w:p w:rsidR="00390AA9" w:rsidRPr="00CD759A" w:rsidP="00390AA9" w14:paraId="19B50558" w14:textId="77777777">
      <w:pPr>
        <w:pStyle w:val="NormalHanging12a"/>
      </w:pPr>
      <w:r w:rsidRPr="00CD759A">
        <w:t>33.</w:t>
      </w:r>
      <w:r w:rsidRPr="00CD759A">
        <w:tab/>
        <w:t xml:space="preserve">wzywa organy władzy na wszystkich szczeblach w </w:t>
      </w:r>
      <w:r w:rsidRPr="00CD759A">
        <w:t>BiH</w:t>
      </w:r>
      <w:r w:rsidRPr="00CD759A">
        <w:t xml:space="preserve"> do dostosowania ram prawnych i instytucjonalnych dotyczących ochrony sygnalistów do odpowiedniego dorobku prawnego UE oraz do ich pełnego egzekwowania w praktyce; ponadto apeluje do organów władzy na wszystkich szczeblach, aby zadbały o to, by sygnalistów traktowano w sposób profesjonalny, oparty na poszanowaniu praw i wolny od zastraszania, co można osiągnąć między innymi poprzez systematyczne szkolenia i działania uświadamiające dla urzędników publicznych odpowiedzialnych za przyjmowanie i rozpatrywanie zgłoszeń, tak aby zapobiegać praktykom podważającym zaufanie do mechanizmów zgłaszania, w tym kwestionowaniu motywów działania sygnalistów; wzywa władze </w:t>
      </w:r>
      <w:r w:rsidRPr="00CD759A">
        <w:t>BiH</w:t>
      </w:r>
      <w:r w:rsidRPr="00CD759A">
        <w:t xml:space="preserve"> na wszystkich szczeblach do poprawy i pełnego egzekwowania przepisów dotyczących konfliktów interesów;</w:t>
      </w:r>
    </w:p>
    <w:p w:rsidR="00390AA9" w:rsidRPr="00CD759A" w:rsidP="00390AA9" w14:paraId="509ACE5E" w14:textId="77777777">
      <w:pPr>
        <w:pStyle w:val="NormalHanging12a"/>
      </w:pPr>
      <w:r w:rsidRPr="00CD759A">
        <w:t>34.</w:t>
      </w:r>
      <w:r w:rsidRPr="00CD759A">
        <w:tab/>
        <w:t xml:space="preserve">wzywa </w:t>
      </w:r>
      <w:r w:rsidRPr="00CD759A">
        <w:t>BiH</w:t>
      </w:r>
      <w:r w:rsidRPr="00CD759A">
        <w:t xml:space="preserve"> do wyeliminowania luk systemowych w zwalczaniu przestępczości zorganizowanej poprzez poprawę współpracy operacyjnej między organami ścigania na </w:t>
      </w:r>
      <w:r w:rsidRPr="00CD759A">
        <w:t>szczeblu państwowym i na szczeblu części składowych, ich zdolności dochodzeniowych, dochodzeń oraz zajmowania i konfiskaty mienia, a także do rozwiązania problemu zawłaszczania politycznego; z zadowoleniem przyjmuje operacje egzekwowania prawa wspierane przez Europol; wyraża zaniepokojenie podatnością systemu politycznego i prawnego na infiltrację przestępczą;</w:t>
      </w:r>
    </w:p>
    <w:p w:rsidR="00390AA9" w:rsidRPr="00CD759A" w:rsidP="00390AA9" w14:paraId="5DEBDE56" w14:textId="77777777">
      <w:pPr>
        <w:pStyle w:val="NormalHanging12a"/>
      </w:pPr>
      <w:r w:rsidRPr="00CD759A">
        <w:t>35.</w:t>
      </w:r>
      <w:r w:rsidRPr="00CD759A">
        <w:tab/>
        <w:t xml:space="preserve">wzywa </w:t>
      </w:r>
      <w:r w:rsidRPr="00CD759A">
        <w:t>BiH</w:t>
      </w:r>
      <w:r w:rsidRPr="00CD759A">
        <w:t xml:space="preserve"> do wyeliminowania luk w przepisach dotyczących przeciwdziałania praniu pieniędzy i finansowaniu terroryzmu, aby uniknąć umieszczenia na szarej liście, w tym poprzez przyjęcie niezbędnych zarządzeń wymaganych do skutecznego wdrożenia ustawy o przeciwdziałaniu praniu pieniędzy i finansowaniu terroryzmu oraz poprzez szybkie ustanowienie rejestrów beneficjentów rzeczywistych dla osób prawnych, w szczególności poprzez zapewnienie natychmiastowych działań części składowych i Dystryktu </w:t>
      </w:r>
      <w:r w:rsidRPr="00CD759A">
        <w:t>Brczko</w:t>
      </w:r>
      <w:r w:rsidRPr="00CD759A">
        <w:t>, w pełni zgodnie z dorobkiem prawnym UE oraz zaleceniami MONEYVAL;</w:t>
      </w:r>
    </w:p>
    <w:p w:rsidR="00390AA9" w:rsidRPr="00CD759A" w:rsidP="00390AA9" w14:paraId="3CBD828D" w14:textId="77777777">
      <w:pPr>
        <w:pStyle w:val="NormalHanging12a"/>
      </w:pPr>
      <w:r w:rsidRPr="00CD759A">
        <w:t>36.</w:t>
      </w:r>
      <w:r w:rsidRPr="00CD759A">
        <w:tab/>
        <w:t xml:space="preserve">wzywa </w:t>
      </w:r>
      <w:r w:rsidRPr="00CD759A">
        <w:t>BiH</w:t>
      </w:r>
      <w:r w:rsidRPr="00CD759A">
        <w:t xml:space="preserve"> do dostosowania się do polityki wizowej UE i do tymczasowego stosowania dodatkowych środków bezpieczeństwa; wzywa ponadto </w:t>
      </w:r>
      <w:r w:rsidRPr="00CD759A">
        <w:t>BiH</w:t>
      </w:r>
      <w:r w:rsidRPr="00CD759A">
        <w:t xml:space="preserve"> do poprawy bezpieczeństwa granic i zarządzania migracją, w pełnej zgodności ze standardami praw człowieka i prawem międzynarodowym;</w:t>
      </w:r>
    </w:p>
    <w:p w:rsidR="00390AA9" w:rsidRPr="00CD759A" w:rsidP="00390AA9" w14:paraId="4D4637FC" w14:textId="77777777">
      <w:pPr>
        <w:pStyle w:val="NormalHanging12a"/>
      </w:pPr>
      <w:r w:rsidRPr="00CD759A">
        <w:t>37.</w:t>
      </w:r>
      <w:r w:rsidRPr="00CD759A">
        <w:tab/>
        <w:t>apeluje o silną i efektywną administrację publiczną oraz profesjonalną i odpolitycznioną służbę cywilną z nominacjami opartymi wyłącznie na kryteriach merytorycznych, a także o zwiększenie zdolności koordynatorów reform na szczeblu części składowych i na szczeblu lokalnym, biorąc pod uwagę, że to właśnie tam znajduje się pierwszy punkt kontaktu obywateli z administracją, oraz o ogólnokrajową koordynację polityki, a także o cyfryzację administracji publicznej w celu ograniczenia upolitycznienia i nieefektywności;</w:t>
      </w:r>
    </w:p>
    <w:p w:rsidR="00390AA9" w:rsidRPr="00CD759A" w:rsidP="00390AA9" w14:paraId="19DE9371" w14:textId="77777777">
      <w:pPr>
        <w:pStyle w:val="NormalHanging12a"/>
      </w:pPr>
      <w:r w:rsidRPr="00CD759A">
        <w:t>38.</w:t>
      </w:r>
      <w:r w:rsidRPr="00CD759A">
        <w:tab/>
        <w:t>podkreśla potrzebę dalszych działań na rzecz wdrażania reform zarządzania finansami publicznymi i administracji publicznej oraz przeciwdziałania utrzymującym się ograniczeniom zdolności administracyjnych poprzez stałe inwestycje UE w wysokiej jakości rozwój zdolności oraz ramy wymiany wiedzy – oparte na istniejących modelach dobrych praktyk wypracowanych przez partnerów unijnych i międzynarodowych; wzywa organy władzy na wszystkich szczeblach w </w:t>
      </w:r>
      <w:r w:rsidRPr="00CD759A">
        <w:t>BiH</w:t>
      </w:r>
      <w:r w:rsidRPr="00CD759A">
        <w:t>, w szczególności organy wykonawcze, do zapewnienia przejrzystości i publicznego dostępu do informacji na wszystkich etapach procesu decyzyjnego, w tym poprzez terminowe publikowanie projektów aktów i powiązanych dokumentów, a także tabel zgodności w zakresie dostosowania do dorobku prawnego UE oraz poprzez prowadzenie konstruktywnych konsultacji publicznych zgodnie z europejskimi standardami otwartego rządu i rozliczalności;</w:t>
      </w:r>
    </w:p>
    <w:p w:rsidR="00390AA9" w:rsidRPr="00CD759A" w:rsidP="00390AA9" w14:paraId="0ACB282D" w14:textId="77777777">
      <w:pPr>
        <w:pStyle w:val="NormalHanging12a"/>
      </w:pPr>
      <w:r w:rsidRPr="00CD759A">
        <w:t>39.</w:t>
      </w:r>
      <w:r w:rsidRPr="00CD759A">
        <w:tab/>
        <w:t>podkreśla kluczową rolę organizacji społeczeństwa obywatelskiego w procesie rozszerzenia i we wspieraniu demokracji i pluralizmu oraz promowaniu dobrych rządów i postępu społecznego; zaznacza, że należy zapewnić znaczący, uporządkowany i ciągły udział organizacji społeczeństwa obywatelskiego o udokumentowanym dorobku i fachowej wiedzy sektorowej na wszystkich etapach procesu akcesyjnego; wzywa organy władzy na wszystkich szczeblach w </w:t>
      </w:r>
      <w:r w:rsidRPr="00CD759A">
        <w:t>BiH</w:t>
      </w:r>
      <w:r w:rsidRPr="00CD759A">
        <w:t xml:space="preserve"> do zwiększenia przejrzystości, rozliczalności i integralności finansowania publicznego dla organizacji społeczeństwa obywatelskiego, w tym poprzez obowiązkowe publiczne zaproszenia do składania wniosków, jasne i wymierne kryteria przyznawania środków, proaktywne publikowanie danych na temat beneficjentów i przyznanych środków, tworzenie publicznych </w:t>
      </w:r>
      <w:r w:rsidRPr="00CD759A">
        <w:t xml:space="preserve">rejestrów dotacji oraz zabezpieczenia przed konfliktami interesów, wpływami politycznymi i nadużywaniem środków publicznych do celów partyjnych lub związanych z kampanią; wzywa władze </w:t>
      </w:r>
      <w:r w:rsidRPr="00CD759A">
        <w:t>BiH</w:t>
      </w:r>
      <w:r w:rsidRPr="00CD759A">
        <w:t xml:space="preserve"> oraz Komisję, aby zapewniły zwiększone, przejrzyste i trwałe finansowanie dla społeczeństwa obywatelskiego, w tym inicjatyw mających na celu przezwyciężenie podziałów społecznych, wspieranie pojednania oraz pogłębianie dialogu między grupami etnicznymi;</w:t>
      </w:r>
    </w:p>
    <w:p w:rsidR="00390AA9" w:rsidRPr="00CD759A" w:rsidP="00390AA9" w14:paraId="2ED0FCD2" w14:textId="77777777">
      <w:pPr>
        <w:pStyle w:val="Normal12a"/>
      </w:pPr>
      <w:r w:rsidRPr="00CD759A">
        <w:rPr>
          <w:b/>
          <w:i/>
        </w:rPr>
        <w:t>Podstawowe wolności i prawa człowieka</w:t>
      </w:r>
    </w:p>
    <w:p w:rsidR="00390AA9" w:rsidRPr="00CD759A" w:rsidP="00390AA9" w14:paraId="227FE027" w14:textId="77777777">
      <w:pPr>
        <w:pStyle w:val="NormalHanging12a"/>
      </w:pPr>
      <w:r w:rsidRPr="00CD759A">
        <w:t>40.</w:t>
      </w:r>
      <w:r w:rsidRPr="00CD759A">
        <w:tab/>
        <w:t xml:space="preserve">podkreśla, że wolne i pluralistyczne media stanowią fundament demokracji; jest zaniepokojony utrzymującym się niedoborem środków finansowych dla nadawcy publicznego </w:t>
      </w:r>
      <w:r w:rsidRPr="00CD759A">
        <w:t>BiH</w:t>
      </w:r>
      <w:r w:rsidRPr="00CD759A">
        <w:t xml:space="preserve"> i wzywa właściwe organy do wykonania prawomocnych orzeczeń sądowych wydanych w Banja Luce dotyczących długu zaciągniętego wobec BHRT przez publicznego nadawcę RTRS oraz ponawia swój apel do Zgromadzenia Parlamentarnego </w:t>
      </w:r>
      <w:r w:rsidRPr="00CD759A">
        <w:t>BiH</w:t>
      </w:r>
      <w:r w:rsidRPr="00CD759A">
        <w:t xml:space="preserve"> o przyjęcie trwałych długoterminowych ram prawnych dotyczących finansowania wszystkich trzech nadawców publicznych w kraju, przy jednoczesnym zapewnieniu przejrzystości własności mediów; przypomina, że nadawca publiczny odegrał kluczową rolę w </w:t>
      </w:r>
      <w:r w:rsidRPr="00CD759A">
        <w:t>BiH</w:t>
      </w:r>
      <w:r w:rsidRPr="00CD759A">
        <w:t xml:space="preserve"> jako narzędzie służące zjednoczeniu kraju po wojnie; wzywa do dostarczania i nadawania programów w językach urzędowych </w:t>
      </w:r>
      <w:r w:rsidRPr="00CD759A">
        <w:t>BiH</w:t>
      </w:r>
      <w:r w:rsidRPr="00CD759A">
        <w:t>;</w:t>
      </w:r>
    </w:p>
    <w:p w:rsidR="00390AA9" w:rsidRPr="00CD759A" w:rsidP="00390AA9" w14:paraId="1EC7062C" w14:textId="77777777">
      <w:pPr>
        <w:pStyle w:val="NormalHanging12a"/>
      </w:pPr>
      <w:r w:rsidRPr="00CD759A">
        <w:t>41.</w:t>
      </w:r>
      <w:r w:rsidRPr="00CD759A">
        <w:tab/>
        <w:t xml:space="preserve">wyraża ubolewanie z powodu pogorszenia się sytuacji pod względem wolności mediów w </w:t>
      </w:r>
      <w:r w:rsidRPr="00CD759A">
        <w:t>BiH</w:t>
      </w:r>
      <w:r w:rsidRPr="00CD759A">
        <w:t xml:space="preserve">; wzywa </w:t>
      </w:r>
      <w:r w:rsidRPr="00CD759A">
        <w:t>BiH</w:t>
      </w:r>
      <w:r w:rsidRPr="00CD759A">
        <w:t xml:space="preserve"> do ochrony mediów publicznych przed wpływami politycznymi, dostosowania przepisów na szczeblu jednostek administracyjnych do przepisów krajowych oraz wprowadzenia zasad dotyczących przejrzystości w odniesieniu do własności mediów i reklamy publicznej; wzywa </w:t>
      </w:r>
      <w:r w:rsidRPr="00CD759A">
        <w:t>BiH</w:t>
      </w:r>
      <w:r w:rsidRPr="00CD759A">
        <w:t xml:space="preserve"> do przyspieszenia przyjęcia ustawy o łączności elektronicznej, zgodnie z aktem o usługach cyfrowych i europejskim aktem o wolności mediów</w:t>
      </w:r>
      <w:r>
        <w:rPr>
          <w:rStyle w:val="FootnoteReference"/>
        </w:rPr>
        <w:footnoteReference w:customMarkFollows="1" w:id="8"/>
        <w:t xml:space="preserve">7</w:t>
      </w:r>
      <w:r w:rsidRPr="00CD759A">
        <w:t>; potępia ciągłe rozpowszechnianie rosyjskiej dezinformacji w Republice Serbskiej;</w:t>
      </w:r>
    </w:p>
    <w:p w:rsidR="00390AA9" w:rsidRPr="00CD759A" w:rsidP="00390AA9" w14:paraId="54447CD5" w14:textId="77777777">
      <w:pPr>
        <w:pStyle w:val="NormalHanging12a"/>
      </w:pPr>
      <w:r w:rsidRPr="00CD759A">
        <w:t>42.</w:t>
      </w:r>
      <w:r w:rsidRPr="00CD759A">
        <w:tab/>
        <w:t xml:space="preserve">zdecydowanie potępia ataki, groźby, zastraszanie, naciski polityczne, ponowne wprowadzenie i stosowanie przepisów dotyczących zniesławienia oraz strategiczne powództwa zmierzające do stłumienia debaty publicznej (SLAPP) przeciwko dziennikarzom, pracownikom mediów i innym obrońcom praw człowieka i aktywistom, w szczególności ze strony prominentnych polityków, i innych wpływowych osób; wzywa </w:t>
      </w:r>
      <w:r w:rsidRPr="00CD759A">
        <w:t>BiH</w:t>
      </w:r>
      <w:r w:rsidRPr="00CD759A">
        <w:t xml:space="preserve"> do stosowania polityki zerowej tolerancji i dopilnowania, aby takie poważne przypadki nie były bagatelizowane; wzywa władze do przyjęcia ram prawnych, które skutecznie chroniłyby ich przed SLAPP; wzywa </w:t>
      </w:r>
      <w:r w:rsidRPr="00CD759A">
        <w:t>BiH</w:t>
      </w:r>
      <w:r w:rsidRPr="00CD759A">
        <w:t xml:space="preserve"> do zagwarantowania wolności i bezpieczeństwa dziennikarzy oraz do zwalczania usiłowań ograniczenia ich swobody prowadzenia działalności; potępia również ataki na posłów do Parlamentu Europejskiego, komisarzy UE, urzędników UE i Biuro Wysokiego Przedstawiciela;</w:t>
      </w:r>
    </w:p>
    <w:p w:rsidR="00390AA9" w:rsidRPr="00CD759A" w:rsidP="00390AA9" w14:paraId="6275CFB8" w14:textId="77777777">
      <w:pPr>
        <w:pStyle w:val="NormalHanging12a"/>
      </w:pPr>
      <w:r w:rsidRPr="00CD759A">
        <w:t>43.</w:t>
      </w:r>
      <w:r w:rsidRPr="00CD759A">
        <w:tab/>
        <w:t xml:space="preserve">wzywa </w:t>
      </w:r>
      <w:r w:rsidRPr="00CD759A">
        <w:t>BiH</w:t>
      </w:r>
      <w:r w:rsidRPr="00CD759A">
        <w:t xml:space="preserve"> do harmonizacji ram prawnych i politycznych dotyczących wolności wypowiedzi i nawoływania do nienawiści na wszystkich szczeblach sprawowania rządów, z pełnym poszanowaniem europejskich i międzynarodowych standardów praw człowieka, aby zapewnić odpowiednią równowagę między ochroną wolności </w:t>
      </w:r>
      <w:r w:rsidRPr="00CD759A">
        <w:t>wypowiedzi a zapobieganiem nawoływaniu do nienawiści i ściganiem za nie, w tym poprzez wyeliminowanie istniejących luk w ramach prawnych Federacji Bośni i Hercegowiny; apeluje o zwalczania nawoływania do nienawiści w mediach publicznych;</w:t>
      </w:r>
    </w:p>
    <w:p w:rsidR="00390AA9" w:rsidRPr="00CD759A" w:rsidP="00390AA9" w14:paraId="5CAEA59A" w14:textId="77777777">
      <w:pPr>
        <w:pStyle w:val="NormalHanging12a"/>
      </w:pPr>
      <w:r w:rsidRPr="00CD759A">
        <w:t>44.</w:t>
      </w:r>
      <w:r w:rsidRPr="00CD759A">
        <w:tab/>
        <w:t xml:space="preserve">wzywa </w:t>
      </w:r>
      <w:r w:rsidRPr="00CD759A">
        <w:t>BiH</w:t>
      </w:r>
      <w:r w:rsidRPr="00CD759A">
        <w:t xml:space="preserve"> do pełnej ochrony wolności zgromadzeń i zrzeszania się w całym kraju; wzywa władze Republiki Serbskiej do przestrzegania wyroku Trybunału Konstytucyjnego uchylającego ustawę o „agentach zagranicznych” podobną do rosyjskiej ustawy w tej samej sprawie oraz do niewprowadzania ponownie podobnych środków lub angażowania się w ataki na podstawowe prawa i wolności; podkreśla potrzebę skuteczniejszego egzekwowania prawa na drodze sądowej i depenalizacji zniesławienia na terenie całej </w:t>
      </w:r>
      <w:r w:rsidRPr="00CD759A">
        <w:t>BiH</w:t>
      </w:r>
      <w:r w:rsidRPr="00CD759A">
        <w:t>;</w:t>
      </w:r>
    </w:p>
    <w:p w:rsidR="00390AA9" w:rsidRPr="00CD759A" w:rsidP="00390AA9" w14:paraId="3313E408" w14:textId="77777777">
      <w:pPr>
        <w:pStyle w:val="NormalHanging12a"/>
      </w:pPr>
      <w:r w:rsidRPr="00CD759A">
        <w:t>45.</w:t>
      </w:r>
      <w:r w:rsidRPr="00CD759A">
        <w:tab/>
        <w:t xml:space="preserve">wzywa władze </w:t>
      </w:r>
      <w:r w:rsidRPr="00CD759A">
        <w:t>BiH</w:t>
      </w:r>
      <w:r w:rsidRPr="00CD759A">
        <w:t>, aby wzmocniły ochronę prawną i instytucjonalną obrońców praw człowieka oraz zapewniły bezpieczne i sprzyjające środowisko dla ich działalności;</w:t>
      </w:r>
    </w:p>
    <w:p w:rsidR="00390AA9" w:rsidRPr="00CD759A" w:rsidP="00390AA9" w14:paraId="1D1FCDA4" w14:textId="77777777">
      <w:pPr>
        <w:pStyle w:val="NormalHanging12a"/>
      </w:pPr>
      <w:r w:rsidRPr="00CD759A">
        <w:t>46.</w:t>
      </w:r>
      <w:r w:rsidRPr="00CD759A">
        <w:tab/>
        <w:t xml:space="preserve">potępia ataki, dyskryminację i nawoływanie do nienawiści wobec mniejszości oraz apeluje o podjęcie szybkich i skutecznych działań prawnych; wzywa </w:t>
      </w:r>
      <w:r w:rsidRPr="00CD759A">
        <w:t>BiH</w:t>
      </w:r>
      <w:r w:rsidRPr="00CD759A">
        <w:t xml:space="preserve"> do pełnego przestrzegania konstytucji, zasad równości, niedyskryminacji i wieloetnicznego charakteru państwa oraz do przyjęcia ogólnokrajowej strategii w celu zapewnienia sprawiedliwej i proporcjonalnej reprezentacji wszystkich obywateli, w tym mniejszości, w administracji publicznej i instytucjach publicznych, a także ich pełnego udziału w życiu publicznym i politycznym, zgodnie ze standardami demokratycznymi i zobowiązaniami </w:t>
      </w:r>
      <w:r w:rsidRPr="00CD759A">
        <w:t>BiH</w:t>
      </w:r>
      <w:r w:rsidRPr="00CD759A">
        <w:t xml:space="preserve"> w zakresie integracji europejskiej;</w:t>
      </w:r>
    </w:p>
    <w:p w:rsidR="00390AA9" w:rsidRPr="00CD759A" w:rsidP="00390AA9" w14:paraId="6820D209" w14:textId="77777777">
      <w:pPr>
        <w:pStyle w:val="NormalHanging12a"/>
      </w:pPr>
      <w:r w:rsidRPr="00CD759A">
        <w:t>47.</w:t>
      </w:r>
      <w:r w:rsidRPr="00CD759A">
        <w:tab/>
        <w:t xml:space="preserve">wzywa </w:t>
      </w:r>
      <w:r w:rsidRPr="00CD759A">
        <w:t>BiH</w:t>
      </w:r>
      <w:r w:rsidRPr="00CD759A">
        <w:t xml:space="preserve"> do uchylenia zmian wprowadzonych do kodeksu karnego w marcu i czerwcu 2025 r. dotyczących odpowiednio zniesienia tożsamości płciowej jako chronionej cechy osób transpłciowych oraz wyłączenia par osób tej samej płci z ochrony przed przemocą domową;</w:t>
      </w:r>
    </w:p>
    <w:p w:rsidR="00390AA9" w:rsidRPr="00CD759A" w:rsidP="00390AA9" w14:paraId="4E268BB8" w14:textId="77777777">
      <w:pPr>
        <w:pStyle w:val="NormalHanging12a"/>
      </w:pPr>
      <w:r w:rsidRPr="00CD759A">
        <w:t>48.</w:t>
      </w:r>
      <w:r w:rsidRPr="00CD759A">
        <w:tab/>
        <w:t xml:space="preserve">wzywa władze </w:t>
      </w:r>
      <w:r w:rsidRPr="00CD759A">
        <w:t>BiH</w:t>
      </w:r>
      <w:r w:rsidRPr="00CD759A">
        <w:t>, aby podjęły niezbędne kroki w celu uzyskania statusu obserwatora w pracach Agencji Praw Podstawowych Unii Europejskiej z myślą o lepszym dostosowaniu do dorobku prawnego UE w zakresie praw podstawowych, lepszym kształtowaniu polityki opartej na dowodach i gromadzeniu danych oraz zacieśnieniu współpracy w dziedzinie praw podstawowych;</w:t>
      </w:r>
    </w:p>
    <w:p w:rsidR="00390AA9" w:rsidRPr="00CD759A" w:rsidP="00390AA9" w14:paraId="37CAF3A0" w14:textId="77777777">
      <w:pPr>
        <w:pStyle w:val="NormalHanging12a"/>
      </w:pPr>
      <w:r w:rsidRPr="00CD759A">
        <w:t>49.</w:t>
      </w:r>
      <w:r w:rsidRPr="00CD759A">
        <w:tab/>
        <w:t xml:space="preserve">wzywa do zwiększenia niezależności, skuteczności i widoczności instytucji rzecznika praw człowieka </w:t>
      </w:r>
      <w:r w:rsidRPr="00CD759A">
        <w:t>BiH</w:t>
      </w:r>
      <w:r w:rsidRPr="00CD759A">
        <w:t>, w tym poprzez bardziej proaktywne podejście do poważnych i systemowych naruszeń praw człowieka oraz podejmowanie skuteczniejszych działań następczych w związku z jego zaleceniami;</w:t>
      </w:r>
    </w:p>
    <w:p w:rsidR="00390AA9" w:rsidRPr="00CD759A" w:rsidP="00390AA9" w14:paraId="7FF11C89" w14:textId="77777777">
      <w:pPr>
        <w:pStyle w:val="NormalHanging12a"/>
      </w:pPr>
      <w:r w:rsidRPr="00CD759A">
        <w:t>50.</w:t>
      </w:r>
      <w:r w:rsidRPr="00CD759A">
        <w:tab/>
        <w:t xml:space="preserve">apeluje o wzmożenie wysiłków na rzecz równouprawnienia płci i zwiększenia udziału kobiet w życiu publicznym i politycznym; wzywa </w:t>
      </w:r>
      <w:r w:rsidRPr="00CD759A">
        <w:t>BiH</w:t>
      </w:r>
      <w:r w:rsidRPr="00CD759A">
        <w:t xml:space="preserve"> do wzmocnienia instytucjonalnych mechanizmów reagowania na przemoc ze względu na płeć; z zadowoleniem przyjmuje postępy legislacyjne w </w:t>
      </w:r>
      <w:r w:rsidRPr="00CD759A">
        <w:t>FBiH</w:t>
      </w:r>
      <w:r w:rsidRPr="00CD759A">
        <w:t xml:space="preserve">; wyraża zaniepokojenie niespójną i fragmentaryczną reakcją władz </w:t>
      </w:r>
      <w:r w:rsidRPr="00CD759A">
        <w:t>BiH</w:t>
      </w:r>
      <w:r w:rsidRPr="00CD759A">
        <w:t xml:space="preserve"> na przypadki przemocy ze względu na płeć; wzywa władze do zajęcia się przemocą ze względu na płeć jako problemem strukturalnym; podkreśla, jak istotne jest zapewnienie swobodnego i niezakłóconego dostępu do usług w zakresie zdrowia seksualnego i reprodukcyjnego w całym kraju;</w:t>
      </w:r>
    </w:p>
    <w:p w:rsidR="00390AA9" w:rsidRPr="00CD759A" w:rsidP="00390AA9" w14:paraId="5FE0A4AF" w14:textId="77777777">
      <w:pPr>
        <w:pStyle w:val="NormalHanging12a"/>
      </w:pPr>
      <w:r w:rsidRPr="00CD759A">
        <w:t>51.</w:t>
      </w:r>
      <w:r w:rsidRPr="00CD759A">
        <w:tab/>
        <w:t xml:space="preserve">przypomina, że chociaż </w:t>
      </w:r>
      <w:r w:rsidRPr="00CD759A">
        <w:t>BiH</w:t>
      </w:r>
      <w:r w:rsidRPr="00CD759A">
        <w:t xml:space="preserve"> ratyfikowała konwencję stambulską Rady Europy w listopadzie 2013 r., zobowiązanie prawne do zapobiegania i zwalczania przemocy wobec kobiet i przemocy domowej pozostaje niespójne; wzywa </w:t>
      </w:r>
      <w:r w:rsidRPr="00CD759A">
        <w:t>BiH</w:t>
      </w:r>
      <w:r w:rsidRPr="00CD759A">
        <w:t>, aby zintensyfikowała bieżące działania na rzecz poprawy ochrony ofiar, lepszego szkolenia policji, koordynacji reakcji instytucjonalnych oraz wyeliminowania niedociągnięć w ściganiu sprawców przemocy ze względu na płeć i przemocy domowej, zwłaszcza na obszarach wiejskich;</w:t>
      </w:r>
    </w:p>
    <w:p w:rsidR="00390AA9" w:rsidRPr="00CD759A" w:rsidP="00390AA9" w14:paraId="481AC396" w14:textId="77777777">
      <w:pPr>
        <w:pStyle w:val="NormalHanging12a"/>
      </w:pPr>
      <w:r w:rsidRPr="00CD759A">
        <w:t>52.</w:t>
      </w:r>
      <w:r w:rsidRPr="00CD759A">
        <w:tab/>
        <w:t xml:space="preserve">zachęca do długoterminowych rozwiązań na rzecz rozwoju </w:t>
      </w:r>
      <w:r w:rsidRPr="00CD759A">
        <w:t>inkluzywnej</w:t>
      </w:r>
      <w:r w:rsidRPr="00CD759A">
        <w:t xml:space="preserve">, sprawiedliwej i odpolitycznionej jakościowej edukacji, promującej zrozumienie i pojednanie, a także do zapewnienia prawa do edukacji w języku ojczystym; wzywa do rozwoju opartej na faktach, niedyskryminacyjnej edukacji historycznej opartej na faktach historycznych i poszanowaniu wartości demokratycznych w celu wzmocnienia wzajemnego zrozumienia i zwalczania dyskryminacji; wzywa UE do aktywnego wspierania tego procesu; ponawia apel o położenie kresu praktyce „dwóch szkół pod jednym dachem”; podkreśla znaczenie ochrony ekspresji kulturowej i językowej wszystkich mniejszości w </w:t>
      </w:r>
      <w:r w:rsidRPr="00CD759A">
        <w:t>BiH</w:t>
      </w:r>
      <w:r w:rsidRPr="00CD759A">
        <w:t>; zauważa, że przyjęcie programów nauczania i innych programów powinno odbywać się z poszanowaniem różnorodności kulturowej i językowej kraju;</w:t>
      </w:r>
    </w:p>
    <w:p w:rsidR="00390AA9" w:rsidRPr="00CD759A" w:rsidP="00390AA9" w14:paraId="45CE2E8E" w14:textId="77777777">
      <w:pPr>
        <w:pStyle w:val="NormalHanging12a"/>
      </w:pPr>
      <w:r w:rsidRPr="00CD759A">
        <w:t>53.</w:t>
      </w:r>
      <w:r w:rsidRPr="00CD759A">
        <w:tab/>
        <w:t xml:space="preserve">przypomina, że </w:t>
      </w:r>
      <w:r w:rsidRPr="00CD759A">
        <w:t>BiH</w:t>
      </w:r>
      <w:r w:rsidRPr="00CD759A">
        <w:t xml:space="preserve"> powinna przyjąć pełną odpowiedzialność za zarządzanie migracją, skutecznie wdrożyć ustawę o kontroli granicznej, poprawić koordynację i podział odpowiedzialności między wszystkimi szczeblami sprawowania rządów, zapewnić policji granicznej odpowiednie kadry oraz wprowadzić dostępne, skuteczne i sprawiedliwe procedury azylowe przy jednoczesnym zapewnieniu pełnego poszanowania praw człowieka i standardów ochrony międzynarodowej; odnotowuje wejście w życie unijnego systemu wjazdu/wyjazdu (EES), który wzmacnia monitorowanie granic zewnętrznych; wzywa władze </w:t>
      </w:r>
      <w:r w:rsidRPr="00CD759A">
        <w:t>BiH</w:t>
      </w:r>
      <w:r w:rsidRPr="00CD759A">
        <w:t xml:space="preserve"> do zapewnienia pełnej gotowości i dostosowania się do wymogów technicznych i wymogów w zakresie ochrony danych wynikających z EES; wzywa Komisję do znalezienia rozwiązań dla wyzwań, jakie nowe unijne przepisy dotyczące EES stawiają kierowcom samochodów ciężarowych z </w:t>
      </w:r>
      <w:r w:rsidRPr="00CD759A">
        <w:t>BiH</w:t>
      </w:r>
      <w:r w:rsidRPr="00CD759A">
        <w:t xml:space="preserve"> i innych krajów Bałkanów Zachodnich;</w:t>
      </w:r>
    </w:p>
    <w:p w:rsidR="00390AA9" w:rsidRPr="00CD759A" w:rsidP="00390AA9" w14:paraId="11DCC7FE" w14:textId="77777777">
      <w:pPr>
        <w:pStyle w:val="Normal12a"/>
      </w:pPr>
      <w:r w:rsidRPr="00CD759A">
        <w:rPr>
          <w:b/>
          <w:i/>
        </w:rPr>
        <w:t>Stosunki dobrosąsiedzkie i pojednanie</w:t>
      </w:r>
    </w:p>
    <w:p w:rsidR="00390AA9" w:rsidRPr="00CD759A" w:rsidP="00390AA9" w14:paraId="5DF11CE9" w14:textId="77777777">
      <w:pPr>
        <w:pStyle w:val="NormalHanging12a"/>
      </w:pPr>
      <w:r w:rsidRPr="00CD759A">
        <w:t>54.</w:t>
      </w:r>
      <w:r w:rsidRPr="00CD759A">
        <w:tab/>
        <w:t xml:space="preserve">z zadowoleniem przyjmuje aktywną rolę </w:t>
      </w:r>
      <w:r w:rsidRPr="00CD759A">
        <w:t>BiH</w:t>
      </w:r>
      <w:r w:rsidRPr="00CD759A">
        <w:t xml:space="preserve"> we współpracy regionalnej; podkreśla, że stosunki dobrosąsiedzkie są kluczowym elementem procesu rozszerzenia UE i ścieżki akcesyjnej każdego kraju;</w:t>
      </w:r>
    </w:p>
    <w:p w:rsidR="00390AA9" w:rsidRPr="00CD759A" w:rsidP="00390AA9" w14:paraId="05EEF4FC" w14:textId="77777777">
      <w:pPr>
        <w:pStyle w:val="NormalHanging12a"/>
      </w:pPr>
      <w:r w:rsidRPr="00CD759A">
        <w:t>55.</w:t>
      </w:r>
      <w:r w:rsidRPr="00CD759A">
        <w:tab/>
        <w:t xml:space="preserve">podkreśla znaczenie pojednania w </w:t>
      </w:r>
      <w:r w:rsidRPr="00CD759A">
        <w:t>BiH</w:t>
      </w:r>
      <w:r w:rsidRPr="00CD759A">
        <w:t xml:space="preserve"> i wzywa władze do zapewnienia dostępu do prawdy, sprawiedliwości i zadośćuczynienia, w tym ochrony prawnej i odszkodowań dla cywilnych ofiar zbrodni wojennych, oraz do przyjęcia na szczeblu krajowym przepisów zapewniających ochronę i uznanie ofiar tortur; z zadowoleniem przyjmuje lokalne inicjatywy na rzecz budowania pokoju i pamięci o przeszłości; wzywa do podejmowania dalszych działań mających na celu odnalezienie osób zaginionych, w tym poprzez współpracę regionalną; wzywa organy władzy na wszystkich szczeblach do aktywnego wspierania działań na rzecz upamiętniania ofiar oraz do nieutrudniania tych działań, w szczególności w społecznościach lokalnych, jako istotnego elementu pojednania i pamięci;</w:t>
      </w:r>
    </w:p>
    <w:p w:rsidR="00390AA9" w:rsidRPr="00CD759A" w:rsidP="00390AA9" w14:paraId="3B390EF6" w14:textId="77777777">
      <w:pPr>
        <w:pStyle w:val="NormalHanging12a"/>
      </w:pPr>
      <w:r w:rsidRPr="00CD759A">
        <w:t>56.</w:t>
      </w:r>
      <w:r w:rsidRPr="00CD759A">
        <w:tab/>
        <w:t xml:space="preserve">uznaje, że pojednanie musi opierać się na uznaniu i nauczaniu faktów historycznych, uhonorowaniu i upamiętnieniu ofiar, znalezieniu wszystkich osób zaginionych, </w:t>
      </w:r>
      <w:r w:rsidRPr="00CD759A">
        <w:t>postawieniu wszystkich sprawców przed wymiarem sprawiedliwości oraz wspieraniu środowiska pojednania, zaufania i szacunku 30 lat po zawarciu porozumienia pokojowego z Dayton; podkreśla, że podmioty polityczne i osoby mające wpływową pozycję ponoszą szczególną odpowiedzialność za przyczynianie się do tworzenia środowiska sprzyjającego pojednaniu; przypomina, jak ważne jest, by wszystkie narody i osoby odpowiedzialne za zbrodnie popełnione podczas wojen bałkańskich przyjęły na siebie tę odpowiedzialność w celu przezwyciężenia przeszłości i pojednania;</w:t>
      </w:r>
    </w:p>
    <w:p w:rsidR="00390AA9" w:rsidRPr="00CD759A" w:rsidP="00390AA9" w14:paraId="16FFBBAD" w14:textId="77777777">
      <w:pPr>
        <w:pStyle w:val="NormalHanging12a"/>
      </w:pPr>
      <w:r w:rsidRPr="00CD759A">
        <w:t>57.</w:t>
      </w:r>
      <w:r w:rsidRPr="00CD759A">
        <w:tab/>
        <w:t>ponownie apeluje o wdrożenie dodatkowych środków i konkretnych programów ukierunkowanych na trwały powrót uchodźców i osób wewnętrznie przesiedlonych, zapewnienie im dostępu do opieki zdrowotnej, zatrudnienia, ochrony społecznej i nauki oraz pełnego poszanowania wszystkich ich praw do odszkodowania za niemożliwą do zwrócenia własność;</w:t>
      </w:r>
    </w:p>
    <w:p w:rsidR="00390AA9" w:rsidRPr="00CD759A" w:rsidP="00390AA9" w14:paraId="6BCF9A30" w14:textId="77777777">
      <w:pPr>
        <w:pStyle w:val="NormalHanging12a"/>
      </w:pPr>
      <w:r w:rsidRPr="00CD759A">
        <w:t>58.</w:t>
      </w:r>
      <w:r w:rsidRPr="00CD759A">
        <w:tab/>
        <w:t xml:space="preserve">odrzuca wszelkie narracje, które wykorzystują napięcia etniczne, propagują rewizjonizm historyczny, negowanie ludobójstwa i gloryfikowanie zbrodniarzy wojennych, a także wszelkie przejawy publicznego gloryfikowania faszyzmu, narodowego socjalizmu i komunizmu, w tym wykrzykiwanie faszystowskiego pozdrowienia ruchu Ustasze „Za dom </w:t>
      </w:r>
      <w:r w:rsidRPr="00CD759A">
        <w:t>spremni</w:t>
      </w:r>
      <w:r w:rsidRPr="00CD759A">
        <w:t xml:space="preserve">” („Za ojczyznę, gotowi”) na koncercie Marka </w:t>
      </w:r>
      <w:r w:rsidRPr="00CD759A">
        <w:t>Perkovića</w:t>
      </w:r>
      <w:r w:rsidRPr="00CD759A">
        <w:t xml:space="preserve"> Thompsona w </w:t>
      </w:r>
      <w:r w:rsidRPr="00CD759A">
        <w:t>Širokim</w:t>
      </w:r>
      <w:r w:rsidRPr="00CD759A">
        <w:t xml:space="preserve"> </w:t>
      </w:r>
      <w:r w:rsidRPr="00CD759A">
        <w:t>Brijegu</w:t>
      </w:r>
      <w:r w:rsidRPr="00CD759A">
        <w:t xml:space="preserve">, eksponowanie symboli czetnickich podczas zgromadzenia ruchu </w:t>
      </w:r>
      <w:r w:rsidRPr="00CD759A">
        <w:t>Ravna</w:t>
      </w:r>
      <w:r w:rsidRPr="00CD759A">
        <w:t xml:space="preserve"> </w:t>
      </w:r>
      <w:r w:rsidRPr="00CD759A">
        <w:t>Gora</w:t>
      </w:r>
      <w:r w:rsidRPr="00CD759A">
        <w:t xml:space="preserve"> w </w:t>
      </w:r>
      <w:r w:rsidRPr="00CD759A">
        <w:t>Višegradzie</w:t>
      </w:r>
      <w:r w:rsidRPr="00CD759A">
        <w:t xml:space="preserve"> oraz oświadczenia usuniętego przewodniczącego Izby Reprezentantów Parlamentu </w:t>
      </w:r>
      <w:r w:rsidRPr="00CD759A">
        <w:t>FBiH</w:t>
      </w:r>
      <w:r w:rsidRPr="00CD759A">
        <w:t xml:space="preserve"> Dragana </w:t>
      </w:r>
      <w:r w:rsidRPr="00CD759A">
        <w:t>Miokovicia</w:t>
      </w:r>
      <w:r w:rsidRPr="00CD759A">
        <w:t xml:space="preserve"> usprawiedliwiające zbrodnie popełnione przez jugosłowiański reżim komunistyczny po drugiej wojnie światowej oraz kwestionowanie ustalonych faktów, niezależności i bezstronności trybunałów krajowych i międzynarodowych, a także przedstawianie instytucji demokratycznych i kontroli konstytucyjnych jako bezprawne, w szczególności przez podmioty polityczne; przypomina, że takie narracje bezpośrednio podważają pojednanie, stabilność demokratyczną i zaufanie publiczne; wzywa wszystkie podmioty polityczne w </w:t>
      </w:r>
      <w:r w:rsidRPr="00CD759A">
        <w:t>BiH</w:t>
      </w:r>
      <w:r w:rsidRPr="00CD759A">
        <w:t xml:space="preserve">, aby unikały podżegającej retoryki prowadzącej do podziałów, oraz apeluje do władz, aby wzmocniły komunikację strategiczną, wspierały niezależną weryfikację faktów oraz inwestowały w umiejętność korzystania z mediów i edukację obywatelską, w tym na szczeblu lokalnym, w ramach podejścia do odporności demokratycznej obejmującego całe społeczeństwo; wzywa </w:t>
      </w:r>
      <w:r w:rsidRPr="00CD759A">
        <w:t>BiH</w:t>
      </w:r>
      <w:r w:rsidRPr="00CD759A">
        <w:t xml:space="preserve"> do dostosowania krajowego kodeksu karnego w kwestii negowania ludobójstwa i gloryfikacji zbrodniarzy wojennych do dorobku prawnego UE;</w:t>
      </w:r>
    </w:p>
    <w:p w:rsidR="00390AA9" w:rsidRPr="00CD759A" w:rsidP="00390AA9" w14:paraId="165B0213" w14:textId="77777777">
      <w:pPr>
        <w:pStyle w:val="NormalHanging12a"/>
      </w:pPr>
      <w:r w:rsidRPr="00CD759A">
        <w:t>59.</w:t>
      </w:r>
      <w:r w:rsidRPr="00CD759A">
        <w:tab/>
        <w:t xml:space="preserve">wyraża poważne zaniepokojenie koncepcjami politycznymi i narracjami propagowanymi w regionie, opowiadającymi się za transgranicznym zjednoczeniem lub transgraniczną koordynacją opartą na tożsamości etnicznej, w tym dotyczącymi „serbskiego świata”, które kwestionują suwerenność i integralność terytorialną państw sąsiadujących i stwarzają ryzyko destabilizacji regionu; podkreśla, że takie narracje są niezgodne z zasadami stosunków dobrosąsiedzkich i procesu przystąpienia do UE; wzywa Serbię i wszystkie kraje w regionie do konstruktywnego zaangażowania na rzecz stabilności i integralności terytorialnej </w:t>
      </w:r>
      <w:r w:rsidRPr="00CD759A">
        <w:t>BiH</w:t>
      </w:r>
      <w:r w:rsidRPr="00CD759A">
        <w:t xml:space="preserve"> oraz do aktywnego wspierania ścieżki przystąpienia </w:t>
      </w:r>
      <w:r w:rsidRPr="00CD759A">
        <w:t>BiH</w:t>
      </w:r>
      <w:r w:rsidRPr="00CD759A">
        <w:t xml:space="preserve"> do UE;</w:t>
      </w:r>
    </w:p>
    <w:p w:rsidR="00390AA9" w:rsidRPr="00CD759A" w:rsidP="00390AA9" w14:paraId="3C6B5643" w14:textId="77777777">
      <w:pPr>
        <w:pStyle w:val="NormalHanging12a"/>
      </w:pPr>
      <w:r w:rsidRPr="00CD759A">
        <w:t>60.</w:t>
      </w:r>
      <w:r w:rsidRPr="00CD759A">
        <w:tab/>
        <w:t xml:space="preserve">wzywa </w:t>
      </w:r>
      <w:r w:rsidRPr="00CD759A">
        <w:t>BiH</w:t>
      </w:r>
      <w:r w:rsidRPr="00CD759A">
        <w:t xml:space="preserve"> do skutecznego wdrożenia zmienionej krajowej strategii dotyczącej zbrodni wojennych i dalszego zacieśniania regionalnej współpracy sądowej, w tym w zakresie ekstradycji podejrzanych;</w:t>
      </w:r>
    </w:p>
    <w:p w:rsidR="00390AA9" w:rsidRPr="00CD759A" w:rsidP="00390AA9" w14:paraId="7CD92D7D" w14:textId="77777777">
      <w:pPr>
        <w:pStyle w:val="NormalHanging12a"/>
      </w:pPr>
      <w:r w:rsidRPr="00CD759A">
        <w:t>61.</w:t>
      </w:r>
      <w:r w:rsidRPr="00CD759A">
        <w:tab/>
        <w:t>przypomina, jak ważne jest zapewnienie pełnego dostępu do archiwów byłych jugosłowiańskich służb specjalnych (UDBA) i tajnych służb Jugosłowiańskiej Armii Ludowej (KOS), w tym materiałów przechowywanych w Sarajewie, Banja Luce oraz, w szczególności, w Belgradzie; wzywa władze do wystąpienia z formalnym wnioskiem, a władze serbskie do niezwłocznego przyznania pełnego dostępu do odpowiednich materiałów archiwalnych oraz, w stosownych przypadkach, ich przekazania; podkreśla, że wszelkie odmowy lub opóźnienia podważają rozliczalność, sprawiedliwość dla ofiar oraz regionalne pojednanie;</w:t>
      </w:r>
    </w:p>
    <w:p w:rsidR="00390AA9" w:rsidRPr="00CD759A" w:rsidP="00390AA9" w14:paraId="32B31CDB" w14:textId="77777777">
      <w:pPr>
        <w:pStyle w:val="NormalHanging12a"/>
      </w:pPr>
      <w:r w:rsidRPr="00CD759A">
        <w:t>62.</w:t>
      </w:r>
      <w:r w:rsidRPr="00CD759A">
        <w:tab/>
        <w:t xml:space="preserve">podkreśla znaczenie dyplomacji prewencyjnej w </w:t>
      </w:r>
      <w:r w:rsidRPr="00CD759A">
        <w:t>BiH</w:t>
      </w:r>
      <w:r w:rsidRPr="00CD759A">
        <w:t>; wzywa Europejską Służbę Działań Zewnętrznych do wzmocnienia rozwoju umiejętności swoich pracowników, aby lepiej rozumieli lokalny kontekst historyczny, kulturowy i religijny, zgodnie z zaleceniem zawartym w sprawozdaniu w sprawie roli dyplomacji prewencyjnej przyjętym przez Parlament Europejski w styczniu 2024 r.;</w:t>
      </w:r>
    </w:p>
    <w:p w:rsidR="00390AA9" w:rsidRPr="00CD759A" w:rsidP="00390AA9" w14:paraId="1C66CE8F" w14:textId="77777777">
      <w:pPr>
        <w:pStyle w:val="Normal12a"/>
      </w:pPr>
      <w:r w:rsidRPr="00CD759A">
        <w:rPr>
          <w:b/>
          <w:i/>
        </w:rPr>
        <w:t>Reformy społeczno-gospodarcze</w:t>
      </w:r>
    </w:p>
    <w:p w:rsidR="00390AA9" w:rsidRPr="00CD759A" w:rsidP="00390AA9" w14:paraId="2F0F04FD" w14:textId="77777777">
      <w:pPr>
        <w:pStyle w:val="NormalHanging12a"/>
      </w:pPr>
      <w:r w:rsidRPr="00CD759A">
        <w:t>63.</w:t>
      </w:r>
      <w:r w:rsidRPr="00CD759A">
        <w:tab/>
        <w:t xml:space="preserve">z zadowoleniem przyjmuje program reform </w:t>
      </w:r>
      <w:r w:rsidRPr="00CD759A">
        <w:t>BiH</w:t>
      </w:r>
      <w:r w:rsidRPr="00CD759A">
        <w:t xml:space="preserve"> i apeluje o jego szybkie wdrożenie i wzywa do jego szybkiej publikacji w językach urzędowych </w:t>
      </w:r>
      <w:r w:rsidRPr="00CD759A">
        <w:t>BiH</w:t>
      </w:r>
      <w:r w:rsidRPr="00CD759A">
        <w:t xml:space="preserve"> oraz podania go do wiadomości publicznej w przystępny i przejrzysty sposób; przypomina, że </w:t>
      </w:r>
      <w:r w:rsidRPr="00CD759A">
        <w:t>BiH</w:t>
      </w:r>
      <w:r w:rsidRPr="00CD759A">
        <w:t xml:space="preserve"> nadal może skorzystać z przydzielonej kwoty 976,6 mln EUR; podkreśla, że wola polityczna w zakresie wdrażania reform ma kluczowe znaczenie dla zabezpieczenia środków oraz zapobiegania ich redystrybucji; zwraca uwagę, że niedotrzymanie terminów i brak postępów mogą spowodować, że </w:t>
      </w:r>
      <w:r w:rsidRPr="00CD759A">
        <w:t>BiH</w:t>
      </w:r>
      <w:r w:rsidRPr="00CD759A">
        <w:t xml:space="preserve"> pozostanie w tyle za innymi krajami objętymi procesem rozszerzenia pod względem konwergencji gospodarczej i integracji z UE, a obywatele zostaną pozbawieni znaczących korzyści społeczno-gospodarczych; ubolewa nad faktem, że 10 % funduszy, czyli ponad 100 mln EUR, zostało trwale utraconych w wyniku początkowych opóźnień ze strony władz politycznych w przedłożeniu programu reform; wzywa do szybkiej ratyfikacji umowy finansowej i umowy pożyczki;</w:t>
      </w:r>
    </w:p>
    <w:p w:rsidR="00390AA9" w:rsidRPr="00CD759A" w:rsidP="00390AA9" w14:paraId="6E3F2ADC" w14:textId="77777777">
      <w:pPr>
        <w:pStyle w:val="NormalHanging12a"/>
      </w:pPr>
      <w:r w:rsidRPr="00CD759A">
        <w:t>64.</w:t>
      </w:r>
      <w:r w:rsidRPr="00CD759A">
        <w:tab/>
        <w:t xml:space="preserve">podkreśla, że każde uwolnienie i wypłata tych środków muszą pozostać ściśle uzależnione od osiągnięcia jasnych, wymiernych i weryfikowalnych celów pośrednich w zakresie praworządności, demokratycznego funkcjonowania instytucji, podstawowych wolności i reform społeczno-gospodarczych; wzywa do skutecznego zaangażowania Zgromadzenia Parlamentarnego </w:t>
      </w:r>
      <w:r w:rsidRPr="00CD759A">
        <w:t>BiH</w:t>
      </w:r>
      <w:r w:rsidRPr="00CD759A">
        <w:t>, władz lokalnych i regionalnych, partnerów społecznych i społeczeństwa obywatelskiego w monitorowanie wdrażania programu reform oraz w nadzór nad wykorzystaniem funduszy UE, zgodnie z zasadą partnerstwa sprzyjającego włączeniu społecznemu;</w:t>
      </w:r>
    </w:p>
    <w:p w:rsidR="00390AA9" w:rsidRPr="00CD759A" w:rsidP="00390AA9" w14:paraId="085C28AB" w14:textId="77777777">
      <w:pPr>
        <w:pStyle w:val="NormalHanging12a"/>
      </w:pPr>
      <w:r w:rsidRPr="00CD759A">
        <w:t>65.</w:t>
      </w:r>
      <w:r w:rsidRPr="00CD759A">
        <w:tab/>
        <w:t xml:space="preserve">wzywa </w:t>
      </w:r>
      <w:r w:rsidRPr="00CD759A">
        <w:t>BiH</w:t>
      </w:r>
      <w:r w:rsidRPr="00CD759A">
        <w:t xml:space="preserve"> do ustanowienia ram instytucjonalnych na potrzeby zarządzania funduszami UE, w tym przez wyznaczenie krajowego koordynatora Instrumentu Wsparcia Reform i Wzrostu Gospodarczego, utworzenie struktur wsparcia wymaganych do wdrożenia programu reform, wyznaczenie pojedynczego punktu kontaktowego dla każdej reformy w celu zapewnienia zharmonizowanego i skoordynowanego wdrażania na różnych szczeblach sprawowania rządów oraz wyznaczenie dyrektora Dyrekcji ds. Integracji Europejskiej na krajowego koordynatora IPA III, zgodnie z wcześniejszymi praktykami; apeluje o lepszą absorpcję funduszy IPA III w </w:t>
      </w:r>
      <w:r w:rsidRPr="00CD759A">
        <w:t>BiH</w:t>
      </w:r>
      <w:r w:rsidRPr="00CD759A">
        <w:t>, w tym na szczeblu lokalnym i regionalnym;</w:t>
      </w:r>
    </w:p>
    <w:p w:rsidR="00390AA9" w:rsidRPr="00CD759A" w:rsidP="00390AA9" w14:paraId="5290ED94" w14:textId="77777777">
      <w:pPr>
        <w:pStyle w:val="NormalHanging12a"/>
      </w:pPr>
      <w:r w:rsidRPr="00CD759A">
        <w:t>66.</w:t>
      </w:r>
      <w:r w:rsidRPr="00CD759A">
        <w:tab/>
        <w:t xml:space="preserve">uważa, że fundusze europejskie powinny lepiej wspierać demokratyczne reformy w tym kraju, a zatem wzywa do przeprogramowania odpowiednich funduszy UE w celu </w:t>
      </w:r>
      <w:r w:rsidRPr="00CD759A">
        <w:t>przekierowania większej części środków na wsparcie pomocy technicznej w absorpcji funduszy, reformy sądownictwa i środki antykorupcyjne; apeluje ponadto do UE i krajów Bałkanów Zachodnich o ustanowienie ram owocnej współpracy między Prokuraturą Europejską (EPPO) a partnerami z Bałkanów Zachodnich, tak by umożliwić EPPO skuteczne wykonywanie jej kompetencji;</w:t>
      </w:r>
    </w:p>
    <w:p w:rsidR="00390AA9" w:rsidRPr="00CD759A" w:rsidP="00390AA9" w14:paraId="1CF72F38" w14:textId="77777777">
      <w:pPr>
        <w:pStyle w:val="NormalHanging12a"/>
      </w:pPr>
      <w:r w:rsidRPr="00CD759A">
        <w:t>67.</w:t>
      </w:r>
      <w:r w:rsidRPr="00CD759A">
        <w:tab/>
        <w:t>przypomina, że należy wstrzymać finansowanie przez UE projektów w Republice Serbskiej, dopóki kraj ten nie odwróci regresu demokracji;</w:t>
      </w:r>
    </w:p>
    <w:p w:rsidR="00390AA9" w:rsidRPr="00CD759A" w:rsidP="00390AA9" w14:paraId="51DB32C3" w14:textId="77777777">
      <w:pPr>
        <w:pStyle w:val="NormalHanging12a"/>
      </w:pPr>
      <w:r w:rsidRPr="00CD759A">
        <w:t>68.</w:t>
      </w:r>
      <w:r w:rsidRPr="00CD759A">
        <w:tab/>
        <w:t xml:space="preserve">z zadowoleniem przyjmuje wniosek Komisji dotyczący rozpoczęcia negocjacji z krajami Bałkanów Zachodnich w sprawie ich przystąpienia do unijnego systemu znoszącego opłaty </w:t>
      </w:r>
      <w:r w:rsidRPr="00CD759A">
        <w:t>roamingowe</w:t>
      </w:r>
      <w:r w:rsidRPr="00CD759A">
        <w:t>, co zapewni ludności Bałkanów Zachodnich jedną z najbardziej namacalnych i natychmiast odczuwalnych korzyści w procesie ich przystąpienia do UE;</w:t>
      </w:r>
    </w:p>
    <w:p w:rsidR="00390AA9" w:rsidRPr="00CD759A" w:rsidP="00390AA9" w14:paraId="61373E40" w14:textId="77777777">
      <w:pPr>
        <w:pStyle w:val="NormalHanging12a"/>
      </w:pPr>
      <w:r w:rsidRPr="00CD759A">
        <w:t>69.</w:t>
      </w:r>
      <w:r w:rsidRPr="00CD759A">
        <w:tab/>
        <w:t xml:space="preserve">odnotowuje odporną, ale spowalniającą gospodarkę </w:t>
      </w:r>
      <w:r w:rsidRPr="00CD759A">
        <w:t>BiH</w:t>
      </w:r>
      <w:r w:rsidRPr="00CD759A">
        <w:t>; apeluje o zrównoważone podejście fiskalne w celu wyeliminowania ograniczeń wzrostu gospodarczego, poprawienia konkurencyjności oraz otoczenia biznesowego i inwestycyjnego, zapewnienia terminowego przyjęcia budżetów na szczeblu państwowym, wdrożenia działań mających na celu rozwiązanie problemu niedopasowania umiejętności, drenażu mózgów, szybko zmieniającego się kryzysu demograficznego, strategii dotyczących bezrobocia i rynku pracy, wspierania innowacji, małych i średnich przedsiębiorstw oraz transformacji ekologicznej i cyfrowej, a także zapewnienia większej przejrzystości, rozliczalności i odpolitycznionego procesu decyzyjnego;</w:t>
      </w:r>
    </w:p>
    <w:p w:rsidR="00390AA9" w:rsidRPr="00CD759A" w:rsidP="00390AA9" w14:paraId="1F5C0E2B" w14:textId="77777777">
      <w:pPr>
        <w:pStyle w:val="NormalHanging12a"/>
      </w:pPr>
      <w:r w:rsidRPr="00CD759A">
        <w:t>70.</w:t>
      </w:r>
      <w:r w:rsidRPr="00CD759A">
        <w:tab/>
        <w:t xml:space="preserve">wzywa władze </w:t>
      </w:r>
      <w:r w:rsidRPr="00CD759A">
        <w:t>BiH</w:t>
      </w:r>
      <w:r w:rsidRPr="00CD759A">
        <w:t xml:space="preserve"> do przyjęcia konkretnych środków mających na celu rozwiązanie problemu drenażu mózgów, w szczególności wśród młodych ludzi, poprzez inwestowanie w wysokiej jakości edukację, godne miejsca pracy, ochronę socjalną oraz politykę sprzyjającą włączeniu społecznemu i pełne wdrożenie gwarancji dla młodzieży; podkreśla kluczowe znaczenie prawdziwego dialogu społecznego, tak aby rozszerzenie przyniosło korzyści wszystkim grupom ludności;</w:t>
      </w:r>
    </w:p>
    <w:p w:rsidR="00390AA9" w:rsidRPr="00CD759A" w:rsidP="00390AA9" w14:paraId="29985732" w14:textId="77777777">
      <w:pPr>
        <w:pStyle w:val="NormalHanging12a"/>
      </w:pPr>
      <w:r w:rsidRPr="00CD759A">
        <w:t>71.</w:t>
      </w:r>
      <w:r w:rsidRPr="00CD759A">
        <w:tab/>
        <w:t xml:space="preserve">wzywa </w:t>
      </w:r>
      <w:r w:rsidRPr="00CD759A">
        <w:t>BiH</w:t>
      </w:r>
      <w:r w:rsidRPr="00CD759A">
        <w:t xml:space="preserve">, w szczególności parlamenty Federacji Bośni i Hercegowiny i Republiki Serbskiej, do niezwłocznego dokończenia pozostałych kroków legislacyjnych i instytucjonalnych niezbędnych do przystąpienia do jednolitego obszaru płatności w euro (SEPA), aby obywatele i przedsiębiorstwa </w:t>
      </w:r>
      <w:r w:rsidRPr="00CD759A">
        <w:t>BiH</w:t>
      </w:r>
      <w:r w:rsidRPr="00CD759A">
        <w:t xml:space="preserve"> również mogły korzystać ze znacznych oszczędności w kosztach transakcji;</w:t>
      </w:r>
    </w:p>
    <w:p w:rsidR="00390AA9" w:rsidRPr="00CD759A" w:rsidP="00390AA9" w14:paraId="5455EF41" w14:textId="77777777">
      <w:pPr>
        <w:pStyle w:val="NormalHanging12a"/>
      </w:pPr>
      <w:r w:rsidRPr="00CD759A">
        <w:t>72.</w:t>
      </w:r>
      <w:r w:rsidRPr="00CD759A">
        <w:tab/>
        <w:t xml:space="preserve">wzywa </w:t>
      </w:r>
      <w:r w:rsidRPr="00CD759A">
        <w:t>BiH</w:t>
      </w:r>
      <w:r w:rsidRPr="00CD759A">
        <w:t xml:space="preserve"> do zreformowania zamówień publicznych zgodnie z przepisami UE, wzmocnienia nadzoru, zdolności i koordynacji na szczeblu państwowym i na szczeblu jednostek administracyjnych oraz do zapewnienia przejrzystych, konkurencyjnych i odpornych na korupcję procedur, w tym poprzez surowsze sankcje, rzeczywiście niezależny organ odwoławczy ds. zamówień publicznych, w pełni funkcjonalny system e-zamówień oraz bardziej rygorystyczne ograniczenia dotyczące zamówień bezpośrednich i innych procedur niekonkurencyjnych;</w:t>
      </w:r>
    </w:p>
    <w:p w:rsidR="00390AA9" w:rsidRPr="00CD759A" w:rsidP="00390AA9" w14:paraId="7FC8857F" w14:textId="77777777">
      <w:pPr>
        <w:pStyle w:val="Normal12a"/>
      </w:pPr>
      <w:r w:rsidRPr="00CD759A">
        <w:rPr>
          <w:b/>
          <w:i/>
        </w:rPr>
        <w:t>Energia, środowisko i łączność</w:t>
      </w:r>
    </w:p>
    <w:p w:rsidR="00390AA9" w:rsidRPr="00CD759A" w:rsidP="00390AA9" w14:paraId="4AB66720" w14:textId="77777777">
      <w:pPr>
        <w:pStyle w:val="NormalHanging12a"/>
      </w:pPr>
      <w:r w:rsidRPr="00CD759A">
        <w:t>73.</w:t>
      </w:r>
      <w:r w:rsidRPr="00CD759A">
        <w:tab/>
        <w:t xml:space="preserve">zachęca </w:t>
      </w:r>
      <w:r w:rsidRPr="00CD759A">
        <w:t>BiH</w:t>
      </w:r>
      <w:r w:rsidRPr="00CD759A">
        <w:t xml:space="preserve"> do zmodernizowania przepisów dotyczących rynku energii elektrycznej i gazu zgodnie z trzecim pakietem energetycznym UE, do zapewnienia przejrzystości oraz do połączenia krajowych systemów energetycznych z sieciami regionalnymi i </w:t>
      </w:r>
      <w:r w:rsidRPr="00CD759A">
        <w:t xml:space="preserve">unijnymi w celu zwiększenia wydajności i bezpieczeństwa; wzywa </w:t>
      </w:r>
      <w:r w:rsidRPr="00CD759A">
        <w:t>BiH</w:t>
      </w:r>
      <w:r w:rsidRPr="00CD759A">
        <w:t xml:space="preserve"> oraz jej części składowe, aby wykorzystały niską zależność kraju od gazu do przekształcenia krajowego systemu w zdekarbonizowany system energetyczny oraz unikały tworzenia aktywów osieroconych poprzez znaczne inwestycje w istotną nową infrastrukturę gazową, przy jednoczesnym dążeniu do dywersyfikacji dostaw gazu poprzez połączenia międzysystemowe z państwami członkowskimi w celu zmniejszenia zależności od rosyjskich paliw kopalnych;</w:t>
      </w:r>
    </w:p>
    <w:p w:rsidR="00390AA9" w:rsidRPr="00CD759A" w:rsidP="00390AA9" w14:paraId="529F188E" w14:textId="77777777">
      <w:pPr>
        <w:pStyle w:val="NormalHanging12a"/>
      </w:pPr>
      <w:r w:rsidRPr="00CD759A">
        <w:t>74.</w:t>
      </w:r>
      <w:r w:rsidRPr="00CD759A">
        <w:tab/>
        <w:t xml:space="preserve">wzywa </w:t>
      </w:r>
      <w:r w:rsidRPr="00CD759A">
        <w:t>BiH</w:t>
      </w:r>
      <w:r w:rsidRPr="00CD759A">
        <w:t xml:space="preserve"> do przyjęcia ustawy o klimacie i strategii ochrony środowiska, dostosowania się do unijnego prawa ochrony środowiska, zapewnienia strategicznego i przejrzystego planowania inwestycji, łącznie z istotnym udziałem społeczeństwa, oraz poprawy ochrony różnorodności biologicznej i przyspieszenia sprawiedliwej transformacji ekologicznej; wyraża zaniepokojenie sytuacją bezpańskich zwierząt;</w:t>
      </w:r>
    </w:p>
    <w:p w:rsidR="00390AA9" w:rsidRPr="00CD759A" w:rsidP="00390AA9" w14:paraId="3C7DE8F0" w14:textId="77777777">
      <w:pPr>
        <w:pStyle w:val="NormalHanging12a"/>
      </w:pPr>
      <w:r w:rsidRPr="00CD759A">
        <w:t>75.</w:t>
      </w:r>
      <w:r w:rsidRPr="00CD759A">
        <w:tab/>
        <w:t xml:space="preserve">wzywa wszystkie podmioty wydobywcze działające w </w:t>
      </w:r>
      <w:r w:rsidRPr="00CD759A">
        <w:t>BiH</w:t>
      </w:r>
      <w:r w:rsidRPr="00CD759A">
        <w:t xml:space="preserve"> do pełnego przestrzegania przepisów krajowych oraz do priorytetowego traktowania ochrony środowiska i zdrowia publicznego;</w:t>
      </w:r>
    </w:p>
    <w:p w:rsidR="00390AA9" w:rsidRPr="00CD759A" w:rsidP="00390AA9" w14:paraId="455E0180" w14:textId="77777777">
      <w:pPr>
        <w:pStyle w:val="NormalHanging12a"/>
      </w:pPr>
      <w:r w:rsidRPr="00CD759A">
        <w:t>76.</w:t>
      </w:r>
      <w:r w:rsidRPr="00CD759A">
        <w:tab/>
        <w:t xml:space="preserve">wzywa </w:t>
      </w:r>
      <w:r w:rsidRPr="00CD759A">
        <w:t>BiH</w:t>
      </w:r>
      <w:r w:rsidRPr="00CD759A">
        <w:t xml:space="preserve"> do wdrożenia zintegrowanej gospodarki wodnej i ściekowej, skutecznego zapobiegania powodziom oraz wprowadzenia ogólnokrajowej strategii zwalczania zanieczyszczenia powietrza, w tym poprzez dotrzymanie wiążących zobowiązań do zamknięcia bloków elektrowni węglowych Tuzla 4 i </w:t>
      </w:r>
      <w:r w:rsidRPr="00CD759A">
        <w:t>Kakanj</w:t>
      </w:r>
      <w:r w:rsidRPr="00CD759A">
        <w:t> 5 oraz do przestrzegania krajowego planu redukcji emisji na mocy Traktatu o Wspólnocie Energetycznej;</w:t>
      </w:r>
    </w:p>
    <w:p w:rsidR="00390AA9" w:rsidRPr="00CD759A" w:rsidP="00390AA9" w14:paraId="426C5BD3" w14:textId="77777777">
      <w:pPr>
        <w:pStyle w:val="NormalHanging12a"/>
      </w:pPr>
      <w:r w:rsidRPr="00CD759A">
        <w:t>77.</w:t>
      </w:r>
      <w:r w:rsidRPr="00CD759A">
        <w:tab/>
        <w:t xml:space="preserve">wzywa </w:t>
      </w:r>
      <w:r w:rsidRPr="00CD759A">
        <w:t>BiH</w:t>
      </w:r>
      <w:r w:rsidRPr="00CD759A">
        <w:t xml:space="preserve"> do poprawy sieci transportowych i współpracy transgranicznej oraz do postępów w realizacji kluczowych regionalnych projektów infrastrukturalnych, przy pełnym wykorzystaniu dostępnych unijnych instrumentów finansowania; podkreśla strategiczne znaczenie aktywnego udziału </w:t>
      </w:r>
      <w:r w:rsidRPr="00CD759A">
        <w:t>BiH</w:t>
      </w:r>
      <w:r w:rsidRPr="00CD759A">
        <w:t xml:space="preserve"> w dużych regionalnych projektach połączeń międzysystemowych w dziedzinie transportu, energii i sieci cyfrowych na Bałkanach Zachodnich; zaznacza, że takie projekty wspierają budowanie odpornych łańcuchów dostaw, zmniejszają zależności strategiczne i w decydujący sposób przyczyniają się do konwergencji gospodarczej, integracji regionalnej i odporności kraju, współpracy transgranicznej, a także do jego stopniowej integracji z jednolitym rynkiem Unii; wzywa </w:t>
      </w:r>
      <w:r w:rsidRPr="00CD759A">
        <w:t>BiH</w:t>
      </w:r>
      <w:r w:rsidRPr="00CD759A">
        <w:t xml:space="preserve"> do propagowania również projektów dotyczących mobilności wojskowej;</w:t>
      </w:r>
    </w:p>
    <w:p w:rsidR="00390AA9" w:rsidRPr="00CD759A" w:rsidP="00390AA9" w14:paraId="520B7CB3" w14:textId="77777777">
      <w:pPr>
        <w:pStyle w:val="NormalCenter12a"/>
      </w:pPr>
      <w:r w:rsidRPr="00CD759A">
        <w:t>°</w:t>
      </w:r>
    </w:p>
    <w:p w:rsidR="00390AA9" w:rsidRPr="00CD759A" w:rsidP="00390AA9" w14:paraId="1DBBD112" w14:textId="77777777">
      <w:pPr>
        <w:pStyle w:val="NormalCenter12a"/>
      </w:pPr>
      <w:r w:rsidRPr="00CD759A">
        <w:t>°</w:t>
      </w:r>
      <w:r w:rsidRPr="00CD759A">
        <w:tab/>
        <w:t>°</w:t>
      </w:r>
    </w:p>
    <w:p w:rsidR="00CD759A" w:rsidRPr="00CD759A" w:rsidP="00CD759A" w14:paraId="4950648C" w14:textId="12BD3FE1">
      <w:pPr>
        <w:pStyle w:val="NormalHanging12a"/>
      </w:pPr>
      <w:r w:rsidRPr="00CD759A">
        <w:t>78.</w:t>
      </w:r>
      <w:r w:rsidRPr="00CD759A">
        <w:tab/>
        <w:t xml:space="preserve">zobowiązuje swoją przewodniczącą do przekazania niniejszej rezolucji wiceprzewodniczącej Komisji / wysokiej przedstawicielce Unii do spraw zagranicznych i polityki bezpieczeństwa, Radzie, Komisji, Prezydium </w:t>
      </w:r>
      <w:r w:rsidRPr="00CD759A">
        <w:t>BiH</w:t>
      </w:r>
      <w:r w:rsidRPr="00CD759A">
        <w:t xml:space="preserve">, Radzie Ministrów Bośni i Hercegowiny i Zgromadzeniu Parlamentarnemu Bośni i Hercegowiny oraz rządom i parlamentom Federacji Bośni i Hercegowiny, Republiki Serbskiej i Dystryktu </w:t>
      </w:r>
      <w:r w:rsidRPr="00CD759A">
        <w:t>Brczko</w:t>
      </w:r>
      <w:r w:rsidRPr="00CD759A">
        <w:t>, a także Biuru Wysokiego Przedstawiciela.</w:t>
      </w:r>
    </w:p>
    <w:p w:rsidR="00E365E1" w:rsidRPr="00CD759A" w:rsidP="00937FDA" w14:paraId="00BFC73C" w14:textId="19380E8B"/>
    <w:sectPr w:rsidSect="00CD75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4DC6F29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2BB402B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587C696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37FDA" w:rsidRPr="00CD759A" w14:paraId="53F3BD3D" w14:textId="77777777">
      <w:r w:rsidRPr="00CD759A">
        <w:separator/>
      </w:r>
    </w:p>
  </w:footnote>
  <w:footnote w:type="continuationSeparator" w:id="1">
    <w:p w:rsidR="00937FDA" w:rsidRPr="00CD759A" w14:paraId="16B4B085" w14:textId="77777777">
      <w:r w:rsidRPr="00CD759A">
        <w:continuationSeparator/>
      </w:r>
    </w:p>
  </w:footnote>
  <w:footnote w:id="2">
    <w:p w:rsidR="00390AA9" w:rsidRPr="00CD759A" w:rsidP="00CD759A" w14:paraId="0388796F" w14:textId="1CF8C12C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1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 xml:space="preserve">Dz.U. L 164 z 30.6.2015, s. 2, ELI: </w:t>
      </w:r>
      <w:hyperlink r:id="rId1" w:tgtFrame="http://data.europa.eu/eli/agree_internation/2015/997/oj" w:history="1">
        <w:r w:rsidRPr="00CD759A">
          <w:rPr>
            <w:rStyle w:val="Hyperlink"/>
            <w:sz w:val="24"/>
            <w:lang w:val="pl-PL"/>
          </w:rPr>
          <w:t>http://data.europa.eu/eli/agree_internation/2015/997/oj</w:t>
        </w:r>
      </w:hyperlink>
      <w:r w:rsidRPr="00CD759A">
        <w:rPr>
          <w:sz w:val="24"/>
          <w:lang w:val="pl-PL"/>
        </w:rPr>
        <w:t>.</w:t>
      </w:r>
    </w:p>
  </w:footnote>
  <w:footnote w:id="3">
    <w:p w:rsidR="00390AA9" w:rsidRPr="00CD759A" w:rsidP="00CD759A" w14:paraId="25A74A21" w14:textId="54B23302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2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 xml:space="preserve">Dz.U. L 330 z </w:t>
      </w:r>
      <w:r w:rsidRPr="00CD759A">
        <w:rPr>
          <w:sz w:val="24"/>
          <w:lang w:val="pl-PL"/>
        </w:rPr>
        <w:t>20.9.2021</w:t>
      </w:r>
      <w:r w:rsidRPr="00CD759A">
        <w:rPr>
          <w:sz w:val="24"/>
          <w:lang w:val="pl-PL"/>
        </w:rPr>
        <w:t xml:space="preserve">, s. 1, ELI: </w:t>
      </w:r>
      <w:hyperlink r:id="rId2" w:tgtFrame="http://data.europa.eu/eli/reg/2021/1529/oj" w:history="1">
        <w:r w:rsidRPr="00CD759A">
          <w:rPr>
            <w:rStyle w:val="Hyperlink"/>
            <w:sz w:val="24"/>
            <w:lang w:val="pl-PL"/>
          </w:rPr>
          <w:t>http://data.europa.eu/eli/reg/2021/1529/oj</w:t>
        </w:r>
      </w:hyperlink>
      <w:r w:rsidRPr="00CD759A">
        <w:rPr>
          <w:sz w:val="24"/>
          <w:lang w:val="pl-PL"/>
        </w:rPr>
        <w:t>.</w:t>
      </w:r>
    </w:p>
  </w:footnote>
  <w:footnote w:id="4">
    <w:p w:rsidR="00390AA9" w:rsidRPr="000B4D32" w:rsidP="00CD759A" w14:paraId="1DD38D50" w14:textId="11225519">
      <w:pPr>
        <w:pStyle w:val="FootnoteText"/>
        <w:ind w:left="567" w:hanging="567"/>
        <w:rPr>
          <w:sz w:val="24"/>
          <w:lang w:val="fi-FI"/>
        </w:rPr>
      </w:pPr>
      <w:r w:rsidRPr="000B4D32">
        <w:rPr>
          <w:rStyle w:val="FootnoteReference"/>
          <w:sz w:val="24"/>
          <w:lang w:val="fi-FI"/>
        </w:rPr>
        <w:t>3</w:t>
      </w:r>
      <w:r w:rsidRPr="000B4D32" w:rsidR="00CD759A">
        <w:rPr>
          <w:sz w:val="24"/>
          <w:lang w:val="fi-FI"/>
        </w:rPr>
        <w:t xml:space="preserve"> </w:t>
      </w:r>
      <w:r w:rsidRPr="000B4D32" w:rsidR="00CD759A">
        <w:rPr>
          <w:sz w:val="24"/>
          <w:lang w:val="fi-FI"/>
        </w:rPr>
        <w:tab/>
      </w:r>
      <w:r w:rsidRPr="000B4D32">
        <w:rPr>
          <w:sz w:val="24"/>
          <w:lang w:val="fi-FI"/>
        </w:rPr>
        <w:t xml:space="preserve">Dz.U. L, 2024/1449, 24.5.2024, ELI: </w:t>
      </w:r>
      <w:hyperlink r:id="rId3" w:tgtFrame="http://data.europa.eu/eli/reg/2024/1449/oj" w:history="1">
        <w:r w:rsidRPr="000B4D32">
          <w:rPr>
            <w:rStyle w:val="Hyperlink"/>
            <w:sz w:val="24"/>
            <w:lang w:val="fi-FI"/>
          </w:rPr>
          <w:t>http://data.europa.eu/eli/reg/2024/1449/oj</w:t>
        </w:r>
      </w:hyperlink>
      <w:r w:rsidRPr="000B4D32">
        <w:rPr>
          <w:sz w:val="24"/>
          <w:lang w:val="fi-FI"/>
        </w:rPr>
        <w:t>.</w:t>
      </w:r>
    </w:p>
  </w:footnote>
  <w:footnote w:id="5">
    <w:p w:rsidR="00390AA9" w:rsidRPr="00CD759A" w:rsidP="00CD759A" w14:paraId="57E0E7D0" w14:textId="448C15E0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4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>Teksty przyjęte, P10_TA(2026)0077.</w:t>
      </w:r>
    </w:p>
  </w:footnote>
  <w:footnote w:id="6">
    <w:p w:rsidR="00390AA9" w:rsidRPr="00CD759A" w:rsidP="00CD759A" w14:paraId="6A2A07C7" w14:textId="15709F9D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5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 xml:space="preserve">Rozporządzenie Parlamentu Europejskiego i Rady (UE) 2022/2065 z dnia 19 października 2022 r. w sprawie jednolitego rynku usług cyfrowych oraz zmiany dyrektywy 2000/31/WE (akt o usługach cyfrowych) (Dz.U. L 277 z 27.10.2022, s. 1, ELI: </w:t>
      </w:r>
      <w:hyperlink r:id="rId4" w:tgtFrame="http://data.europa.eu/eli/reg/2022/2065/oj" w:history="1">
        <w:r w:rsidRPr="00CD759A">
          <w:rPr>
            <w:rStyle w:val="Hyperlink"/>
            <w:sz w:val="24"/>
            <w:lang w:val="pl-PL"/>
          </w:rPr>
          <w:t>http://data.europa.eu/eli/reg/2022/2065/oj</w:t>
        </w:r>
      </w:hyperlink>
      <w:r w:rsidRPr="00CD759A">
        <w:rPr>
          <w:sz w:val="24"/>
          <w:lang w:val="pl-PL"/>
        </w:rPr>
        <w:t>).</w:t>
      </w:r>
    </w:p>
  </w:footnote>
  <w:footnote w:id="7">
    <w:p w:rsidR="00390AA9" w:rsidRPr="00CD759A" w:rsidP="00CD759A" w14:paraId="697948BD" w14:textId="4CB65F9D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6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 xml:space="preserve">Decyzja Rady (UE) 2015/1900 z dnia 5 października 2015 r. w sprawie stanowiska, jakie ma być zajęte w imieniu Unii Europejskiej w ramach Rady Stabilizacji i Stowarzyszenia ustanowionej na mocy Układu o stabilizacji i stowarzyszeniu między Wspólnotami Europejskimi i ich państwami członkowskimi, z jednej strony, a Bośnią i Hercegowiną, z drugiej strony, w odniesieniu do decyzji Rady Stabilizacji i Stowarzyszenia w sprawie przyjęcia jej regulaminu wewnętrznego (Dz.U. </w:t>
      </w:r>
      <w:r w:rsidRPr="00CD759A">
        <w:rPr>
          <w:sz w:val="24"/>
          <w:lang w:val="pl-PL"/>
        </w:rPr>
        <w:t xml:space="preserve">L </w:t>
      </w:r>
      <w:r w:rsidRPr="00CD759A">
        <w:rPr>
          <w:sz w:val="24"/>
          <w:lang w:val="pl-PL"/>
        </w:rPr>
        <w:t xml:space="preserve">277 z 22.10.2015, s. 17, ELI: </w:t>
      </w:r>
      <w:hyperlink r:id="rId5" w:tgtFrame="http://data.europa.eu/eli/dec/2015/1900/oj" w:history="1">
        <w:r w:rsidRPr="00CD759A">
          <w:rPr>
            <w:rStyle w:val="Hyperlink"/>
            <w:sz w:val="24"/>
            <w:lang w:val="pl-PL"/>
          </w:rPr>
          <w:t>http://data.europa.eu/eli/dec/2015/1900/oj</w:t>
        </w:r>
      </w:hyperlink>
      <w:r w:rsidRPr="00CD759A">
        <w:rPr>
          <w:sz w:val="24"/>
          <w:lang w:val="pl-PL"/>
        </w:rPr>
        <w:t>).</w:t>
      </w:r>
    </w:p>
  </w:footnote>
  <w:footnote w:id="8">
    <w:p w:rsidR="00390AA9" w:rsidRPr="00CD759A" w:rsidP="00CD759A" w14:paraId="6CE866A1" w14:textId="0E98AE0B">
      <w:pPr>
        <w:pStyle w:val="FootnoteText"/>
        <w:ind w:left="567" w:hanging="567"/>
        <w:rPr>
          <w:sz w:val="24"/>
          <w:lang w:val="pl-PL"/>
        </w:rPr>
      </w:pPr>
      <w:r w:rsidRPr="00CD759A">
        <w:rPr>
          <w:rStyle w:val="FootnoteReference"/>
          <w:sz w:val="24"/>
          <w:lang w:val="pl-PL"/>
        </w:rPr>
        <w:t>7</w:t>
      </w:r>
      <w:r w:rsidRPr="00CD759A" w:rsidR="00CD759A">
        <w:rPr>
          <w:sz w:val="24"/>
          <w:lang w:val="pl-PL"/>
        </w:rPr>
        <w:t xml:space="preserve"> </w:t>
      </w:r>
      <w:r w:rsidRPr="00CD759A" w:rsidR="00CD759A">
        <w:rPr>
          <w:sz w:val="24"/>
          <w:lang w:val="pl-PL"/>
        </w:rPr>
        <w:tab/>
      </w:r>
      <w:r w:rsidRPr="00CD759A">
        <w:rPr>
          <w:sz w:val="24"/>
          <w:lang w:val="pl-PL"/>
        </w:rPr>
        <w:t xml:space="preserve">Rozporządzenie Parlamentu Europejskiego i Rady (UE) 2024/1083 z dnia 11 kwietnia 2024 r. w sprawie ustanowienia wspólnych ram dla usług medialnych na rynku wewnętrznym i zmiany dyrektywy 2010/13/UE (europejski akt o wolności mediów) (Dz.U. L, 2024/1083, </w:t>
      </w:r>
      <w:r w:rsidRPr="00CD759A">
        <w:rPr>
          <w:sz w:val="24"/>
          <w:lang w:val="pl-PL"/>
        </w:rPr>
        <w:t>17.4.2024</w:t>
      </w:r>
      <w:r w:rsidRPr="00CD759A">
        <w:rPr>
          <w:sz w:val="24"/>
          <w:lang w:val="pl-PL"/>
        </w:rPr>
        <w:t xml:space="preserve">, ELI: </w:t>
      </w:r>
      <w:hyperlink r:id="rId6" w:tgtFrame="http://data.europa.eu/eli/reg/2024/1083/oj" w:history="1">
        <w:r w:rsidRPr="00CD759A">
          <w:rPr>
            <w:rStyle w:val="Hyperlink"/>
            <w:sz w:val="24"/>
            <w:lang w:val="pl-PL"/>
          </w:rPr>
          <w:t>http://data.europa.eu/eli/reg/2024/1083/oj</w:t>
        </w:r>
      </w:hyperlink>
      <w:r w:rsidRPr="00CD759A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14A35F2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0EC5B41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759A" w14:paraId="469DEE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1244323">
    <w:abstractNumId w:val="9"/>
  </w:num>
  <w:num w:numId="2" w16cid:durableId="1570996037">
    <w:abstractNumId w:val="9"/>
  </w:num>
  <w:num w:numId="3" w16cid:durableId="204800346">
    <w:abstractNumId w:val="7"/>
  </w:num>
  <w:num w:numId="4" w16cid:durableId="595140203">
    <w:abstractNumId w:val="7"/>
  </w:num>
  <w:num w:numId="5" w16cid:durableId="566957923">
    <w:abstractNumId w:val="6"/>
  </w:num>
  <w:num w:numId="6" w16cid:durableId="195193779">
    <w:abstractNumId w:val="6"/>
  </w:num>
  <w:num w:numId="7" w16cid:durableId="1356734100">
    <w:abstractNumId w:val="5"/>
  </w:num>
  <w:num w:numId="8" w16cid:durableId="2006547665">
    <w:abstractNumId w:val="5"/>
  </w:num>
  <w:num w:numId="9" w16cid:durableId="1831865394">
    <w:abstractNumId w:val="4"/>
  </w:num>
  <w:num w:numId="10" w16cid:durableId="934089973">
    <w:abstractNumId w:val="4"/>
  </w:num>
  <w:num w:numId="11" w16cid:durableId="402947435">
    <w:abstractNumId w:val="8"/>
  </w:num>
  <w:num w:numId="12" w16cid:durableId="1007751051">
    <w:abstractNumId w:val="8"/>
  </w:num>
  <w:num w:numId="13" w16cid:durableId="1646812880">
    <w:abstractNumId w:val="3"/>
  </w:num>
  <w:num w:numId="14" w16cid:durableId="1213034113">
    <w:abstractNumId w:val="3"/>
  </w:num>
  <w:num w:numId="15" w16cid:durableId="855387936">
    <w:abstractNumId w:val="2"/>
  </w:num>
  <w:num w:numId="16" w16cid:durableId="1606840616">
    <w:abstractNumId w:val="2"/>
  </w:num>
  <w:num w:numId="17" w16cid:durableId="418451871">
    <w:abstractNumId w:val="1"/>
  </w:num>
  <w:num w:numId="18" w16cid:durableId="1225681087">
    <w:abstractNumId w:val="1"/>
  </w:num>
  <w:num w:numId="19" w16cid:durableId="678196886">
    <w:abstractNumId w:val="0"/>
  </w:num>
  <w:num w:numId="20" w16cid:durableId="1428649544">
    <w:abstractNumId w:val="0"/>
  </w:num>
  <w:num w:numId="21" w16cid:durableId="335546011">
    <w:abstractNumId w:val="9"/>
  </w:num>
  <w:num w:numId="22" w16cid:durableId="799497173">
    <w:abstractNumId w:val="7"/>
  </w:num>
  <w:num w:numId="23" w16cid:durableId="2043824688">
    <w:abstractNumId w:val="6"/>
  </w:num>
  <w:num w:numId="24" w16cid:durableId="1545633083">
    <w:abstractNumId w:val="5"/>
  </w:num>
  <w:num w:numId="25" w16cid:durableId="834152817">
    <w:abstractNumId w:val="4"/>
  </w:num>
  <w:num w:numId="26" w16cid:durableId="1909805495">
    <w:abstractNumId w:val="8"/>
  </w:num>
  <w:num w:numId="27" w16cid:durableId="93670348">
    <w:abstractNumId w:val="3"/>
  </w:num>
  <w:num w:numId="28" w16cid:durableId="1902130753">
    <w:abstractNumId w:val="2"/>
  </w:num>
  <w:num w:numId="29" w16cid:durableId="1430546501">
    <w:abstractNumId w:val="1"/>
  </w:num>
  <w:num w:numId="30" w16cid:durableId="1135021399">
    <w:abstractNumId w:val="0"/>
  </w:num>
  <w:num w:numId="31" w16cid:durableId="1291475197">
    <w:abstractNumId w:val="9"/>
  </w:num>
  <w:num w:numId="32" w16cid:durableId="1025906618">
    <w:abstractNumId w:val="7"/>
  </w:num>
  <w:num w:numId="33" w16cid:durableId="768626334">
    <w:abstractNumId w:val="6"/>
  </w:num>
  <w:num w:numId="34" w16cid:durableId="1495218896">
    <w:abstractNumId w:val="5"/>
  </w:num>
  <w:num w:numId="35" w16cid:durableId="374426232">
    <w:abstractNumId w:val="4"/>
  </w:num>
  <w:num w:numId="36" w16cid:durableId="581259286">
    <w:abstractNumId w:val="8"/>
  </w:num>
  <w:num w:numId="37" w16cid:durableId="38629818">
    <w:abstractNumId w:val="3"/>
  </w:num>
  <w:num w:numId="38" w16cid:durableId="862985870">
    <w:abstractNumId w:val="2"/>
  </w:num>
  <w:num w:numId="39" w16cid:durableId="1571305165">
    <w:abstractNumId w:val="1"/>
  </w:num>
  <w:num w:numId="40" w16cid:durableId="1259409225">
    <w:abstractNumId w:val="0"/>
  </w:num>
  <w:num w:numId="41" w16cid:durableId="1672173331">
    <w:abstractNumId w:val="10"/>
  </w:num>
  <w:num w:numId="42" w16cid:durableId="189072494">
    <w:abstractNumId w:val="10"/>
  </w:num>
  <w:num w:numId="43" w16cid:durableId="1510293103">
    <w:abstractNumId w:val="10"/>
  </w:num>
  <w:num w:numId="44" w16cid:durableId="1040931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DA"/>
    <w:rsid w:val="00002272"/>
    <w:rsid w:val="00064002"/>
    <w:rsid w:val="000677B9"/>
    <w:rsid w:val="000831BA"/>
    <w:rsid w:val="000A42CC"/>
    <w:rsid w:val="000B4D3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AA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E73"/>
    <w:rsid w:val="007D1690"/>
    <w:rsid w:val="007E22AD"/>
    <w:rsid w:val="008010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FDA"/>
    <w:rsid w:val="009509D8"/>
    <w:rsid w:val="00950B64"/>
    <w:rsid w:val="00981893"/>
    <w:rsid w:val="009F28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59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D87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5/2026"/>
    <w:docVar w:name="dvlangue" w:val="PL"/>
    <w:docVar w:name="dvnumam" w:val="0"/>
    <w:docVar w:name="dvpe" w:val="785.353"/>
    <w:docVar w:name="dvrapporteur" w:val="Sprawozdawca: "/>
    <w:docVar w:name="dvtitre" w:val="Rezolucja Parlamentu Europejskiego z dnia  2026 r. w sprawie sprawozdania Komisji dotyczącego Bośni i Hercegowiny – 2025 r.(2025/225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585178"/>
  <w15:chartTrackingRefBased/>
  <w15:docId w15:val="{450DB2EA-2C01-4597-91C5-FAAC037F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90AA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390AA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90AA9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90AA9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90AA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90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5/997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2/2065/oj" TargetMode="External" /><Relationship Id="rId5" Type="http://schemas.openxmlformats.org/officeDocument/2006/relationships/hyperlink" Target="http://data.europa.eu/eli/dec/2015/1900/oj" TargetMode="External" /><Relationship Id="rId6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6785</Words>
  <Characters>47177</Characters>
  <Application>Microsoft Office Word</Application>
  <DocSecurity>0</DocSecurity>
  <Lines>827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2026-07-20T08:30:00Z</dcterms:created>
  <dcterms:modified xsi:type="dcterms:W3CDTF">2026-07-20T08:30:00Z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A10-0165/2026</vt:lpwstr>
  </property>
  <property fmtid="{D5CDD505-2E9C-101B-9397-08002B2CF9AE}" pid="4" name="&lt;Type&gt;">
    <vt:lpwstr>RR</vt:lpwstr>
  </property>
</Properties>
</file>