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D1FE60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69A6" w:rsidP="0010095E" w14:paraId="2EFB6CED" w14:textId="77777777">
            <w:pPr>
              <w:pStyle w:val="EPName"/>
            </w:pPr>
            <w:r w:rsidRPr="008F69A6">
              <w:t>Európsky parlament</w:t>
            </w:r>
          </w:p>
          <w:p w:rsidR="00751A4A" w:rsidRPr="008F69A6" w:rsidP="005F1B17" w14:paraId="7E8E909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69A6">
              <w:t>2024</w:t>
            </w:r>
            <w:r w:rsidRPr="008F69A6" w:rsidR="00817416">
              <w:t>-202</w:t>
            </w:r>
            <w:r w:rsidRPr="008F69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69A6" w:rsidP="0010095E" w14:paraId="3E4D0E07" w14:textId="77777777">
            <w:pPr>
              <w:pStyle w:val="EPLogo"/>
            </w:pPr>
            <w:r w:rsidRPr="008F69A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69A6" w:rsidP="004C5D52" w14:paraId="3BC973D0" w14:textId="77777777">
      <w:pPr>
        <w:pStyle w:val="LineTop"/>
      </w:pPr>
    </w:p>
    <w:p w:rsidR="00680577" w:rsidRPr="008F69A6" w:rsidP="00680577" w14:paraId="3A6CCC67" w14:textId="77777777">
      <w:pPr>
        <w:pStyle w:val="EPBodyTA1"/>
      </w:pPr>
      <w:r w:rsidRPr="008F69A6">
        <w:t>PRIJATÉ TEXTY</w:t>
      </w:r>
    </w:p>
    <w:p w:rsidR="00D058B8" w:rsidRPr="008F69A6" w:rsidP="00D058B8" w14:paraId="7AEA5D16" w14:textId="77777777">
      <w:pPr>
        <w:pStyle w:val="LineBottom"/>
      </w:pPr>
    </w:p>
    <w:p w:rsidR="004D22DB" w:rsidRPr="008F69A6" w:rsidP="004D22DB" w14:paraId="0C0214C0" w14:textId="16C40CDA">
      <w:pPr>
        <w:pStyle w:val="ATHeading1"/>
      </w:pPr>
      <w:bookmarkStart w:id="0" w:name="TANumber"/>
      <w:r w:rsidRPr="008F69A6">
        <w:t>P10_TA(2026)0</w:t>
      </w:r>
      <w:r w:rsidRPr="008F69A6" w:rsidR="008F69A6">
        <w:t>219</w:t>
      </w:r>
      <w:bookmarkEnd w:id="0"/>
    </w:p>
    <w:p w:rsidR="004D22DB" w:rsidRPr="008F69A6" w:rsidP="004D22DB" w14:paraId="46E2B1B0" w14:textId="77777777">
      <w:pPr>
        <w:pStyle w:val="ATHeading2"/>
      </w:pPr>
      <w:bookmarkStart w:id="1" w:name="title"/>
      <w:r w:rsidRPr="008F69A6">
        <w:t>Správa Komisie o Bosne a Hercegovine za rok 2025</w:t>
      </w:r>
      <w:bookmarkEnd w:id="1"/>
    </w:p>
    <w:p w:rsidR="004D22DB" w:rsidRPr="008F69A6" w:rsidP="004D22DB" w14:paraId="01C77FAA" w14:textId="77777777">
      <w:pPr>
        <w:rPr>
          <w:i/>
          <w:vanish/>
        </w:rPr>
      </w:pPr>
      <w:r>
        <w:rPr>
          <w:i/>
        </w:rPr>
        <w:fldChar w:fldCharType="begin"/>
      </w:r>
      <w:r w:rsidRPr="008F69A6">
        <w:rPr>
          <w:i/>
        </w:rPr>
        <w:instrText xml:space="preserve"> TC"(</w:instrText>
      </w:r>
      <w:bookmarkStart w:id="2" w:name="DocNumber"/>
      <w:r w:rsidRPr="008F69A6">
        <w:rPr>
          <w:i/>
        </w:rPr>
        <w:instrText>A10-0165/2026</w:instrText>
      </w:r>
      <w:bookmarkEnd w:id="2"/>
      <w:r w:rsidRPr="008F69A6">
        <w:rPr>
          <w:i/>
        </w:rPr>
        <w:instrText xml:space="preserve"> - Spravodajca: </w:instrText>
      </w:r>
      <w:r w:rsidRPr="008F69A6">
        <w:rPr>
          <w:i/>
        </w:rPr>
        <w:instrText>Ondřej</w:instrText>
      </w:r>
      <w:r w:rsidRPr="008F69A6">
        <w:rPr>
          <w:i/>
        </w:rPr>
        <w:instrText xml:space="preserve"> </w:instrText>
      </w:r>
      <w:r w:rsidRPr="008F69A6">
        <w:rPr>
          <w:i/>
        </w:rPr>
        <w:instrText>Kolář</w:instrText>
      </w:r>
      <w:r w:rsidRPr="008F69A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D22DB" w:rsidRPr="008F69A6" w:rsidP="004D22DB" w14:paraId="5D793E40" w14:textId="77777777">
      <w:pPr>
        <w:rPr>
          <w:vanish/>
        </w:rPr>
      </w:pPr>
      <w:bookmarkStart w:id="3" w:name="Commission"/>
      <w:r w:rsidRPr="008F69A6">
        <w:rPr>
          <w:vanish/>
        </w:rPr>
        <w:t>Výbor pre zahraničné veci</w:t>
      </w:r>
      <w:bookmarkEnd w:id="3"/>
    </w:p>
    <w:p w:rsidR="004D22DB" w:rsidRPr="008F69A6" w:rsidP="004D22DB" w14:paraId="0F55FE83" w14:textId="77777777">
      <w:pPr>
        <w:rPr>
          <w:vanish/>
        </w:rPr>
      </w:pPr>
      <w:bookmarkStart w:id="4" w:name="PE"/>
      <w:r w:rsidRPr="008F69A6">
        <w:rPr>
          <w:vanish/>
        </w:rPr>
        <w:t>PE785.353</w:t>
      </w:r>
      <w:bookmarkEnd w:id="4"/>
    </w:p>
    <w:p w:rsidR="004D22DB" w:rsidRPr="008F69A6" w:rsidP="004D22DB" w14:paraId="7111A939" w14:textId="40F5DEC1">
      <w:pPr>
        <w:pStyle w:val="ATHeading3"/>
      </w:pPr>
      <w:bookmarkStart w:id="5" w:name="Sujet"/>
      <w:r w:rsidRPr="008F69A6">
        <w:t xml:space="preserve">Uznesenie Európskeho parlamentu zo </w:t>
      </w:r>
      <w:r w:rsidRPr="008F69A6" w:rsidR="007B5B7B">
        <w:t>17</w:t>
      </w:r>
      <w:r w:rsidRPr="008F69A6">
        <w:t xml:space="preserve">. </w:t>
      </w:r>
      <w:r w:rsidRPr="008F69A6" w:rsidR="007B5B7B">
        <w:t xml:space="preserve">júna </w:t>
      </w:r>
      <w:r w:rsidRPr="008F69A6">
        <w:t>2026 o správe Komisie o Bosne a Hercegovine za rok 2025</w:t>
      </w:r>
      <w:bookmarkEnd w:id="5"/>
      <w:r w:rsidRPr="008F69A6">
        <w:t xml:space="preserve"> </w:t>
      </w:r>
      <w:bookmarkStart w:id="6" w:name="References"/>
      <w:r w:rsidRPr="008F69A6">
        <w:t>(2025/2251(INI))</w:t>
      </w:r>
      <w:bookmarkEnd w:id="6"/>
    </w:p>
    <w:p w:rsidR="00B67CFF" w:rsidRPr="008F69A6" w:rsidP="00B67CFF" w14:paraId="53166118" w14:textId="77777777">
      <w:pPr>
        <w:pStyle w:val="Normal12"/>
      </w:pPr>
      <w:r w:rsidRPr="008F69A6">
        <w:t>Európsky parlament,</w:t>
      </w:r>
    </w:p>
    <w:p w:rsidR="00B67CFF" w:rsidRPr="008F69A6" w:rsidP="00B67CFF" w14:paraId="1C97B0D6" w14:textId="77777777">
      <w:pPr>
        <w:pStyle w:val="NormalHanging"/>
      </w:pPr>
      <w:r w:rsidRPr="008F69A6">
        <w:t>–</w:t>
      </w:r>
      <w:r w:rsidRPr="008F69A6">
        <w:tab/>
        <w:t>so zreteľom na Dohodu o stabilizácii a pridružení medzi Európskymi spoločenstvami a ich členskými štátmi na jednej strane a Bosnou a Hercegovinou na strane druhej</w:t>
      </w:r>
      <w:r>
        <w:rPr>
          <w:rStyle w:val="FootnoteReference"/>
        </w:rPr>
        <w:footnoteReference w:customMarkFollows="1" w:id="2"/>
        <w:t xml:space="preserve">1</w:t>
      </w:r>
      <w:r w:rsidRPr="008F69A6">
        <w:t>, ktorá nadobudla platnosť 1. júna 2015,</w:t>
      </w:r>
    </w:p>
    <w:p w:rsidR="00B67CFF" w:rsidRPr="008F69A6" w:rsidP="00B67CFF" w14:paraId="0267B06D" w14:textId="77777777">
      <w:pPr>
        <w:pStyle w:val="NormalHanging"/>
      </w:pPr>
      <w:r w:rsidRPr="008F69A6">
        <w:t>–</w:t>
      </w:r>
      <w:r w:rsidRPr="008F69A6">
        <w:tab/>
        <w:t>so zreteľom na Všeobecnú rámcovú dohodu o mieri v Bosne a Hercegovine, ktorá bola parafovaná 21. novembra 1995 v </w:t>
      </w:r>
      <w:r w:rsidRPr="008F69A6">
        <w:t>Daytone</w:t>
      </w:r>
      <w:r w:rsidRPr="008F69A6">
        <w:t xml:space="preserve"> a podpísaná 14. decembra 1995 v Paríži (</w:t>
      </w:r>
      <w:r w:rsidRPr="008F69A6">
        <w:t>Daytonská</w:t>
      </w:r>
      <w:r w:rsidRPr="008F69A6">
        <w:t xml:space="preserve"> mierová dohoda),</w:t>
      </w:r>
    </w:p>
    <w:p w:rsidR="00B67CFF" w:rsidRPr="008F69A6" w:rsidP="00B67CFF" w14:paraId="5EE7FF4A" w14:textId="77777777">
      <w:pPr>
        <w:pStyle w:val="NormalHanging"/>
      </w:pPr>
      <w:r w:rsidRPr="008F69A6">
        <w:t>–</w:t>
      </w:r>
      <w:r w:rsidRPr="008F69A6">
        <w:tab/>
        <w:t>so zreteľom na závery predsedníctva zo zasadnutia Európskej rady v Kodani, ktoré sa konalo 21. až 22. júna 1993 a ktorými sa stanovujú kodanské kritériá,</w:t>
      </w:r>
    </w:p>
    <w:p w:rsidR="00B67CFF" w:rsidRPr="008F69A6" w:rsidP="00B67CFF" w14:paraId="0539B4D9" w14:textId="77777777">
      <w:pPr>
        <w:pStyle w:val="NormalHanging"/>
      </w:pPr>
      <w:r w:rsidRPr="008F69A6">
        <w:t>–</w:t>
      </w:r>
      <w:r w:rsidRPr="008F69A6">
        <w:tab/>
        <w:t>so zreteľom na žiadosť Bosny a Hercegoviny o členstvo v EÚ predloženú 15. februára 2016,</w:t>
      </w:r>
    </w:p>
    <w:p w:rsidR="00B67CFF" w:rsidRPr="008F69A6" w:rsidP="00B67CFF" w14:paraId="11DB8FB9" w14:textId="07A026F9">
      <w:pPr>
        <w:pStyle w:val="NormalHanging"/>
      </w:pPr>
      <w:r w:rsidRPr="008F69A6">
        <w:t>–</w:t>
      </w:r>
      <w:r w:rsidRPr="008F69A6">
        <w:tab/>
        <w:t>so zreteľom na oznámenie Komisie z 29. mája 2019 s názvom Stanovisko Komisie k žiadosti Bosny a Hercegoviny o členstvo v Európskej únii (</w:t>
      </w:r>
      <w:r w:rsidRPr="008F69A6" w:rsidR="007B5B7B">
        <w:t>COM(2019)0261</w:t>
      </w:r>
      <w:r w:rsidRPr="008F69A6">
        <w:t>),</w:t>
      </w:r>
    </w:p>
    <w:p w:rsidR="00B67CFF" w:rsidRPr="008F69A6" w:rsidP="00B67CFF" w14:paraId="2F256A19" w14:textId="77777777">
      <w:pPr>
        <w:pStyle w:val="NormalHanging"/>
      </w:pPr>
      <w:r w:rsidRPr="008F69A6">
        <w:t>–</w:t>
      </w:r>
      <w:r w:rsidRPr="008F69A6">
        <w:tab/>
        <w:t>so zreteľom na závery Európskej rady z 15. decembra 2022, ktorými sa Bosne a Hercegovine udeľuje štatút kandidátskej krajiny na vstup do EÚ,</w:t>
      </w:r>
    </w:p>
    <w:p w:rsidR="00B67CFF" w:rsidRPr="008F69A6" w:rsidP="00B67CFF" w14:paraId="49641C45" w14:textId="77777777">
      <w:pPr>
        <w:pStyle w:val="NormalHanging"/>
      </w:pPr>
      <w:r w:rsidRPr="008F69A6">
        <w:t>–</w:t>
      </w:r>
      <w:r w:rsidRPr="008F69A6">
        <w:tab/>
        <w:t>so zreteľom na závery Európskej rady z 22. marca 2024 a na rozhodnutie začať prístupové rokovania s Bosnou a Hercegovinou,</w:t>
      </w:r>
    </w:p>
    <w:p w:rsidR="00B67CFF" w:rsidRPr="008F69A6" w:rsidP="00B67CFF" w14:paraId="209D5F15" w14:textId="77777777">
      <w:pPr>
        <w:pStyle w:val="NormalHanging"/>
      </w:pPr>
      <w:r w:rsidRPr="008F69A6">
        <w:t>–</w:t>
      </w:r>
      <w:r w:rsidRPr="008F69A6">
        <w:tab/>
        <w:t>so zreteľom na nariadenie Európskeho parlamentu a Rady (EÚ) 2021/1529 z 15. septembra 2021, ktorým sa zriaďuje nástroj predvstupovej pomoci (IPA III)</w:t>
      </w:r>
      <w:r>
        <w:rPr>
          <w:rStyle w:val="FootnoteReference"/>
        </w:rPr>
        <w:footnoteReference w:customMarkFollows="1" w:id="3"/>
        <w:t xml:space="preserve">2</w:t>
      </w:r>
      <w:r w:rsidRPr="008F69A6">
        <w:t>,</w:t>
      </w:r>
    </w:p>
    <w:p w:rsidR="00B67CFF" w:rsidRPr="008F69A6" w:rsidP="00B67CFF" w14:paraId="50555E34" w14:textId="77777777">
      <w:pPr>
        <w:pStyle w:val="NormalHanging"/>
      </w:pPr>
      <w:r w:rsidRPr="008F69A6">
        <w:t>–</w:t>
      </w:r>
      <w:r w:rsidRPr="008F69A6">
        <w:tab/>
        <w:t xml:space="preserve">so zreteľom na nariadenie Európskeho parlamentu a Rady (EÚ) 2024/1449 zo 14. mája </w:t>
      </w:r>
      <w:r w:rsidRPr="008F69A6">
        <w:t>2024 o zriadení Nástroja na podporu reforiem a rastu pre západný Balkán</w:t>
      </w:r>
      <w:r>
        <w:rPr>
          <w:rStyle w:val="FootnoteReference"/>
        </w:rPr>
        <w:footnoteReference w:customMarkFollows="1" w:id="4"/>
        <w:t xml:space="preserve">3</w:t>
      </w:r>
      <w:r w:rsidRPr="008F69A6">
        <w:t>,</w:t>
      </w:r>
    </w:p>
    <w:p w:rsidR="00B67CFF" w:rsidRPr="008F69A6" w:rsidP="00B67CFF" w14:paraId="760BC5DB" w14:textId="77777777">
      <w:pPr>
        <w:pStyle w:val="NormalHanging"/>
      </w:pPr>
      <w:r w:rsidRPr="008F69A6">
        <w:t>–</w:t>
      </w:r>
      <w:r w:rsidRPr="008F69A6">
        <w:tab/>
        <w:t>so zreteľom na vyhlásenie zo samitu EÚ – západný Balkán, ktorý sa konal 21. júna 2003 v Solúne,</w:t>
      </w:r>
    </w:p>
    <w:p w:rsidR="00B67CFF" w:rsidRPr="008F69A6" w:rsidP="00B67CFF" w14:paraId="3CB26203" w14:textId="77777777">
      <w:pPr>
        <w:pStyle w:val="NormalHanging"/>
      </w:pPr>
      <w:r w:rsidRPr="008F69A6">
        <w:t>–</w:t>
      </w:r>
      <w:r w:rsidRPr="008F69A6">
        <w:tab/>
        <w:t>so zreteľom na vyhlásenie zo Záhrebu prijaté na záhrebskom samite EÚ – západný Balkán, ktorý sa konal 6. mája 2020 a v ktorom sa potvrdili spoločné priority vrátane európskej perspektívy regiónu, posilnenia demokracie, právneho štátu a základných práv a potreby inkluzívnych politických procesov a vzájomného zmierenia,</w:t>
      </w:r>
    </w:p>
    <w:p w:rsidR="00B67CFF" w:rsidRPr="008F69A6" w:rsidP="00B67CFF" w14:paraId="2266E5E2" w14:textId="77777777">
      <w:pPr>
        <w:pStyle w:val="NormalHanging"/>
      </w:pPr>
      <w:r w:rsidRPr="008F69A6">
        <w:t>–</w:t>
      </w:r>
      <w:r w:rsidRPr="008F69A6">
        <w:tab/>
        <w:t>so zreteľom na vyhlásenie prijaté na samite EÚ – západný Balkán 17. decembra 2025 v Bruseli,</w:t>
      </w:r>
    </w:p>
    <w:p w:rsidR="00B67CFF" w:rsidRPr="008F69A6" w:rsidP="00B67CFF" w14:paraId="608DCBF1" w14:textId="77777777">
      <w:pPr>
        <w:pStyle w:val="NormalHanging"/>
      </w:pPr>
      <w:r w:rsidRPr="008F69A6">
        <w:t>–</w:t>
      </w:r>
      <w:r w:rsidRPr="008F69A6">
        <w:tab/>
        <w:t>so zreteľom na závery predsedníctva o rozšírení zo 16. decembra 2025,</w:t>
      </w:r>
    </w:p>
    <w:p w:rsidR="00B67CFF" w:rsidRPr="008F69A6" w:rsidP="00B67CFF" w14:paraId="3AD5C946" w14:textId="77777777">
      <w:pPr>
        <w:pStyle w:val="NormalHanging"/>
      </w:pPr>
      <w:r w:rsidRPr="008F69A6">
        <w:t>–</w:t>
      </w:r>
      <w:r w:rsidRPr="008F69A6">
        <w:tab/>
        <w:t>so zreteľom na berlínsky proces, ktorý sa začal 28. augusta 2014,</w:t>
      </w:r>
    </w:p>
    <w:p w:rsidR="00B67CFF" w:rsidRPr="008F69A6" w:rsidP="00B67CFF" w14:paraId="36974B69" w14:textId="2603C3A0">
      <w:pPr>
        <w:pStyle w:val="NormalHanging"/>
      </w:pPr>
      <w:r w:rsidRPr="008F69A6">
        <w:t>–</w:t>
      </w:r>
      <w:r w:rsidRPr="008F69A6">
        <w:tab/>
        <w:t>so zreteľom na oznámenie Komisie zo 6. októbra 2020 s názvom Hospodársky a investičný plán pre západný Balkán (</w:t>
      </w:r>
      <w:r w:rsidRPr="008F69A6" w:rsidR="007B5B7B">
        <w:t>COM(2020)0641</w:t>
      </w:r>
      <w:r w:rsidRPr="008F69A6">
        <w:t>),</w:t>
      </w:r>
    </w:p>
    <w:p w:rsidR="00B67CFF" w:rsidRPr="008F69A6" w:rsidP="00B67CFF" w14:paraId="6534D1D6" w14:textId="79748832">
      <w:pPr>
        <w:pStyle w:val="NormalHanging"/>
      </w:pPr>
      <w:r w:rsidRPr="008F69A6">
        <w:t>–</w:t>
      </w:r>
      <w:r w:rsidRPr="008F69A6">
        <w:tab/>
        <w:t>so zreteľom na oznámenie Komisie z 8. novembra 2023 s názvom Nový plán rastu pre západný Balkán (</w:t>
      </w:r>
      <w:r w:rsidRPr="008F69A6" w:rsidR="007B5B7B">
        <w:t>COM(2023)0691</w:t>
      </w:r>
      <w:r w:rsidRPr="008F69A6">
        <w:t>),</w:t>
      </w:r>
    </w:p>
    <w:p w:rsidR="00B67CFF" w:rsidRPr="008F69A6" w:rsidP="00B67CFF" w14:paraId="3662DEA7" w14:textId="0699D36A">
      <w:pPr>
        <w:pStyle w:val="NormalHanging"/>
      </w:pPr>
      <w:r w:rsidRPr="008F69A6">
        <w:t>–</w:t>
      </w:r>
      <w:r w:rsidRPr="008F69A6">
        <w:tab/>
        <w:t>so zreteľom na oznámenie Komisie z 20. marca 2024 o reformách pred rozšírením a o preskúmaní politík (</w:t>
      </w:r>
      <w:r w:rsidRPr="008F69A6" w:rsidR="007B5B7B">
        <w:t>COM(2024)0146</w:t>
      </w:r>
      <w:r w:rsidRPr="008F69A6">
        <w:t>),</w:t>
      </w:r>
    </w:p>
    <w:p w:rsidR="00B67CFF" w:rsidRPr="008F69A6" w:rsidP="00B67CFF" w14:paraId="0A047354" w14:textId="5E4EEC15">
      <w:pPr>
        <w:pStyle w:val="NormalHanging"/>
      </w:pPr>
      <w:r w:rsidRPr="008F69A6">
        <w:t>–</w:t>
      </w:r>
      <w:r w:rsidRPr="008F69A6">
        <w:tab/>
        <w:t>so zreteľom na oznámenie Komisie zo 4. novembra 2025 s názvom Oznámenie o politike rozširovania EÚ za rok 2025 (</w:t>
      </w:r>
      <w:r w:rsidRPr="008F69A6" w:rsidR="007B5B7B">
        <w:t>COM(2025)0690</w:t>
      </w:r>
      <w:r w:rsidRPr="008F69A6">
        <w:t>) a na sprievodný pracovný dokument útvarov Komisie s názvom Správa o Bosne a Hercegovine za rok 2025 (</w:t>
      </w:r>
      <w:r w:rsidRPr="008F69A6" w:rsidR="007B5B7B">
        <w:t>SWD(2025)0751</w:t>
      </w:r>
      <w:r w:rsidRPr="008F69A6">
        <w:t>),</w:t>
      </w:r>
    </w:p>
    <w:p w:rsidR="00B67CFF" w:rsidRPr="008F69A6" w:rsidP="00B67CFF" w14:paraId="67C91C01" w14:textId="77777777">
      <w:pPr>
        <w:pStyle w:val="NormalHanging"/>
      </w:pPr>
      <w:r w:rsidRPr="008F69A6">
        <w:t>–</w:t>
      </w:r>
      <w:r w:rsidRPr="008F69A6">
        <w:tab/>
        <w:t>so zreteľom na prehľad a hodnotenie krajiny uskutočnené Komisiou 2. júna 2025 so zameraním na program hospodárskych reforiem Bosny a Hercegoviny a na spoločné závery dialógu o hospodárskych a finančných otázkach s regionálnymi partnermi, ktorý sa uskutočnil 13. mája 2025,</w:t>
      </w:r>
    </w:p>
    <w:p w:rsidR="00B67CFF" w:rsidRPr="008F69A6" w:rsidP="00B67CFF" w14:paraId="29443EF0" w14:textId="77777777">
      <w:pPr>
        <w:pStyle w:val="NormalHanging"/>
      </w:pPr>
      <w:r w:rsidRPr="008F69A6">
        <w:t>–</w:t>
      </w:r>
      <w:r w:rsidRPr="008F69A6">
        <w:tab/>
        <w:t>so zreteľom na piate zasadnutie Rady pre stabilizáciu a pridruženie EÚ – Bosna a Hercegovina, ktoré sa konalo 19. júla 2023, a na ôsme zasadnutie Výboru pre stabilizáciu a pridruženie EÚ – Bosna a Hercegovina, ktoré sa konalo 11. septembra 2025,</w:t>
      </w:r>
    </w:p>
    <w:p w:rsidR="00B67CFF" w:rsidRPr="008F69A6" w:rsidP="00B67CFF" w14:paraId="3A2F383B" w14:textId="77777777">
      <w:pPr>
        <w:pStyle w:val="NormalHanging"/>
      </w:pPr>
      <w:r w:rsidRPr="008F69A6">
        <w:t>–</w:t>
      </w:r>
      <w:r w:rsidRPr="008F69A6">
        <w:tab/>
        <w:t>so zreteľom na výsledky siedmej a ôsmej schôdze Parlamentného výboru pre stabilizáciu a pridruženie EÚ – Bosna a Hercegovina, ktoré sa konali 17. a 18. septembra 2025 a</w:t>
      </w:r>
      <w:r w:rsidRPr="008F69A6">
        <w:rPr>
          <w:b/>
          <w:i/>
        </w:rPr>
        <w:t xml:space="preserve"> </w:t>
      </w:r>
      <w:r w:rsidRPr="008F69A6">
        <w:t>11. a 12. marca 2026,</w:t>
      </w:r>
    </w:p>
    <w:p w:rsidR="00B67CFF" w:rsidRPr="008F69A6" w:rsidP="00B67CFF" w14:paraId="408D0E5E" w14:textId="77777777">
      <w:pPr>
        <w:pStyle w:val="NormalHanging"/>
      </w:pPr>
      <w:r w:rsidRPr="008F69A6">
        <w:t>–</w:t>
      </w:r>
      <w:r w:rsidRPr="008F69A6">
        <w:tab/>
        <w:t>so zreteľom na správu expertov z 5. decembra 2019 o otázkach právneho štátu v Bosne a Hercegovine,</w:t>
      </w:r>
    </w:p>
    <w:p w:rsidR="00B67CFF" w:rsidRPr="008F69A6" w:rsidP="00B67CFF" w14:paraId="7E6D0B4E" w14:textId="77777777">
      <w:pPr>
        <w:pStyle w:val="NormalHanging"/>
      </w:pPr>
      <w:r w:rsidRPr="008F69A6">
        <w:t>–</w:t>
      </w:r>
      <w:r w:rsidRPr="008F69A6">
        <w:tab/>
        <w:t xml:space="preserve">so zreteľom na 67. a 68. správu vysokého predstaviteľa pre vykonávanie mierovej dohody týkajúcej sa Bosny a Hercegoviny generálnemu tajomníkovi OSN zo 6. mája </w:t>
      </w:r>
      <w:r w:rsidRPr="008F69A6">
        <w:t>2025 a 31. októbra 2025,</w:t>
      </w:r>
    </w:p>
    <w:p w:rsidR="00B67CFF" w:rsidRPr="008F69A6" w:rsidP="00B67CFF" w14:paraId="3857A367" w14:textId="77777777">
      <w:pPr>
        <w:pStyle w:val="NormalHanging"/>
      </w:pPr>
      <w:r w:rsidRPr="008F69A6">
        <w:t>–</w:t>
      </w:r>
      <w:r w:rsidRPr="008F69A6">
        <w:tab/>
        <w:t>so zreteľom na rezolúciu Bezpečnostnej rady OSN č. 2795 (2025) z 31. októbra 2025, ktorou sa predlžuje mandát ozbrojených síl pod vedením Európskej únie v Bosne a Hercegovine (EUFOR) do 31. októbra 2026,</w:t>
      </w:r>
    </w:p>
    <w:p w:rsidR="00B67CFF" w:rsidRPr="008F69A6" w:rsidP="00B67CFF" w14:paraId="152467D5" w14:textId="77777777">
      <w:pPr>
        <w:pStyle w:val="NormalHanging"/>
      </w:pPr>
      <w:r w:rsidRPr="008F69A6">
        <w:t>–</w:t>
      </w:r>
      <w:r w:rsidRPr="008F69A6">
        <w:tab/>
        <w:t xml:space="preserve">so zreteľom na rezolúciu Valného zhromaždenia OSN č. 78/282 z 23. mája 2024, v ktorej bol 11. júl vyhlásený za Medzinárodný deň reflexie a spomienky na genocídu v </w:t>
      </w:r>
      <w:r w:rsidRPr="008F69A6">
        <w:t>Srebrenici</w:t>
      </w:r>
      <w:r w:rsidRPr="008F69A6">
        <w:t xml:space="preserve"> v roku 1995,</w:t>
      </w:r>
    </w:p>
    <w:p w:rsidR="00B67CFF" w:rsidRPr="008F69A6" w:rsidP="00B67CFF" w14:paraId="30B01FCF" w14:textId="77777777">
      <w:pPr>
        <w:pStyle w:val="NormalHanging"/>
      </w:pPr>
      <w:r w:rsidRPr="008F69A6">
        <w:t>–</w:t>
      </w:r>
      <w:r w:rsidRPr="008F69A6">
        <w:tab/>
        <w:t>so zreteľom na ústavu Bosny a Hercegoviny,</w:t>
      </w:r>
    </w:p>
    <w:p w:rsidR="00B67CFF" w:rsidRPr="008F69A6" w:rsidP="00B67CFF" w14:paraId="6FC12256" w14:textId="77777777">
      <w:pPr>
        <w:pStyle w:val="NormalHanging"/>
      </w:pPr>
      <w:r w:rsidRPr="008F69A6">
        <w:t>–</w:t>
      </w:r>
      <w:r w:rsidRPr="008F69A6">
        <w:tab/>
        <w:t>so zreteľom na články 21 a 22 Charty základných práv Európskej únie,</w:t>
      </w:r>
    </w:p>
    <w:p w:rsidR="00B67CFF" w:rsidRPr="008F69A6" w:rsidP="00B67CFF" w14:paraId="5F4F2AC9" w14:textId="77777777">
      <w:pPr>
        <w:pStyle w:val="NormalHanging"/>
      </w:pPr>
      <w:r w:rsidRPr="008F69A6">
        <w:t>–</w:t>
      </w:r>
      <w:r w:rsidRPr="008F69A6">
        <w:tab/>
        <w:t>so zreteľom na rezolúcie UNESCO o práve na vzdelanie v materinskom jazyku,</w:t>
      </w:r>
    </w:p>
    <w:p w:rsidR="00B67CFF" w:rsidRPr="008F69A6" w:rsidP="00B67CFF" w14:paraId="7B29506F" w14:textId="77777777">
      <w:pPr>
        <w:pStyle w:val="NormalHanging"/>
      </w:pPr>
      <w:r w:rsidRPr="008F69A6">
        <w:t>–</w:t>
      </w:r>
      <w:r w:rsidRPr="008F69A6">
        <w:tab/>
        <w:t>so zreteľom na jeho odporúčanie zo 17. januára 2024 Rade, Komisii a podpredsedovi Komisie/vysokému predstaviteľovi Únie pre zahraničné veci a bezpečnostnú politiku o úlohe preventívnej diplomacie pri riešení zamrznutých konfliktov vo svete – premárnená príležitosť alebo zmena pre budúcnosť?,</w:t>
      </w:r>
    </w:p>
    <w:p w:rsidR="00B67CFF" w:rsidRPr="008F69A6" w:rsidP="00B67CFF" w14:paraId="7AFFB658" w14:textId="77777777">
      <w:pPr>
        <w:pStyle w:val="NormalHanging"/>
      </w:pPr>
      <w:r w:rsidRPr="008F69A6">
        <w:t>–</w:t>
      </w:r>
      <w:r w:rsidRPr="008F69A6">
        <w:tab/>
        <w:t>so zreteľom na svoje uznesenie z 11. marca 2026 o stratégii rozširovania EÚ</w:t>
      </w:r>
      <w:r>
        <w:rPr>
          <w:rStyle w:val="FootnoteReference"/>
        </w:rPr>
        <w:footnoteReference w:customMarkFollows="1" w:id="5"/>
        <w:t xml:space="preserve">4</w:t>
      </w:r>
      <w:r w:rsidRPr="008F69A6">
        <w:t>,</w:t>
      </w:r>
    </w:p>
    <w:p w:rsidR="00B67CFF" w:rsidRPr="008F69A6" w:rsidP="00B67CFF" w14:paraId="3F035045" w14:textId="77777777">
      <w:pPr>
        <w:pStyle w:val="NormalHanging"/>
      </w:pPr>
      <w:r w:rsidRPr="008F69A6">
        <w:t>–</w:t>
      </w:r>
      <w:r w:rsidRPr="008F69A6">
        <w:tab/>
        <w:t>so zreteľom na svoje predchádzajúce uznesenia o Bosne a Hercegovine,</w:t>
      </w:r>
    </w:p>
    <w:p w:rsidR="00B67CFF" w:rsidRPr="008F69A6" w:rsidP="00B67CFF" w14:paraId="7D2B3C1B" w14:textId="77777777">
      <w:pPr>
        <w:pStyle w:val="NormalHanging"/>
      </w:pPr>
      <w:r w:rsidRPr="008F69A6">
        <w:t>–</w:t>
      </w:r>
      <w:r w:rsidRPr="008F69A6">
        <w:tab/>
        <w:t>so zreteľom na článok 55 rokovacieho poriadku,</w:t>
      </w:r>
    </w:p>
    <w:p w:rsidR="00B67CFF" w:rsidRPr="008F69A6" w:rsidP="00B67CFF" w14:paraId="7EADDE3A" w14:textId="77777777">
      <w:pPr>
        <w:pStyle w:val="NormalHanging"/>
      </w:pPr>
      <w:r w:rsidRPr="008F69A6">
        <w:t>–</w:t>
      </w:r>
      <w:r w:rsidRPr="008F69A6">
        <w:tab/>
        <w:t>so zreteľom na správu Výboru pre zahraničné veci (A10-0165/2026),</w:t>
      </w:r>
    </w:p>
    <w:p w:rsidR="00B67CFF" w:rsidRPr="008F69A6" w:rsidP="00B67CFF" w14:paraId="6F33522D" w14:textId="77777777">
      <w:pPr>
        <w:pStyle w:val="NormalHanging"/>
      </w:pPr>
      <w:r w:rsidRPr="008F69A6">
        <w:t>A.</w:t>
      </w:r>
      <w:r w:rsidRPr="008F69A6">
        <w:tab/>
        <w:t>keďže Bosna a Hercegovina je kandidátska krajina, ktorá sa usiluje o euroatlantickú integráciu v záujme dosiahnutia udržateľného mieru, demokracie a dlhodobej prosperity; keďže podľa nedávnych prieskumov verejnej mienky 70 % občanov Bosny a Hercegoviny podporuje členstvo v EÚ;</w:t>
      </w:r>
    </w:p>
    <w:p w:rsidR="00B67CFF" w:rsidRPr="008F69A6" w:rsidP="00B67CFF" w14:paraId="1EE472F9" w14:textId="77777777">
      <w:pPr>
        <w:pStyle w:val="NormalHanging"/>
      </w:pPr>
      <w:r w:rsidRPr="008F69A6">
        <w:t>B.</w:t>
      </w:r>
      <w:r w:rsidRPr="008F69A6">
        <w:tab/>
        <w:t>keďže ruská útočná vojna proti Ukrajine oslabila bezpečnostnú situáciu v Európe a ešte viac upriamila pozornosť na strategické postavenie partnerov zo západného Balkánu v európskej bezpečnostnej architektúre; keďže Bosna a Hercegovina má úzke vzťahy s NATO;</w:t>
      </w:r>
    </w:p>
    <w:p w:rsidR="00B67CFF" w:rsidRPr="008F69A6" w:rsidP="00B67CFF" w14:paraId="3D1B8037" w14:textId="77777777">
      <w:pPr>
        <w:pStyle w:val="NormalHanging"/>
      </w:pPr>
      <w:r w:rsidRPr="008F69A6">
        <w:t>C.</w:t>
      </w:r>
      <w:r w:rsidRPr="008F69A6">
        <w:tab/>
        <w:t>keďže každá kandidátska krajina je pri plnení stanovených kodanských kritérií posudzovaná podľa vlastných zásluh;</w:t>
      </w:r>
    </w:p>
    <w:p w:rsidR="00B67CFF" w:rsidRPr="008F69A6" w:rsidP="00B67CFF" w14:paraId="63129BF0" w14:textId="77777777">
      <w:pPr>
        <w:pStyle w:val="NormalHanging"/>
      </w:pPr>
      <w:r w:rsidRPr="008F69A6">
        <w:t>D.</w:t>
      </w:r>
      <w:r w:rsidRPr="008F69A6">
        <w:tab/>
        <w:t xml:space="preserve">keďže proces rozširovania je mierovým projektom, ktorý si vyžaduje funkčnú, demokratickú a multietnickú Bosnu a Hercegovinu, v ktorej majú všetci občania rovnaké práva a príležitosti; keďže pokračujúce blokády a </w:t>
      </w:r>
      <w:r w:rsidRPr="008F69A6">
        <w:t>secesionistická</w:t>
      </w:r>
      <w:r w:rsidRPr="008F69A6">
        <w:t xml:space="preserve"> rétorika oslabujú tento cieľ a európsku perspektívu celej krajiny;</w:t>
      </w:r>
    </w:p>
    <w:p w:rsidR="00B67CFF" w:rsidRPr="008F69A6" w:rsidP="00B67CFF" w14:paraId="5BF53DD9" w14:textId="77777777">
      <w:pPr>
        <w:pStyle w:val="NormalHanging"/>
      </w:pPr>
      <w:r w:rsidRPr="008F69A6">
        <w:t>E.</w:t>
      </w:r>
      <w:r w:rsidRPr="008F69A6">
        <w:tab/>
        <w:t>keďže pozitívne účinky rozširovania môžu byť obzvlášť prospešné v tom, že Bosne a Hercegovine pomôžu prekonať dlhodobé vnútorné problémy;</w:t>
      </w:r>
    </w:p>
    <w:p w:rsidR="00B67CFF" w:rsidRPr="008F69A6" w:rsidP="00B67CFF" w14:paraId="6A528ABE" w14:textId="77777777">
      <w:pPr>
        <w:pStyle w:val="NormalHanging"/>
      </w:pPr>
      <w:r w:rsidRPr="008F69A6">
        <w:t>F.</w:t>
      </w:r>
      <w:r w:rsidRPr="008F69A6">
        <w:tab/>
        <w:t>keďže EÚ je aj naďalej hlavným politickým a hospodárskym partnerom pre partnerov zo západného Balkánu; keďže EÚ je stále najväčším obchodným a investičným partnerom Bosny a Hercegoviny;</w:t>
      </w:r>
    </w:p>
    <w:p w:rsidR="00B67CFF" w:rsidRPr="008F69A6" w:rsidP="00B67CFF" w14:paraId="7BA17DDA" w14:textId="77777777">
      <w:pPr>
        <w:pStyle w:val="NormalHanging"/>
      </w:pPr>
      <w:r w:rsidRPr="008F69A6">
        <w:t>G.</w:t>
      </w:r>
      <w:r w:rsidRPr="008F69A6">
        <w:tab/>
        <w:t xml:space="preserve">keďže Bosna a Hercegovina je naďalej pod medzinárodným dohľadom zavedeným podľa </w:t>
      </w:r>
      <w:r w:rsidRPr="008F69A6">
        <w:t>Daytonskej</w:t>
      </w:r>
      <w:r w:rsidRPr="008F69A6">
        <w:t xml:space="preserve"> mierovej dohody, ktorou sa ukončili aktívne nepriateľské akcie a vytvorili základy pre mier v krajine a ktorá je naďalej základom inštitucionálneho usporiadania Bosny a Hercegoviny a mala byť zárukou rovnosti jej troch štátotvorných národov;</w:t>
      </w:r>
    </w:p>
    <w:p w:rsidR="00B67CFF" w:rsidRPr="008F69A6" w:rsidP="00B67CFF" w14:paraId="7D66046F" w14:textId="77777777">
      <w:pPr>
        <w:pStyle w:val="NormalHanging"/>
      </w:pPr>
      <w:r w:rsidRPr="008F69A6">
        <w:t>H.</w:t>
      </w:r>
      <w:r w:rsidRPr="008F69A6">
        <w:tab/>
        <w:t xml:space="preserve">keďže na zabezpečenie a posilnenie mieru dosiahnutého </w:t>
      </w:r>
      <w:r w:rsidRPr="008F69A6">
        <w:t>Daytonskou</w:t>
      </w:r>
      <w:r w:rsidRPr="008F69A6">
        <w:t xml:space="preserve"> mierovou dohodou a na to, aby sa Bosna a Hercegovina mohla stať plnoprávnym a fungujúcim členom EÚ, treba prejsť do ďalšej etapy ústavného usporiadania v období po </w:t>
      </w:r>
      <w:r w:rsidRPr="008F69A6">
        <w:t>Daytonskej</w:t>
      </w:r>
      <w:r w:rsidRPr="008F69A6">
        <w:t xml:space="preserve"> dohode, ktoré posilní jednotu v tejto multietnickej krajine a poskytne jej občanom plné práva a zodpovednosť za rozhodovací proces;</w:t>
      </w:r>
    </w:p>
    <w:p w:rsidR="00B67CFF" w:rsidRPr="008F69A6" w:rsidP="00B67CFF" w14:paraId="4DC51A6C" w14:textId="77777777">
      <w:pPr>
        <w:pStyle w:val="NormalHanging"/>
      </w:pPr>
      <w:r w:rsidRPr="008F69A6">
        <w:t>I.</w:t>
      </w:r>
      <w:r w:rsidRPr="008F69A6">
        <w:tab/>
        <w:t>keďže v Strategickom kompase sa uvádza, že z hľadiska bezpečnosti a stability je mimoriadne dôležité podporovať zvrchovanosť, jednotu a územnú celistvosť Bosny a Hercegoviny;</w:t>
      </w:r>
    </w:p>
    <w:p w:rsidR="00B67CFF" w:rsidRPr="008F69A6" w:rsidP="00B67CFF" w14:paraId="1D938411" w14:textId="77777777">
      <w:pPr>
        <w:pStyle w:val="NormalHanging"/>
      </w:pPr>
      <w:r w:rsidRPr="008F69A6">
        <w:t>J.</w:t>
      </w:r>
      <w:r w:rsidRPr="008F69A6">
        <w:tab/>
        <w:t>keďže Bosna a Hercegovina je multietnický štát, na ktorého území už stáročia spolunažívajú rôzne náboženstvá a národy v prostredí tolerancie a vzájomného rešpektu; keďže jazyková a kultúrna rozmanitosť je jednou zo základných zásad EÚ;</w:t>
      </w:r>
    </w:p>
    <w:p w:rsidR="00B67CFF" w:rsidRPr="008F69A6" w:rsidP="00B67CFF" w14:paraId="3F3E4A0E" w14:textId="77777777">
      <w:pPr>
        <w:pStyle w:val="NormalHanging"/>
      </w:pPr>
      <w:r w:rsidRPr="008F69A6">
        <w:t>K.</w:t>
      </w:r>
      <w:r w:rsidRPr="008F69A6">
        <w:tab/>
        <w:t xml:space="preserve">keďže </w:t>
      </w:r>
      <w:r w:rsidRPr="008F69A6">
        <w:t>Milorad</w:t>
      </w:r>
      <w:r w:rsidRPr="008F69A6">
        <w:t xml:space="preserve"> </w:t>
      </w:r>
      <w:r w:rsidRPr="008F69A6">
        <w:t>Dodik</w:t>
      </w:r>
      <w:r w:rsidRPr="008F69A6">
        <w:t xml:space="preserve"> navštívil Spojené štáty začiatkom februára 2026 a stretol sa s vysokými predstaviteľmi USA; keďže viacero členov administratívy entity Republika srbská bolo vyradených zo sankčného zoznamu USA; keďže entita Republika srbská angažovala zahraničné lobistické spoločnosti a tieto zmluvné dojednania boli označené za snahu zabezpečiť medzinárodnú podporu </w:t>
      </w:r>
      <w:r w:rsidRPr="008F69A6">
        <w:t>secesionistických</w:t>
      </w:r>
      <w:r w:rsidRPr="008F69A6">
        <w:t xml:space="preserve"> cieľov týkajúcich sa postavenia entity Republiky srbskej v rámci Bosny a Hercegoviny;</w:t>
      </w:r>
    </w:p>
    <w:p w:rsidR="00B67CFF" w:rsidRPr="008F69A6" w:rsidP="00B67CFF" w14:paraId="53ABD8AC" w14:textId="77777777">
      <w:pPr>
        <w:pStyle w:val="Normal12a"/>
      </w:pPr>
      <w:r w:rsidRPr="008F69A6">
        <w:rPr>
          <w:b/>
          <w:i/>
        </w:rPr>
        <w:t>Záväzok v súvislosti s pristúpením k EÚ</w:t>
      </w:r>
    </w:p>
    <w:p w:rsidR="00B67CFF" w:rsidRPr="008F69A6" w:rsidP="00B67CFF" w14:paraId="02A4134F" w14:textId="77777777">
      <w:pPr>
        <w:pStyle w:val="NormalHanging12a"/>
      </w:pPr>
      <w:r w:rsidRPr="008F69A6">
        <w:t>1.</w:t>
      </w:r>
      <w:r w:rsidRPr="008F69A6">
        <w:tab/>
        <w:t>opätovne dôrazne potvrdzuje svoju podporu pristúpeniu Bosny a Hercegoviny k EÚ na základe jednoty, zvrchovanosti a územnej celistvosti; pripomína, že pokrok je založený na dosiahnutých výsledkoch, čo si vyžaduje zavádzanie trvalých a dôveryhodných reforiem na splnenie kodanských kritérií, ochranu demokratických inštitúcií, garanciu demokracie, dodržiavanie zásad právneho štátu, boj proti korupcii a organizovanej trestnej činnosti a zabezpečenie dodržiavania základných práv a nediskriminácie pre všetkých občanov bez ohľadu na etnickú, náboženskú alebo inú príslušnosť;</w:t>
      </w:r>
    </w:p>
    <w:p w:rsidR="00B67CFF" w:rsidRPr="008F69A6" w:rsidP="00B67CFF" w14:paraId="6B85627D" w14:textId="77777777">
      <w:pPr>
        <w:pStyle w:val="NormalHanging12a"/>
      </w:pPr>
      <w:r w:rsidRPr="008F69A6">
        <w:t>2.</w:t>
      </w:r>
      <w:r w:rsidRPr="008F69A6">
        <w:tab/>
        <w:t>opätovne potvrdzuje význam Bosny a Hercegoviny na západnom Balkáne; vyzýva Komisiu, aby mobilizovala potrebné diplomatické, politické a kultúrne nástroje na posilnenie strategických partnerstiev Bosny a Hercegoviny s EÚ a na podporu regionálnej integrácie s plným rešpektovaním zvrchovanosti a medzinárodnej spolupráce;</w:t>
      </w:r>
    </w:p>
    <w:p w:rsidR="00B67CFF" w:rsidRPr="008F69A6" w:rsidP="00B67CFF" w14:paraId="7720365E" w14:textId="77777777">
      <w:pPr>
        <w:pStyle w:val="NormalHanging12a"/>
      </w:pPr>
      <w:r w:rsidRPr="008F69A6">
        <w:t>3.</w:t>
      </w:r>
      <w:r w:rsidRPr="008F69A6">
        <w:tab/>
        <w:t>zdôrazňuje, že EÚ musí zostať náročná a zároveň spravodlivá pri posudzovaní pokroku krajiny v plnení prístupových kritérií;</w:t>
      </w:r>
    </w:p>
    <w:p w:rsidR="00B67CFF" w:rsidRPr="008F69A6" w:rsidP="00B67CFF" w14:paraId="29D2A6B7" w14:textId="77777777">
      <w:pPr>
        <w:pStyle w:val="NormalHanging12a"/>
      </w:pPr>
      <w:r w:rsidRPr="008F69A6">
        <w:t>4.</w:t>
      </w:r>
      <w:r w:rsidRPr="008F69A6">
        <w:tab/>
        <w:t xml:space="preserve">podporuje postupnú integráciu Bosny a Hercegoviny do vybraných politík a programov EÚ pred plným členstvom na základe pokroku v reformách; je presvedčený, že takáto </w:t>
      </w:r>
      <w:r w:rsidRPr="008F69A6">
        <w:t>postupná integrácia prináša občanom Bosny a Hercegoviny hmatateľné výhody, posilňuje ich dôveru v prístupový proces EÚ a vytvára nezvratný impulz na ceste k plnému členstvu;</w:t>
      </w:r>
    </w:p>
    <w:p w:rsidR="00B67CFF" w:rsidRPr="008F69A6" w:rsidP="00B67CFF" w14:paraId="115289FC" w14:textId="77777777">
      <w:pPr>
        <w:pStyle w:val="NormalHanging12a"/>
      </w:pPr>
      <w:r w:rsidRPr="008F69A6">
        <w:t>5.</w:t>
      </w:r>
      <w:r w:rsidRPr="008F69A6">
        <w:tab/>
        <w:t xml:space="preserve">naliehavo vyzýva politických lídrov Bosny a Hercegoviny, aby obnovili a opätovne potvrdili svoj záväzok k strategickému cieľu pristúpenia k EÚ a uskutočnili </w:t>
      </w:r>
      <w:r w:rsidRPr="008F69A6">
        <w:t>dlhoočakávané</w:t>
      </w:r>
      <w:r w:rsidRPr="008F69A6">
        <w:t xml:space="preserve"> potrebné reformy a kroky stanovené Komisiou dôveryhodne, vecne a včas bez ďalšieho odkladu či politických prekážok, pričom zabezpečia, aby prístupové úsilie prispievalo k politickej súdržnosti a neprehlbovalo vnútorné rozdiely tak, aby sa mohli začať prístupové rokovania po dôveryhodnom splnení nevyhnutných predpokladov;</w:t>
      </w:r>
    </w:p>
    <w:p w:rsidR="00B67CFF" w:rsidRPr="008F69A6" w:rsidP="00B67CFF" w14:paraId="2684314F" w14:textId="77777777">
      <w:pPr>
        <w:pStyle w:val="NormalHanging12a"/>
      </w:pPr>
      <w:r w:rsidRPr="008F69A6">
        <w:t>6.</w:t>
      </w:r>
      <w:r w:rsidRPr="008F69A6">
        <w:tab/>
        <w:t>vyzýva na ukončenie obštrukcií, politicky motivovaného využívania práva veta zo strany entity Republiky srbskej, kontraproduktívnej rétoriky a rozvratnej taktiky, ktoré bránia pokroku a odvádzajú pozornosť od reforiem súvisiacich s EÚ; vyzýva všetkých vedúcich predstaviteľov, aby konali konštruktívne, naplnili očakávania občanov a prekonali súčasnú patovú situáciu; zdôrazňuje však, že pokrok Bosny a Hercegoviny na prístupovej ceste v konečnom dôsledku závisí od politickej vôle a zodpovednosti orgánov na všetkých úrovniach riadenia; pripomína, že politickí činitelia Bosny a Hercegoviny už preukázali schopnosť dosiahnuť konsenzus a uskutočniť kľúčové reformy;</w:t>
      </w:r>
    </w:p>
    <w:p w:rsidR="00B67CFF" w:rsidRPr="008F69A6" w:rsidP="00B67CFF" w14:paraId="38647659" w14:textId="77777777">
      <w:pPr>
        <w:pStyle w:val="NormalHanging12a"/>
      </w:pPr>
      <w:r w:rsidRPr="008F69A6">
        <w:t>7.</w:t>
      </w:r>
      <w:r w:rsidRPr="008F69A6">
        <w:tab/>
        <w:t>zdôrazňuje kľúčovú úlohu Parlamentného zhromaždenia Bosny a Hercegoviny v prístupovom procese; nabáda ho, aby uprednostnilo reformy súvisiace s EÚ a zapojilo sa do konštruktívneho dialógu s cieľom zabezpečiť účinný a nerušený legislatívny proces; je hlboko otrasený a znepokojený politicky motivovanými obštrukciami a opakovanými blokovaniami, ktoré výrazne bránia fungovaniu zákonodarnému orgánu na celoštátnej úrovni a spomaľujú prijatie právnych predpisov požadovaných EÚ; požaduje prijatie zákona o Vysokej rade pre sudcov a prokurátorov Bosny a Hercegoviny a zákona o súdoch s náležitým ohľadom na odporúčania Benátskej komisie a po zmysluplnom a inkluzívnom procese verejných konzultácií a v súlade s európskymi normami;</w:t>
      </w:r>
    </w:p>
    <w:p w:rsidR="00B67CFF" w:rsidRPr="008F69A6" w:rsidP="00B67CFF" w14:paraId="011CF539" w14:textId="77777777">
      <w:pPr>
        <w:pStyle w:val="NormalHanging12a"/>
      </w:pPr>
      <w:r w:rsidRPr="008F69A6">
        <w:t>8.</w:t>
      </w:r>
      <w:r w:rsidRPr="008F69A6">
        <w:tab/>
        <w:t xml:space="preserve">zdôrazňuje, že v kandidátskych krajinách so zložitým ústavným usporiadaním, ako je Bosna a Hercegovina, sa kľúčové reformy ovplyvňujúce fungovanie, nezávislosť a kompetencie inštitúcií na štátnej úrovni nesmú urýchliť ani politicky </w:t>
      </w:r>
      <w:r w:rsidRPr="008F69A6">
        <w:t>inštrumentalizovať</w:t>
      </w:r>
      <w:r w:rsidRPr="008F69A6">
        <w:t>; zdôrazňuje, že zrýchlené postupy alebo tlak na dodržiavanie politických harmonogramov nesmú ohrozovať právnu kvalitu, inštitucionálnu integritu ani ústavné rozdelenie právomocí; zdôrazňuje, že reformy, ktoré znižujú účinnosť centrálnych inštitúcií, nemožno považovať za pokrok na ceste k členstvu v EÚ;</w:t>
      </w:r>
    </w:p>
    <w:p w:rsidR="00B67CFF" w:rsidRPr="008F69A6" w:rsidP="00B67CFF" w14:paraId="4EF84AB9" w14:textId="77777777">
      <w:pPr>
        <w:pStyle w:val="NormalHanging12a"/>
      </w:pPr>
      <w:r w:rsidRPr="008F69A6">
        <w:t>9.</w:t>
      </w:r>
      <w:r w:rsidRPr="008F69A6">
        <w:tab/>
        <w:t xml:space="preserve">vyzýva Radu ministrov Bosny a Hercegoviny, aby urýchlene vymenovala hlavného vyjednávača pre prístupové rokovania Bosny a Hercegoviny s EÚ v súlade s nedávnymi rozhodnutiami Ústavného súdu Bosny a Hercegoviny a pri plnom rešpektovaní ústavných právomocí a právneho poriadku Bosny a Hercegoviny; nabáda orgány Bosny a Hercegoviny, aby na všetkých úrovniach koordinovali opatrenia zamerané harmonizované zosúlaďovanie s </w:t>
      </w:r>
      <w:r w:rsidRPr="008F69A6">
        <w:rPr>
          <w:i/>
        </w:rPr>
        <w:t>acquis</w:t>
      </w:r>
      <w:r w:rsidRPr="008F69A6">
        <w:t xml:space="preserve"> EÚ;</w:t>
      </w:r>
    </w:p>
    <w:p w:rsidR="00B67CFF" w:rsidRPr="008F69A6" w:rsidP="00B67CFF" w14:paraId="26576BD5" w14:textId="77777777">
      <w:pPr>
        <w:pStyle w:val="NormalHanging12a"/>
      </w:pPr>
      <w:r w:rsidRPr="008F69A6">
        <w:t>10.</w:t>
      </w:r>
      <w:r w:rsidRPr="008F69A6">
        <w:tab/>
        <w:t xml:space="preserve">vyzýva Bosnu a Hercegovinu, aby pred vytvorením vnútroštátneho rámca pre prístupové rokovania s EÚ revidovala rozhodnutie o systéme koordinácie európskeho integračného procesu s cieľom zabezpečiť funkčnejší, účinnejší, transparentnejší a </w:t>
      </w:r>
      <w:r w:rsidRPr="008F69A6">
        <w:t xml:space="preserve">zodpovednejší systém, a to zosúladením hlasovacích práv s ústavnými kompetenciami, zavedením mechanizmov zodpovednosti a jasných kritérií pre vymenúvanie a prijatím Národného programu pre prijatie </w:t>
      </w:r>
      <w:r w:rsidRPr="008F69A6">
        <w:rPr>
          <w:i/>
        </w:rPr>
        <w:t>acquis</w:t>
      </w:r>
      <w:r w:rsidRPr="008F69A6">
        <w:t xml:space="preserve"> alebo rovnocenného integračného programu ako plánu pre prístupový proces;</w:t>
      </w:r>
    </w:p>
    <w:p w:rsidR="00B67CFF" w:rsidRPr="008F69A6" w:rsidP="00B67CFF" w14:paraId="02D09A68" w14:textId="77777777">
      <w:pPr>
        <w:pStyle w:val="NormalHanging12a"/>
      </w:pPr>
      <w:r w:rsidRPr="008F69A6">
        <w:t>11.</w:t>
      </w:r>
      <w:r w:rsidRPr="008F69A6">
        <w:tab/>
        <w:t>ďalej vyzýva orgány Bosny a Hercegoviny, aby zabezpečili, že vytvorenie domáceho rámca pre prístupové rokovania s EÚ bude prebiehať transparentne a inkluzívne, so zmysluplnými mechanizmami pre dialóg s občianskou spoločnosťou a sociálnymi partnermi;</w:t>
      </w:r>
    </w:p>
    <w:p w:rsidR="00B67CFF" w:rsidRPr="008F69A6" w:rsidP="00B67CFF" w14:paraId="17C03AF6" w14:textId="77777777">
      <w:pPr>
        <w:pStyle w:val="NormalHanging12a"/>
      </w:pPr>
      <w:r w:rsidRPr="008F69A6">
        <w:t>12.</w:t>
      </w:r>
      <w:r w:rsidRPr="008F69A6">
        <w:tab/>
        <w:t>vyjadruje poľutovanie nad pretrvávajúcimi politickými rozpormi, nenávistnými prejavmi vrátane podnecovania k etnickej, náboženskej a rasovej neznášanlivosti, popierania genocídy a iných vojnových zločinov, oslavovania vojnových zločincov, separatistického úsilia vedenia entity Republiky srbskej a ovládnutia štátu, čo desaťročia po vojne narúša dôveru verejnosti a paralyzuje krajinu;</w:t>
      </w:r>
    </w:p>
    <w:p w:rsidR="00B67CFF" w:rsidRPr="008F69A6" w:rsidP="00B67CFF" w14:paraId="44A2A52B" w14:textId="77777777">
      <w:pPr>
        <w:pStyle w:val="NormalHanging12a"/>
      </w:pPr>
      <w:r w:rsidRPr="008F69A6">
        <w:t>13.</w:t>
      </w:r>
      <w:r w:rsidRPr="008F69A6">
        <w:tab/>
        <w:t xml:space="preserve">berie na vedomie rozhodnutia zhromaždenia entity Republiky srbskej zrušiť zákony, ktoré ústavný súd Bosny a Hercegoviny označil za protiústavné; odsudzuje pretrvávajúcu štvavú a hanlivú rétoriku a separatistické politiky formálneho a </w:t>
      </w:r>
      <w:r w:rsidRPr="008F69A6">
        <w:rPr>
          <w:i/>
        </w:rPr>
        <w:t xml:space="preserve">de </w:t>
      </w:r>
      <w:r w:rsidRPr="008F69A6">
        <w:rPr>
          <w:i/>
        </w:rPr>
        <w:t>facto</w:t>
      </w:r>
      <w:r w:rsidRPr="008F69A6">
        <w:t xml:space="preserve"> vedenia entity Republiky srbskej, nepriateľské správanie verejných činiteľov k vysokopostaveným verejným funkcionárom, organizáciám občianskej spoločnosti, politickej opozícii a iným kritickým hlasom v spoločnosti, ako aj oslavu tzv. Dňa Republiky srbskej, ktoré oslabujú Bosnu a Hercegovinu, ohrozujú jej cestu pristúpenia a sú priamym porušením </w:t>
      </w:r>
      <w:r w:rsidRPr="008F69A6">
        <w:t>Daytonskej</w:t>
      </w:r>
      <w:r w:rsidRPr="008F69A6">
        <w:t xml:space="preserve"> mierovej dohody;</w:t>
      </w:r>
    </w:p>
    <w:p w:rsidR="00B67CFF" w:rsidRPr="008F69A6" w:rsidP="00B67CFF" w14:paraId="2EA73D23" w14:textId="77777777">
      <w:pPr>
        <w:pStyle w:val="NormalHanging12a"/>
      </w:pPr>
      <w:r w:rsidRPr="008F69A6">
        <w:t>14.</w:t>
      </w:r>
      <w:r w:rsidRPr="008F69A6">
        <w:tab/>
        <w:t>odsudzuje pretrvávajúce kontakty orgánov entity Republiky srbskej s ruskými oficiálnymi subjektmi a subjektmi, na ktoré sa vzťahujú sankcie, a poukazuje na riziká pre bezpečnosť a stabilitu Bosny a Hercegoviny; nalieha na všetkých politických činiteľov entity Republika srbská, aby sa konštruktívne angažovali v štátnych inštitúciách a uprednostnili reformy potrebné pre európsku cestu Bosny a Hercegoviny; dôrazne odsudzuje akékoľvek lobistické snahy vlády entity Republiky srbskej zamerané na získanie medzinárodnej podpory pre jej odtrhnutie alebo spochybňovanie mandátu vysokého predstaviteľa, keďže takéto kroky sú v priamom rozpore s ústavou Bosny a Hercegoviny a v rozpore so zvrchovanosťou, územnou celistvosťou a európskou cestou krajiny;</w:t>
      </w:r>
    </w:p>
    <w:p w:rsidR="00B67CFF" w:rsidRPr="008F69A6" w:rsidP="00B67CFF" w14:paraId="60E12B60" w14:textId="77777777">
      <w:pPr>
        <w:pStyle w:val="NormalHanging12a"/>
      </w:pPr>
      <w:r w:rsidRPr="008F69A6">
        <w:t>15.</w:t>
      </w:r>
      <w:r w:rsidRPr="008F69A6">
        <w:tab/>
        <w:t>vyzýva Radu a Komisiu, aby zvážili všetky dostupné nástroje vrátane cielených reštriktívnych opatrení v existujúcom sankčnom rámci EÚ pre Bosnu a Hercegovinu a jeho následných aktualizácií voči jednotlivcom zodpovedným za vážne a pretrvávajúce obštrukcie demokratických inštitúcií, reformného procesu, územnej celistvosti a procesu integrácie do EÚ; zdôrazňuje, že tieto opatrenia musia byť primerané, reverzibilné a navrhnuté tak, aby nemali vplyv na obyvateľstvo;</w:t>
      </w:r>
    </w:p>
    <w:p w:rsidR="00B67CFF" w:rsidRPr="008F69A6" w:rsidP="00B67CFF" w14:paraId="3949DC8A" w14:textId="77777777">
      <w:pPr>
        <w:pStyle w:val="NormalHanging12a"/>
      </w:pPr>
      <w:r w:rsidRPr="008F69A6">
        <w:t>16.</w:t>
      </w:r>
      <w:r w:rsidRPr="008F69A6">
        <w:tab/>
        <w:t>nabáda Komisiu, aby zvýšila svoju angažovanosť na mieste s cieľom podporovať dialóg, budovať dôveru a presadzovať regionálnu integráciu;</w:t>
      </w:r>
    </w:p>
    <w:p w:rsidR="00B67CFF" w:rsidRPr="008F69A6" w:rsidP="00B67CFF" w14:paraId="619E6BBA" w14:textId="77777777">
      <w:pPr>
        <w:pStyle w:val="NormalHanging12a"/>
      </w:pPr>
      <w:r w:rsidRPr="008F69A6">
        <w:t>17.</w:t>
      </w:r>
      <w:r w:rsidRPr="008F69A6">
        <w:tab/>
        <w:t>víta, že Bosna a Hercegovina formálne pokračuje v plnom zosúlaďovaní so spoločnou zahraničnou a bezpečnostnou politikou EÚ vrátane sankcií v reakcii na útočnú vojnu Ruska proti Ukrajine a naliehavo vyzýva na účinné vykonávanie a presadzovanie týchto sankcií zo strany všetkých politických činiteľov; víta pretrvávajúcu účasť Bosny a Hercegoviny na operáciách krízového riadenia EÚ;</w:t>
      </w:r>
    </w:p>
    <w:p w:rsidR="00B67CFF" w:rsidRPr="008F69A6" w:rsidP="00B67CFF" w14:paraId="1597B75C" w14:textId="77777777">
      <w:pPr>
        <w:pStyle w:val="NormalHanging12a"/>
      </w:pPr>
      <w:r w:rsidRPr="008F69A6">
        <w:t>18.</w:t>
      </w:r>
      <w:r w:rsidRPr="008F69A6">
        <w:tab/>
        <w:t>víta jednomyseľné prijatie reformného programu Bosny a Hercegoviny na rok 2025 Radou ministrov Bosny a Hercegoviny, ako aj aktívnu účasť Bosny a Hercegoviny v rámci Partnerstva za mier NATO; nabáda inštitúcie krajiny, aby pokračovali v plnení priorít a záväzkov vyplývajúcich z tejto spolupráce s cieľom zlepšiť inštitucionálne kapacity, bezpečnostnú spoluprácu a euroatlantickú integráciu a posilniť obrannú pripravenosť krajiny;</w:t>
      </w:r>
    </w:p>
    <w:p w:rsidR="00B67CFF" w:rsidRPr="008F69A6" w:rsidP="00B67CFF" w14:paraId="7861F067" w14:textId="77777777">
      <w:pPr>
        <w:pStyle w:val="NormalHanging12a"/>
      </w:pPr>
      <w:r w:rsidRPr="008F69A6">
        <w:t>19.</w:t>
      </w:r>
      <w:r w:rsidRPr="008F69A6">
        <w:tab/>
        <w:t xml:space="preserve">opakuje svoju podporu Úradu vysokého predstaviteľa a operácii Európskej únie EUFOR ALTHEA a hoci vyjadruje poľutovanie nad tým, že Bosna a Hercegovina je v tejto oblasti i naďalej odkázaná na tieto inštitúcie, uznáva ich kľúčovú úlohu pri ochrane mieru a stability v Bosne a Hercegovine a v regióne a podporuje ich mandáty, kým sa nezavedú štruktúry zodpovednosti na vnútroštátnej úrovni; vyjadruje poľutovanie nad pretrvávajúcou potrebou obnovovať mandát operácie EUFOR ALTHEA viac ako 30 rokov po podpísaní </w:t>
      </w:r>
      <w:r w:rsidRPr="008F69A6">
        <w:t>Daytonskej</w:t>
      </w:r>
      <w:r w:rsidRPr="008F69A6">
        <w:t xml:space="preserve"> mierovej dohody a nabáda Bosnu a Hercegovinu, aby splnila oneskorený záväzok programu 5+ 2 a pripravila tak pôdu na ukončenie medzinárodného dohľadu; vyzýva všetky oprávnené členské štáty, aby zlepšili svoju účasť na mierových misiách EÚ, ako je operácia EUFOR ALTHEA v Bosne a Hercegovine; zdôrazňuje význam udržiavania primeraného počtu ozbrojených síl a situačného povedomia vrátane monitorovania vývoja politického a bezpečnostného prostredia; zdôrazňuje, že misia je naďalej kľúčovým stabilizačným faktorom v krajine;</w:t>
      </w:r>
    </w:p>
    <w:p w:rsidR="00B67CFF" w:rsidRPr="008F69A6" w:rsidP="00B67CFF" w14:paraId="60509128" w14:textId="77777777">
      <w:pPr>
        <w:pStyle w:val="NormalHanging12a"/>
      </w:pPr>
      <w:r w:rsidRPr="008F69A6">
        <w:t>20.</w:t>
      </w:r>
      <w:r w:rsidRPr="008F69A6">
        <w:tab/>
        <w:t xml:space="preserve">vyjadruje poľutovanie nad odstúpením vysokého predstaviteľa Christiana Schmidta a zdôrazňuje, že akákoľvek budúca zmena Úradu vysokého predstaviteľa by mal byť založený na plnom rešpektovaní ústavného poriadku, zvrchovanosti a územnej celistvosti Bosny a Hercegoviny a zároveň by mal podporovať väčšiu miestnu zodpovednosť a inštitucionálnu zodpovednosť za napredovanie krajiny na jej európskej ceste; zdôrazňuje, že vzhľadom na značný finančný príspevok EÚ by mal byť každý budúci vysoký predstaviteľ vymenovaný z členského štátu EÚ a mal by fungovať na základe jasného plánu postupného zrušenia Úradu vysokého predstaviteľa a prenosu zodpovednosti na osobitného zástupcu EÚ; zdôrazňuje, že žiadne takéto odstúpenie nesmie byť spojené so zrušením právnych predpisov prijatých v reakcii na separatistické kroky alebo protiústavné opatrenia, ktoré presadzuje </w:t>
      </w:r>
      <w:r w:rsidRPr="008F69A6">
        <w:t>Milorad</w:t>
      </w:r>
      <w:r w:rsidRPr="008F69A6">
        <w:t xml:space="preserve"> </w:t>
      </w:r>
      <w:r w:rsidRPr="008F69A6">
        <w:t>Dodik</w:t>
      </w:r>
      <w:r w:rsidRPr="008F69A6">
        <w:t>, ani nesmie byť týmto zrušením podmienené;</w:t>
      </w:r>
    </w:p>
    <w:p w:rsidR="00B67CFF" w:rsidRPr="008F69A6" w:rsidP="00B67CFF" w14:paraId="0DDDA18C" w14:textId="77777777">
      <w:pPr>
        <w:pStyle w:val="NormalHanging12a"/>
      </w:pPr>
      <w:r w:rsidRPr="008F69A6">
        <w:t>21.</w:t>
      </w:r>
      <w:r w:rsidRPr="008F69A6">
        <w:tab/>
        <w:t xml:space="preserve">je naďalej znepokojený škodlivými dezinformáciami a zahraničným zasahovaním aktérov z tretích krajín v Bosne a Hercegovine, ktorých cieľom je vyvolávať nezhody, násilie, </w:t>
      </w:r>
      <w:r w:rsidRPr="008F69A6">
        <w:t>medzietnické</w:t>
      </w:r>
      <w:r w:rsidRPr="008F69A6">
        <w:t xml:space="preserve"> napätie a destabilizovať Bosnu a Hercegovinu a jej cestu k pristúpeniu; je obzvlášť znepokojený neustálymi dezinformačnými operáciami pochádzajúcimi z Ruska a Srbska a zameranými na západný Balkán vo všeobecnosti, ktoré sú živené aj domácimi činiteľmi a v menšej miere aj z Turecka, Iránu a iných krajín Perzského zálivu; vyjadruje obavy aj z rastúceho hospodárskeho a politického vplyvu Číny v regióne, najmä prostredníctvom strategickej infraštruktúry a poskytovania úverov; vyzýva Bosnu a Hercegovinu, aby podnikla rozhodné kroky na boj proti týmto hrozbám a na posilnenie odolnosti spoločnosti, a to aj úsilím o zosúladenie s aktom o digitálnych službách</w:t>
      </w:r>
      <w:r>
        <w:rPr>
          <w:rStyle w:val="FootnoteReference"/>
        </w:rPr>
        <w:footnoteReference w:customMarkFollows="1" w:id="6"/>
        <w:t xml:space="preserve">5</w:t>
      </w:r>
      <w:r w:rsidRPr="008F69A6">
        <w:t xml:space="preserve"> na rozvoj stratégií, kapacít a koordinačných mechanizmov reakcie na riziká súvisiace s voľbami a iné riziká v digitálnom </w:t>
      </w:r>
      <w:r w:rsidRPr="008F69A6">
        <w:t>informačnom priestore v súlade s cieľmi Európskeho štítu na obranu demokracie; vyzýva Bosnu a Hercegovinu, aby ďalej rozvíjala a vykonávala komplexné a inkluzívne iniciatívy v oblasti mediálnej gramotnosti v celom vzdelávacom systéme;</w:t>
      </w:r>
    </w:p>
    <w:p w:rsidR="00B67CFF" w:rsidRPr="008F69A6" w:rsidP="00B67CFF" w14:paraId="0A8B2E90" w14:textId="77777777">
      <w:pPr>
        <w:pStyle w:val="NormalHanging12a"/>
      </w:pPr>
      <w:r w:rsidRPr="008F69A6">
        <w:t>22.</w:t>
      </w:r>
      <w:r w:rsidRPr="008F69A6">
        <w:tab/>
        <w:t>zdôrazňuje význam strategickej komunikácie o výhodách členstva v EÚ; vyzýva Európsku službu pre vonkajšiu činnosť a delegáciu EÚ v Bosne a Hercegovine, aby zintenzívnili úsilie v tejto súvislosti a aby posilnili opatrenia pomoci financované EÚ na podporu demokratickej odolnosti a informačnej integrity; zdôrazňuje kľúčovú úlohu organizácií občianskej spoločnosti pri podpore živých verejných diskusií o integrácii do EÚ, boji proti dezinformáciám a uľahčovaní informovanej verejnej debaty a vyzýva Komisiu a členské štáty EÚ, aby ich zapojili do úsilia o strategickú komunikáciu;</w:t>
      </w:r>
    </w:p>
    <w:p w:rsidR="00B67CFF" w:rsidRPr="008F69A6" w:rsidP="00B67CFF" w14:paraId="1885EE5B" w14:textId="77777777">
      <w:pPr>
        <w:pStyle w:val="NormalHanging12a"/>
      </w:pPr>
      <w:r w:rsidRPr="008F69A6">
        <w:t>23.</w:t>
      </w:r>
      <w:r w:rsidRPr="008F69A6">
        <w:tab/>
        <w:t>pripomína, že bezpečnosť a stabilita na celom západnom Balkáne stále nie sú samozrejmosťou a že existuje riziko potenciálneho účinku presahovania vzhľadom na súčasné zhoršenie európskej bezpečnostnej situácie; zdôrazňuje potrebu aktívne čeliť propagande škodlivých subjektov v regióne, ktorej cieľom je ohrozovať záujmy a hodnoty EÚ;</w:t>
      </w:r>
    </w:p>
    <w:p w:rsidR="00B67CFF" w:rsidRPr="008F69A6" w:rsidP="00B67CFF" w14:paraId="6515DAB2" w14:textId="77777777">
      <w:pPr>
        <w:pStyle w:val="NormalHanging12a"/>
      </w:pPr>
      <w:r w:rsidRPr="008F69A6">
        <w:t>24.</w:t>
      </w:r>
      <w:r w:rsidRPr="008F69A6">
        <w:tab/>
        <w:t>víta angažovanosť Bosny a Hercegoviny v Parlamentnom výbore pre stabilizáciu a pridruženie EÚ – Bosna a Hercegovina, čím sa plní jedna zo 14 kľúčových priorít, ktoré stanovila Komisia;</w:t>
      </w:r>
    </w:p>
    <w:p w:rsidR="00B67CFF" w:rsidRPr="008F69A6" w:rsidP="00B67CFF" w14:paraId="1273BD00" w14:textId="77777777">
      <w:pPr>
        <w:pStyle w:val="NormalHanging12a"/>
      </w:pPr>
      <w:r w:rsidRPr="008F69A6">
        <w:t>25.</w:t>
      </w:r>
      <w:r w:rsidRPr="008F69A6">
        <w:tab/>
        <w:t>vyzýva Európsku komisiu a Radu ministrov Bosny a Hercegoviny, aby v plnej miere dodržiavali rozhodnutie Rady (EÚ) 2015/1900 z 5. októbra 2015</w:t>
      </w:r>
      <w:r>
        <w:rPr>
          <w:rStyle w:val="FootnoteReference"/>
        </w:rPr>
        <w:footnoteReference w:customMarkFollows="1" w:id="7"/>
        <w:t xml:space="preserve">6</w:t>
      </w:r>
      <w:r w:rsidRPr="008F69A6">
        <w:t>, najmä ustanovenia týkajúce sa zloženia a zastúpenia členov Výboru pre stabilizáciu a pridruženie, a aby zabezpečili jeho úplné a účinné vykonávanie v praxi;</w:t>
      </w:r>
    </w:p>
    <w:p w:rsidR="00B67CFF" w:rsidRPr="008F69A6" w:rsidP="00B67CFF" w14:paraId="7D2676C6" w14:textId="77777777">
      <w:pPr>
        <w:pStyle w:val="Normal12a"/>
      </w:pPr>
      <w:r w:rsidRPr="008F69A6">
        <w:rPr>
          <w:b/>
          <w:i/>
        </w:rPr>
        <w:t>Demokracia a právny štát</w:t>
      </w:r>
    </w:p>
    <w:p w:rsidR="00B67CFF" w:rsidRPr="008F69A6" w:rsidP="00B67CFF" w14:paraId="47A77899" w14:textId="77777777">
      <w:pPr>
        <w:pStyle w:val="NormalHanging12a"/>
      </w:pPr>
      <w:r w:rsidRPr="008F69A6">
        <w:t>26.</w:t>
      </w:r>
      <w:r w:rsidRPr="008F69A6">
        <w:tab/>
        <w:t xml:space="preserve">vyjadruje poľutovanie nad tým, že politickí činitelia Bosny a Hercegoviny stále neprijali potrebné ústavné a volebné reformy na zabezpečenie toho, aby všetci občania mohli uplatňovať svoje politické práva na rovnakom základe; opätovne vyzýva Bosnu a Hercegovinu, aby zabezpečila súlad s Európskym dohovorom o ľudských právach a vykonala príslušné rozhodnutia Ústavného súdu Bosny a Hercegoviny a Európskeho súdu pre ľudské práva s cieľom odstrániť všetky nerovnosti a diskrimináciu; vyzýva všetky politické orgány a zástupcov inštitúcií, aby pracovali na zavedení potrebných zmien cez skutočný dialóg a inkluzívny postup a komplexné konzultácie s občanmi, občianskou spoločnosťou, nezávislými expertmi a všetkými príslušnými zainteresovanými stranami v krajine, aby sa umožnila udržateľná transformácia </w:t>
      </w:r>
      <w:r w:rsidRPr="008F69A6">
        <w:t>Daytonskej</w:t>
      </w:r>
      <w:r w:rsidRPr="008F69A6">
        <w:t xml:space="preserve"> mierovej dohody na ústavu, plne v súlade s európskymi normami a zásadami, s cieľom zabezpečiť funkčný, zodpovedný, reprezentatívny a obyvateľstvom rešpektovaný systém správy a riadenia; opakuje, že žiadna volebná reforma nesmie prehĺbiť ani upevniť etnické rozpory;</w:t>
      </w:r>
    </w:p>
    <w:p w:rsidR="00B67CFF" w:rsidRPr="008F69A6" w:rsidP="00B67CFF" w14:paraId="7ECA6A5B" w14:textId="77777777">
      <w:pPr>
        <w:pStyle w:val="NormalHanging12a"/>
      </w:pPr>
      <w:r w:rsidRPr="008F69A6">
        <w:t>27.</w:t>
      </w:r>
      <w:r w:rsidRPr="008F69A6">
        <w:tab/>
        <w:t>naliehavo vyzýva orgány Bosny a Hercegoviny, aby vykonali medzinárodné odporúčania na posilnenie integrity, dôveryhodnosti a transparentnosti volebného procesu, a to aj počas predvolebnej fázy, najmä pokiaľ ide o financovanie strán a kampaní, politickú reklamu a vedenie kampaní, ochranné mechanizmy proti manipulácii s informáciami a dezinformáciám a registráciu strán, opatrenia na zabezpečenie rodovej rovnosti a ustanovenia týkajúce sa moderných volebných technológií, ako je biometrická identifikácia voličov a skenovanie hlasovacích lístkov; vyzýva na udržateľné financovanie ústrednej volebnej komisie;</w:t>
      </w:r>
    </w:p>
    <w:p w:rsidR="00B67CFF" w:rsidRPr="008F69A6" w:rsidP="00B67CFF" w14:paraId="365F3107" w14:textId="77777777">
      <w:pPr>
        <w:pStyle w:val="NormalHanging12a"/>
      </w:pPr>
      <w:r w:rsidRPr="008F69A6">
        <w:t>28.</w:t>
      </w:r>
      <w:r w:rsidRPr="008F69A6">
        <w:tab/>
        <w:t>vyzýva orgány Bosny a Hercegoviny, aby zabezpečili politicky nezávislé menovanie a účinné preverovanie predsedov a podpredsedov volebných komisií s cieľom zabrániť obchádzaniu pravidiel týkajúcich sa nezaujatého vedenia volebných komisií, aby pravidelne kontrolovali zoznamy voličov a nezrovnalosti vo volebnej účasti a aby zabezpečili včasné vyšetrovanie a účinné sankcionovanie volebných podvodov vrátane krádeží totožnosti, falšovania podpisov a nepravdepodobných vzorcov volebnej účasti, ako aj vyvážené mediálne pokrytie a účinný dohľad nad verejnoprávnymi vysielateľmi počas volebných kampaní;</w:t>
      </w:r>
    </w:p>
    <w:p w:rsidR="00B67CFF" w:rsidRPr="008F69A6" w:rsidP="00B67CFF" w14:paraId="7CE898B4" w14:textId="77777777">
      <w:pPr>
        <w:pStyle w:val="NormalHanging12a"/>
      </w:pPr>
      <w:r w:rsidRPr="008F69A6">
        <w:t>29.</w:t>
      </w:r>
      <w:r w:rsidRPr="008F69A6">
        <w:tab/>
        <w:t xml:space="preserve">zdôrazňuje, že hoci je decentralizácia zlučiteľná s členstvom v EÚ, Bosna a Hercegovina musí zosúladiť svoj ústavný rámec s normami EÚ, rozsudkami Európskeho súdu pre ľudské práva a Ústavného súdu Bosny a Hercegoviny a zabezpečiť, aby jej inštitúcie účinne fungovali s cieľom v plnej miere prevziať záväzky vyplývajúce z členstva v EÚ v prospech všetkých občanov, a to aj dosiahnutím väčšej právnej istoty v deľbe právomocí, účinnej schopnosti na úrovni štátu koordinovať, prijímať, vykonávať a presadzovať </w:t>
      </w:r>
      <w:r w:rsidRPr="008F69A6">
        <w:rPr>
          <w:i/>
        </w:rPr>
        <w:t>acquis</w:t>
      </w:r>
      <w:r w:rsidRPr="008F69A6">
        <w:t xml:space="preserve"> EÚ a inštitucionálnych opatrení schopných zabrániť pretrvávajúcim prekážkam a zneužívaniu mechanizmov veta;</w:t>
      </w:r>
    </w:p>
    <w:p w:rsidR="00B67CFF" w:rsidRPr="008F69A6" w:rsidP="00B67CFF" w14:paraId="02373651" w14:textId="77777777">
      <w:pPr>
        <w:pStyle w:val="NormalHanging12a"/>
      </w:pPr>
      <w:r w:rsidRPr="008F69A6">
        <w:t>30.</w:t>
      </w:r>
      <w:r w:rsidRPr="008F69A6">
        <w:tab/>
        <w:t>naliehavo vyzýva všetky orgány, najmä entitu Republiky srbskej, aby rešpektovala a vykonávala rozhodnutia Ústavného súdu Bosny a Hercegoviny a dodržiavala ústavný poriadok a aby bezodkladne pristúpila k vymenovaniu chýbajúcich sudcov z entity Republiky srbskej do Ústavného súdu Bosny a Hercegoviny;</w:t>
      </w:r>
    </w:p>
    <w:p w:rsidR="00B67CFF" w:rsidRPr="008F69A6" w:rsidP="00B67CFF" w14:paraId="1B2B7DE5" w14:textId="77777777">
      <w:pPr>
        <w:pStyle w:val="NormalHanging12a"/>
      </w:pPr>
      <w:r w:rsidRPr="008F69A6">
        <w:t>31.</w:t>
      </w:r>
      <w:r w:rsidRPr="008F69A6">
        <w:tab/>
        <w:t>zdôrazňuje ústrednú úlohu právneho štátu v demokratickej transformácii; požaduje nevyhnutné uskutočnenie reformy súdnictva s cieľom posilniť nezávislosť, profesionalitu, zodpovednosť a efektívnosť súdnictva, a to aj prostredníctvom právneho rámca, ktorý posilní integritu, nezávislosť, finančnú stabilitu a fungovanie a transparentnosť Vysokej rady pre sudcov a prokurátorov, stanoví záruky týkajúce sa menovania, konfliktu záujmov, majetkových priznaní a vyhlásení o záujmoch a obmedzení funkčného obdobia; zdôrazňuje, že všetky menovania sudcov v Bosne a Hercegovine by mali byť založené na dosiahnutých výsledkoch, spôsobilosti a odborných kvalifikáciách;</w:t>
      </w:r>
    </w:p>
    <w:p w:rsidR="00B67CFF" w:rsidRPr="008F69A6" w:rsidP="00B67CFF" w14:paraId="6E898412" w14:textId="77777777">
      <w:pPr>
        <w:pStyle w:val="NormalHanging12a"/>
      </w:pPr>
      <w:r w:rsidRPr="008F69A6">
        <w:t>32.</w:t>
      </w:r>
      <w:r w:rsidRPr="008F69A6">
        <w:tab/>
        <w:t>so znepokojením berie na vedomie obmedzený pokrok dosiahnutý v boji proti rozšírenej korupcii a rastúcim náznakom ovládnutia štátu, čo je štrukturálny problém hlboko zakorenený vo veľmi zložitom systéme riadenia krajiny založenom na etnickej príslušnosti; naliehavo vyzýva politické orgány, aby prijali okamžité a konkrétne opatrenia na úrovni štátu a entity a posilnili spoluprácu medzi protikorupčnými orgánmi, políciou a prokuratúrou, aby bolo možné účinnejšie bojovať proti korupcii a ovládnutiu štátu v záujme obnovenia dôvery verejnosti a zvrátenia odlivu mozgov; vyzýva na nezávislý a transparentný následné dohľad v záujme ochrany súdnictva pred politickým zasahovaním, zastrašovaním alebo selektívnym presadzovaním práva;</w:t>
      </w:r>
    </w:p>
    <w:p w:rsidR="00B67CFF" w:rsidRPr="008F69A6" w:rsidP="00B67CFF" w14:paraId="2C9C9B21" w14:textId="77777777">
      <w:pPr>
        <w:pStyle w:val="NormalHanging12a"/>
      </w:pPr>
      <w:r w:rsidRPr="008F69A6">
        <w:t>33.</w:t>
      </w:r>
      <w:r w:rsidRPr="008F69A6">
        <w:tab/>
        <w:t xml:space="preserve">vyzýva všetky úrovne vlády v Bosne a Hercegovine, aby zosúladili svoje právne a inštitucionálne rámce na ochranu nahlasujúcich osôb s príslušným </w:t>
      </w:r>
      <w:r w:rsidRPr="008F69A6">
        <w:rPr>
          <w:i/>
        </w:rPr>
        <w:t>acquis</w:t>
      </w:r>
      <w:r w:rsidRPr="008F69A6">
        <w:t xml:space="preserve"> EÚ a zabezpečili ich účinné presadzovanie v praxi; ďalej vyzýva orgány na všetkých úrovniach, aby zabezpečili profesionálne, na právach založené a nezastrašujúce zaobchádzanie s oznamovateľmi, a to aj prostredníctvom systematickej odbornej prípravy a zvyšovania povedomia verejných činiteľov, ktorí prijímajú a spracúvajú oznámenia, aby sa zabránilo praktikám, ktoré narúšajú dôveru v mechanizmy oznamovania, vrátane spochybňovania motívov oznamovateľov; naliehavo vyzýva orgány Bosny a Hercegoviny na všetkých úrovniach, aby zlepšili a v plnej miere presadzovali pravidlá týkajúce sa konfliktu záujmov;</w:t>
      </w:r>
    </w:p>
    <w:p w:rsidR="00B67CFF" w:rsidRPr="008F69A6" w:rsidP="00B67CFF" w14:paraId="0EF80CBE" w14:textId="77777777">
      <w:pPr>
        <w:pStyle w:val="NormalHanging12a"/>
      </w:pPr>
      <w:r w:rsidRPr="008F69A6">
        <w:t>34.</w:t>
      </w:r>
      <w:r w:rsidRPr="008F69A6">
        <w:tab/>
        <w:t xml:space="preserve">vyzýva Bosnu a Hercegovinu, aby riešila systémové nedostatky v boji proti organizovanej trestnej činnosti zlepšením operačnej spolupráce medzi orgánmi presadzovania práva na úrovni štátu a entít, posilnením ich vyšetrovacích kapacít, vyšetrovaní, zaistenia a konfiškácie majetku a riešením politického ovládnutia štátu; víta operácie na presadzovanie práva podporované </w:t>
      </w:r>
      <w:r w:rsidRPr="008F69A6">
        <w:t>Europolom</w:t>
      </w:r>
      <w:r w:rsidRPr="008F69A6">
        <w:t>; je hlboko znepokojený zraniteľnosťou voči prenikaniu trestnej činnosti do politických a právnych systémov;</w:t>
      </w:r>
    </w:p>
    <w:p w:rsidR="00B67CFF" w:rsidRPr="008F69A6" w:rsidP="00B67CFF" w14:paraId="5D0DA100" w14:textId="77777777">
      <w:pPr>
        <w:pStyle w:val="NormalHanging12a"/>
      </w:pPr>
      <w:r w:rsidRPr="008F69A6">
        <w:t>35.</w:t>
      </w:r>
      <w:r w:rsidRPr="008F69A6">
        <w:tab/>
        <w:t xml:space="preserve">naliehavo vyzýva Bosnu a Hercegovinu, aby riešila nedostatky vo svojich rámcoch boja proti praniu špinavých peňazí a financovaniu terorizmu s cieľom zabrániť zaradeniu na sivý zoznam, a to aj prijatím potrebných interných predpisov potrebných na účinné vykonávanie zákona a urýchleným zriadením registrov o skutočnom vlastníctve právnických osôb, najmä zabezpečením okamžitých opatrení zo strany subjektov a okresu Brčko, a to plne v súlade s </w:t>
      </w:r>
      <w:r w:rsidRPr="008F69A6">
        <w:rPr>
          <w:i/>
          <w:iCs/>
        </w:rPr>
        <w:t>acquis</w:t>
      </w:r>
      <w:r w:rsidRPr="008F69A6">
        <w:t xml:space="preserve"> EÚ a odporúčaniami výboru MONEYVAL;</w:t>
      </w:r>
    </w:p>
    <w:p w:rsidR="00B67CFF" w:rsidRPr="008F69A6" w:rsidP="00B67CFF" w14:paraId="6EE65DE1" w14:textId="77777777">
      <w:pPr>
        <w:pStyle w:val="NormalHanging12a"/>
      </w:pPr>
      <w:r w:rsidRPr="008F69A6">
        <w:t>36.</w:t>
      </w:r>
      <w:r w:rsidRPr="008F69A6">
        <w:tab/>
        <w:t>vyzýva Bosnu a Hercegovinu, aby zabezpečila súlad s vízovou politikou EÚ a dovtedy uplatňovala dodatočné bezpečnostné opatrenia; ďalej vyzýva Bosnu a Hercegovinu, aby zlepšila bezpečnosť svojich hraníc a riadenie migrácie v plnom súlade s normami v oblasti ľudských práv a medzinárodným právom;</w:t>
      </w:r>
    </w:p>
    <w:p w:rsidR="00B67CFF" w:rsidRPr="008F69A6" w:rsidP="00B67CFF" w14:paraId="16AC7BA0" w14:textId="77777777">
      <w:pPr>
        <w:pStyle w:val="NormalHanging12a"/>
      </w:pPr>
      <w:r w:rsidRPr="008F69A6">
        <w:t>37.</w:t>
      </w:r>
      <w:r w:rsidRPr="008F69A6">
        <w:tab/>
        <w:t>žiada posilnenie a zefektívnenie verejnej správy a zabezpečenie profesionálnej a odpolitizovanej verejnej služby, kde sa vymenúvanie do funkcií bude zakladať výhradne na zásluhách, posilnenie kapacít koordinátorov reforiem na úrovni entity a na miestnej úrovni, keďže tam dochádza k prvému kontaktu s občanmi, ako aj celoštátnej koordinácie politík, a digitalizáciu verejnej správy s cieľom znížiť politizáciu a neefektívnosť;</w:t>
      </w:r>
    </w:p>
    <w:p w:rsidR="00B67CFF" w:rsidRPr="008F69A6" w:rsidP="00B67CFF" w14:paraId="720F5867" w14:textId="77777777">
      <w:pPr>
        <w:pStyle w:val="NormalHanging12a"/>
      </w:pPr>
      <w:r w:rsidRPr="008F69A6">
        <w:t>38.</w:t>
      </w:r>
      <w:r w:rsidRPr="008F69A6">
        <w:tab/>
        <w:t xml:space="preserve">zdôrazňuje potrebu ďalšieho úsilia pri vykonávaní reforiem riadenia verejných financií a verejnej správy a riešenia pretrvávajúcich obmedzení administratívnych kapacít prostredníctvom trvalých investícií EÚ do rozvoja kvalitných kapacít a rámcov na výmenu poznatkov, ktoré sú založené na existujúcich modeloch osvedčených postupov partnerov EÚ a medzinárodných partnerov; vyzýva orgány na všetkých úrovniach v Bosne a Hercegovine, najmä výkonnú moc, aby zabezpečili transparentnosť a prístup verejnosti k informáciám vo všetkých fázach rozhodovania, a to aj včasným zverejňovaním návrhov aktov a súvisiacich dokumentov, ako aj tabuliek zhody o zosúladení s </w:t>
      </w:r>
      <w:r w:rsidRPr="008F69A6">
        <w:rPr>
          <w:i/>
        </w:rPr>
        <w:t>acquis</w:t>
      </w:r>
      <w:r w:rsidRPr="008F69A6">
        <w:t xml:space="preserve"> EÚ a zmysluplnými verejnými konzultáciami v súlade s európskymi normami otvorenej verejnej správy a zodpovednosti;</w:t>
      </w:r>
    </w:p>
    <w:p w:rsidR="00B67CFF" w:rsidRPr="008F69A6" w:rsidP="00B67CFF" w14:paraId="51BF58DC" w14:textId="77777777">
      <w:pPr>
        <w:pStyle w:val="NormalHanging12a"/>
      </w:pPr>
      <w:r w:rsidRPr="008F69A6">
        <w:t>39.</w:t>
      </w:r>
      <w:r w:rsidRPr="008F69A6">
        <w:tab/>
        <w:t xml:space="preserve">zdôrazňuje kľúčovú úlohu, ktorú organizácie občianskej spoločnosti zohrávajú v procese rozširovania a v posilňovaní demokracie a pluralizmu a presadzovaní dobrej správy vecí verejných a sociálneho pokroku; zdôrazňuje, že vo všetkých fázach </w:t>
      </w:r>
      <w:r w:rsidRPr="008F69A6">
        <w:t>prístupového procesu by sa mala zabezpečiť zmysluplná, štruktúrovaná a nepretržitá účasť organizácií občianskej spoločnosti s preukázanými skúsenosťami a odbornými znalosťami v jednotlivých odvetviach; vyzýva orgány na všetkých úrovniach v Bosne a Hercegovine, aby posilnili transparentnosť, zodpovednosť a integritu verejného financovania organizácií občianskej spoločnosti, a to aj prostredníctvom povinných verejných výziev, jasných a merateľných kritérií na udeľovanie grantov, proaktívneho zverejňovania údajov o prijímateľoch a pridelených finančných prostriedkoch, vytvorenia verejných registrov grantov a záruk proti konfliktom záujmov, politickému vplyvu a zneužívaniu finančných prostriedkov na stranícke účely alebo účely súvisiace s kampaňou; vyzýva orgány Bosny a Hercegoviny a Komisiu, aby zabezpečili väčšie, transparentné a udržateľné financovanie občianskej spoločnosti vrátane iniciatív zameraných na prekonávanie spoločenských rozdielov, podporu zmierenia a posilnenie dialógu medzi etnikami;</w:t>
      </w:r>
    </w:p>
    <w:p w:rsidR="00B67CFF" w:rsidRPr="008F69A6" w:rsidP="00B67CFF" w14:paraId="34C0CA10" w14:textId="77777777">
      <w:pPr>
        <w:pStyle w:val="Normal12a"/>
      </w:pPr>
      <w:r w:rsidRPr="008F69A6">
        <w:rPr>
          <w:b/>
          <w:i/>
        </w:rPr>
        <w:t>Základné slobody a ľudské práva</w:t>
      </w:r>
    </w:p>
    <w:p w:rsidR="00B67CFF" w:rsidRPr="008F69A6" w:rsidP="00B67CFF" w14:paraId="63148EFE" w14:textId="77777777">
      <w:pPr>
        <w:pStyle w:val="NormalHanging12a"/>
      </w:pPr>
      <w:r w:rsidRPr="008F69A6">
        <w:t>40.</w:t>
      </w:r>
      <w:r w:rsidRPr="008F69A6">
        <w:tab/>
        <w:t>zdôrazňuje, že slobodné a pluralitné médiá sú základom demokracie; vyjadruje znepokojenie nad pretrvávajúcim nedostatkom finančných prostriedkov pre verejnoprávneho vysielateľa v Bosne a Hercegovine, vyzýva príslušné orgány, aby vykonali právoplatné rozsudky súdu v Banja Luke týkajúce sa pohľadávky, ktorú má voči vysielateľovi BHRT verejnoprávny vysielateľ RTRS, a opakuje svoju výzvu Parlamentnému zhromaždeniu Bosny a Hercegoviny, aby prijalo udržateľný dlhodobý právny rámec na financovanie všetkých troch verejnoprávnych vysielateľov v krajine a vždy pritom zabezpečovalo transparentnosť vlastníctva médií; pripomína, že verejnoprávny vysielateľ zohrával v Bosne a Hercegovine kľúčovú úlohu ako nástroj na zjednotenie krajiny po vojne; vyzýva na poskytovanie a vysielanie programov v úradných jazykoch Bosny a Hercegoviny;</w:t>
      </w:r>
    </w:p>
    <w:p w:rsidR="00B67CFF" w:rsidRPr="008F69A6" w:rsidP="00B67CFF" w14:paraId="26BE958B" w14:textId="77777777">
      <w:pPr>
        <w:pStyle w:val="NormalHanging12a"/>
      </w:pPr>
      <w:r w:rsidRPr="008F69A6">
        <w:t>41.</w:t>
      </w:r>
      <w:r w:rsidRPr="008F69A6">
        <w:tab/>
        <w:t>vyjadruje poľutovanie nad zhoršujúcou sa situáciou v oblasti náboženskej slobody v krajine; vyzýva Bosnu a Hercegovinu, aby chránila verejnoprávne médiá pred politickým vplyvom, zosúladila zákony na úrovni entít so štátnymi zákonmi a zaviedla pravidlá transparentnosti vlastníctva médií a verejnej reklamy; vyzýva Bosnu a Hercegovinu, aby urýchlila prijatie zákona o elektronických komunikáciách v súlade s aktom o digitálnych službách a Európskym aktom o slobode médií</w:t>
      </w:r>
      <w:r>
        <w:rPr>
          <w:rStyle w:val="FootnoteReference"/>
        </w:rPr>
        <w:footnoteReference w:customMarkFollows="1" w:id="8"/>
        <w:t xml:space="preserve">7</w:t>
      </w:r>
      <w:r w:rsidRPr="008F69A6">
        <w:t>; odsudzuje pokračujúce šírenie ruských dezinformácií v entite Republiky srbskej;</w:t>
      </w:r>
    </w:p>
    <w:p w:rsidR="00B67CFF" w:rsidRPr="008F69A6" w:rsidP="00B67CFF" w14:paraId="787BC537" w14:textId="77777777">
      <w:pPr>
        <w:pStyle w:val="NormalHanging12a"/>
      </w:pPr>
      <w:r w:rsidRPr="008F69A6">
        <w:t>42.</w:t>
      </w:r>
      <w:r w:rsidRPr="008F69A6">
        <w:tab/>
        <w:t xml:space="preserve">dôrazne odsudzuje útoky, hrozby, zastrašovanie, politický tlak, opätovné zavedenie a používanie ustanovení o trestných činoch hanobenia a strategické žaloby proti verejnej účasti (SLAPP) namierené proti novinárom, pracovníkom médií a iným obhajcom ľudských práv a aktivistom, konkrétne zo strany vysokopostavených politických a iných vplyvných postáv; nalieha na Bosnu a Hercegovinu, aby uplatňovala politiku nulovej tolerancie a zabezpečila, že sa závažnosť takýchto prípadov nebudú bagatelizovať; vyzýva orgány, aby prijali právny rámec na účinnú ochranu pred SLAPP; vyzýva Bosnu a Hercegovinu, aby zaručila slobodu a bezpečnosť novinárov a aby sa zaoberala úsilím </w:t>
      </w:r>
      <w:r w:rsidRPr="008F69A6">
        <w:t>o obmedzenie slobodného vykonávania ich činností; odsudzuje aj útoky na poslancov Európskeho parlamentu, komisárov EÚ, úradníkov EÚ a Úrad vysokého predstaviteľa;</w:t>
      </w:r>
    </w:p>
    <w:p w:rsidR="00B67CFF" w:rsidRPr="008F69A6" w:rsidP="00B67CFF" w14:paraId="3F49D960" w14:textId="77777777">
      <w:pPr>
        <w:pStyle w:val="NormalHanging12a"/>
      </w:pPr>
      <w:r w:rsidRPr="008F69A6">
        <w:t>43.</w:t>
      </w:r>
      <w:r w:rsidRPr="008F69A6">
        <w:tab/>
        <w:t>vyzýva Bosnu a Hercegovinu, aby harmonizovala právny a politický rámec v oblasti slobody prejavu a nenávistných prejavov na všetkých úrovniach verejnej správy, a to plne v súlade s európskymi a medzinárodnými normami v oblasti ľudských práv s cieľom zabezpečiť primeranú rovnováhu medzi ochranou slobody prejavu a predchádzaním nenávistným prejavom a ich stíhaním, a to aj prostredníctvom riešenia existujúcich nedostatkov v právnom rámci Federácie Bosny a Hercegoviny; vyzýva na boj proti nenávistným prejavom vo verejných médiách;</w:t>
      </w:r>
    </w:p>
    <w:p w:rsidR="00B67CFF" w:rsidRPr="008F69A6" w:rsidP="00B67CFF" w14:paraId="0F24FE3C" w14:textId="77777777">
      <w:pPr>
        <w:pStyle w:val="NormalHanging12a"/>
      </w:pPr>
      <w:r w:rsidRPr="008F69A6">
        <w:t>44.</w:t>
      </w:r>
      <w:r w:rsidRPr="008F69A6">
        <w:tab/>
        <w:t xml:space="preserve">vyzýva Bosnu a Hercegovinu, aby v plnej miere chránila slobodu zhromažďovania a združovania v celej krajine; vyzýva orgány entity Republiky srbskej, aby rešpektovali rozhodnutie ústavného súdu, ktorým sa zrušuje zákon ruského štýlu o zahraničných agentoch a aby sa zdržali opätovného zavádzania podobných opatrení alebo útokov na základné práva a slobody; zdôrazňuje potrebu prísnejšieho presadzovania práva a </w:t>
      </w:r>
      <w:r w:rsidRPr="008F69A6">
        <w:t>dekriminalizácie</w:t>
      </w:r>
      <w:r w:rsidRPr="008F69A6">
        <w:t xml:space="preserve"> hanobenia v celej Bosne a Hercegovine;</w:t>
      </w:r>
    </w:p>
    <w:p w:rsidR="00B67CFF" w:rsidRPr="008F69A6" w:rsidP="00B67CFF" w14:paraId="193A0CC8" w14:textId="77777777">
      <w:pPr>
        <w:pStyle w:val="NormalHanging12a"/>
      </w:pPr>
      <w:r w:rsidRPr="008F69A6">
        <w:t>45.</w:t>
      </w:r>
      <w:r w:rsidRPr="008F69A6">
        <w:tab/>
        <w:t>vyzýva orgány Bosny a Hercegoviny, aby posilnili právnu a inštitucionálnu ochranu obhajcov ľudských práv a zabezpečili bezpečné a priaznivé prostredie pre ich prácu;</w:t>
      </w:r>
    </w:p>
    <w:p w:rsidR="00B67CFF" w:rsidRPr="008F69A6" w:rsidP="00B67CFF" w14:paraId="630904FC" w14:textId="77777777">
      <w:pPr>
        <w:pStyle w:val="NormalHanging12a"/>
      </w:pPr>
      <w:r w:rsidRPr="008F69A6">
        <w:t>46.</w:t>
      </w:r>
      <w:r w:rsidRPr="008F69A6">
        <w:tab/>
        <w:t>odsudzuje útoky, diskrimináciu a nenávistné prejavy voči menšinám a vyzýva na urýchlené a účinné právne kroky; vyzýva Bosnu a Hercegovinu, aby v plnej miere dodržiavala svoju ústavu, presadzovala zásady rovnosti, nediskriminácie a multietnického charakteru štátu a prijala celoštátnu stratégiu na zabezpečenie spravodlivého a pomerného zastúpenia všetkých občanov vrátane menšín vo verejnej správe a verejnoprávnych inštitúciách, ako aj ich plnej účasti na verejnom a politickom živote v súlade s demokratickými normami a záväzkami Bosny a Hercegoviny v oblasti európskej integrácie;</w:t>
      </w:r>
    </w:p>
    <w:p w:rsidR="00B67CFF" w:rsidRPr="008F69A6" w:rsidP="00B67CFF" w14:paraId="6C111774" w14:textId="77777777">
      <w:pPr>
        <w:pStyle w:val="NormalHanging12a"/>
      </w:pPr>
      <w:r w:rsidRPr="008F69A6">
        <w:t>47.</w:t>
      </w:r>
      <w:r w:rsidRPr="008F69A6">
        <w:tab/>
        <w:t xml:space="preserve">vyzýva Bosnu a Hercegovinu, aby zrušila zmeny Trestného zákona z marca a júna 2025, ktoré sa týkajú vylúčenia rodovej identity ako chránenej charakteristiky </w:t>
      </w:r>
      <w:r w:rsidRPr="008F69A6">
        <w:t>transrodových</w:t>
      </w:r>
      <w:r w:rsidRPr="008F69A6">
        <w:t xml:space="preserve"> osôb a vylúčenia párov rovnakého pohlavia z ochrany pred domácim násilím;</w:t>
      </w:r>
    </w:p>
    <w:p w:rsidR="00B67CFF" w:rsidRPr="008F69A6" w:rsidP="00B67CFF" w14:paraId="66BDAA29" w14:textId="77777777">
      <w:pPr>
        <w:pStyle w:val="NormalHanging12a"/>
      </w:pPr>
      <w:r w:rsidRPr="008F69A6">
        <w:t>48.</w:t>
      </w:r>
      <w:r w:rsidRPr="008F69A6">
        <w:tab/>
        <w:t xml:space="preserve">vyzýva orgány Bosny a Hercegoviny, aby podnikli potrebné kroky na získanie štatútu pozorovateľa v rámci činnosti Agentúry Európskej únie pre základné práva s cieľom posilniť zosúladenie s </w:t>
      </w:r>
      <w:r w:rsidRPr="008F69A6">
        <w:rPr>
          <w:i/>
        </w:rPr>
        <w:t>acquis</w:t>
      </w:r>
      <w:r w:rsidRPr="008F69A6">
        <w:t xml:space="preserve"> EÚ v oblasti základných práv, zlepšiť tvorbu politík založenej na faktoch a zber údajov a posilniť spoluprácu v oblasti základných práv;</w:t>
      </w:r>
    </w:p>
    <w:p w:rsidR="00B67CFF" w:rsidRPr="008F69A6" w:rsidP="00B67CFF" w14:paraId="1535CBD3" w14:textId="77777777">
      <w:pPr>
        <w:pStyle w:val="NormalHanging12a"/>
      </w:pPr>
      <w:r w:rsidRPr="008F69A6">
        <w:t>49.</w:t>
      </w:r>
      <w:r w:rsidRPr="008F69A6">
        <w:tab/>
        <w:t>vyzýva na posilnenie nezávislosti, účinnosti a viditeľnosti inštitúcie ombudsmana pre ľudské práva v Bosne a Hercegovine, a to aj prostredníctvom aktívnejšieho prístupu k závažným a systémovým porušeniam ľudských práv a účinnejšieho sledovania jeho odporúčaní;</w:t>
      </w:r>
    </w:p>
    <w:p w:rsidR="00B67CFF" w:rsidRPr="008F69A6" w:rsidP="00B67CFF" w14:paraId="4BD92AD4" w14:textId="77777777">
      <w:pPr>
        <w:pStyle w:val="NormalHanging12a"/>
      </w:pPr>
      <w:r w:rsidRPr="008F69A6">
        <w:t>50.</w:t>
      </w:r>
      <w:r w:rsidRPr="008F69A6">
        <w:tab/>
        <w:t xml:space="preserve">žiada, aby sa vyvinulo väčšie úsilie v oblasti rodovej rovnosti a zvýšenia účasti žien na verejnom a politickom živote; naliehavo vyzýva Bosnu a Hercegovinu, aby posilnila reakcie na inštitucionálnej úrovni na rodovo podmienené násilie; víta legislatívny pokrok v entite federácie; vyjadruje znepokojenie nad nedôslednou a roztrieštenou reakciou orgánov Bosny a Hercegoviny na prípady rodovo podmieneného násilia; naliehavo vyzýva orgány, aby riešili rodovo podmienené násilie ako štrukturálny </w:t>
      </w:r>
      <w:r w:rsidRPr="008F69A6">
        <w:t>problém; zdôrazňuje, že je dôležité zabezpečiť bezplatný a neobmedzený prístup k službám sexuálneho a reprodukčného zdravia v celej krajine;</w:t>
      </w:r>
    </w:p>
    <w:p w:rsidR="00B67CFF" w:rsidRPr="008F69A6" w:rsidP="00B67CFF" w14:paraId="654CE44D" w14:textId="77777777">
      <w:pPr>
        <w:pStyle w:val="NormalHanging12a"/>
      </w:pPr>
      <w:r w:rsidRPr="008F69A6">
        <w:t>51.</w:t>
      </w:r>
      <w:r w:rsidRPr="008F69A6">
        <w:tab/>
        <w:t>pripomína, že hoci Bosna a Hercegovina ratifikovala Istanbulský dohovor Rady Európy v novembri 2013 a právne sa zaviazala k predchádzaniu a boju proti násiliu páchanému na ženách a domácemu násiliu, jeho uplatňovanie je naďalej nejednotné; vyzýva Bosnu a Hercegovinu, aby posilnila prebiehajúce úsilie zamerané na zlepšenie ochrany obetí, lepšiu odbornú prípravu polície, koordináciu reakcií na inštitucionálnej úrovni a riešenie nedostatkov pri stíhaní páchateľov rodovo podmieneného a domáceho násilia, najmä vo vidieckych oblastiach;</w:t>
      </w:r>
    </w:p>
    <w:p w:rsidR="00B67CFF" w:rsidRPr="008F69A6" w:rsidP="00B67CFF" w14:paraId="51DF3D48" w14:textId="77777777">
      <w:pPr>
        <w:pStyle w:val="NormalHanging12a"/>
      </w:pPr>
      <w:r w:rsidRPr="008F69A6">
        <w:t>52.</w:t>
      </w:r>
      <w:r w:rsidRPr="008F69A6">
        <w:tab/>
        <w:t>podporuje dlhodobé riešenia na rozvoj inkluzívneho, spravodlivého a odpolitizovaného kvalitného vzdelávania podporujúceho porozumenie a zmierenie a zabezpečenie práva na vzdelávanie v materinskom jazyku; naliehavo vyzýva na rozvoj faktografického a nediskriminačného vzdelávania o histórii založeného na historických faktoch a rešpektovaní demokratických hodnôt s cieľom posilniť vzájomné porozumenie a bojovať proti diskriminácii; vyzýva EÚ, aby aktívne podporovala tento proces; opätovne požaduje ukončenie praxe „dve školy pod jednou strechou“; zdôrazňuje význam ochrany kultúrnych a jazykových prejavov všetkých obyvateľov v Bosne a Hercegovine; konštatuje, že pri prijímaní programov a učebných osnov by sa mala rešpektovať kultúrna a jazyková rozmanitosť krajiny;</w:t>
      </w:r>
    </w:p>
    <w:p w:rsidR="00B67CFF" w:rsidRPr="008F69A6" w:rsidP="00B67CFF" w14:paraId="7C3ECECA" w14:textId="77777777">
      <w:pPr>
        <w:pStyle w:val="NormalHanging12a"/>
      </w:pPr>
      <w:r w:rsidRPr="008F69A6">
        <w:t>53.</w:t>
      </w:r>
      <w:r w:rsidRPr="008F69A6">
        <w:tab/>
        <w:t>pripomína, že Bosna a Hercegovina by mala prevziať plnú zodpovednosť za riadenie migrácie, účinne vykonávať zákon o kontrole hraníc, zlepšovať koordináciu a rozdelenie zodpovednosti medzi všetkými úrovňami verejnej správy, zabezpečiť dostatok príslušníkov hraničnej polície a poskytovať dostupné, efektívne a spravodlivé konania o azyle pri plnom dodržiavaní ľudských práv a medzinárodných noriem ochrany; berie na vedomie začatie fungovania systému vstup/výstup EÚ (EES), ktorý posilňuje monitorovanie vonkajších hraníc; vyzýva orgány Bosny a Hercegoviny, aby zabezpečili úplnú pripravenosť a súlad s technickými požiadavkami a požiadavkami na ochranu údajov, ktoré vyplývajú z EES; vyzýva Komisiu, aby našla riešenia výziev, ktoré predstavujú nové pravidlá systému vstup/výstup EÚ pre vodičov nákladných vozidiel z Bosny a Hercegoviny a iných partnerov zo západného Balkánu;</w:t>
      </w:r>
    </w:p>
    <w:p w:rsidR="00B67CFF" w:rsidRPr="008F69A6" w:rsidP="00B67CFF" w14:paraId="10902135" w14:textId="77777777">
      <w:pPr>
        <w:pStyle w:val="Normal12a"/>
      </w:pPr>
      <w:r w:rsidRPr="008F69A6">
        <w:rPr>
          <w:b/>
          <w:i/>
        </w:rPr>
        <w:t>Dobré susedské vzťahy a zmierenie</w:t>
      </w:r>
    </w:p>
    <w:p w:rsidR="00B67CFF" w:rsidRPr="008F69A6" w:rsidP="00B67CFF" w14:paraId="0456B19E" w14:textId="77777777">
      <w:pPr>
        <w:pStyle w:val="NormalHanging12a"/>
      </w:pPr>
      <w:r w:rsidRPr="008F69A6">
        <w:t>54.</w:t>
      </w:r>
      <w:r w:rsidRPr="008F69A6">
        <w:tab/>
        <w:t>víta aktívnu úlohu Bosny a Hercegoviny v regionálnej spolupráci; zdôrazňuje, že dobré susedské vzťahy sú kľúčovým prvkom procesu rozširovania EÚ a prístupovej cesty každej krajiny;</w:t>
      </w:r>
    </w:p>
    <w:p w:rsidR="00B67CFF" w:rsidRPr="008F69A6" w:rsidP="00B67CFF" w14:paraId="0CE8B931" w14:textId="77777777">
      <w:pPr>
        <w:pStyle w:val="NormalHanging12a"/>
      </w:pPr>
      <w:r w:rsidRPr="008F69A6">
        <w:t>55.</w:t>
      </w:r>
      <w:r w:rsidRPr="008F69A6">
        <w:tab/>
        <w:t>zdôrazňuje význam zmierenia v Bosne a Hercegovine a naliehavo vyzýva orgány, aby zabezpečili prístup k pravde, spravodlivosti a náprave vrátane právnej ochrany a odškodnenia civilných obetí vojnových zločinov a aby prijali zákon na štátnej úrovni, ktorý zabezpečí ochranu a uznanie obetí mučenia; víta miestne iniciatívy zamerané na budovanie mieru a pripomínanie si minulosti; vyzýva na ďalšie úsilie v oblasti pátrania po nezvestných osobách, a to aj prostredníctvom regionálnej spolupráce; vyzýva orgány na všetkých úrovniach, aby aktívne podporovali a nebránili snahám o uctenie pamiatky obetí, najmä v miestnych komunitách, ktoré sú základným prvkom zmierenia a pripomínania si minulosti;</w:t>
      </w:r>
    </w:p>
    <w:p w:rsidR="00B67CFF" w:rsidRPr="008F69A6" w:rsidP="00B67CFF" w14:paraId="57154884" w14:textId="77777777">
      <w:pPr>
        <w:pStyle w:val="NormalHanging12a"/>
      </w:pPr>
      <w:r w:rsidRPr="008F69A6">
        <w:t>56.</w:t>
      </w:r>
      <w:r w:rsidRPr="008F69A6">
        <w:tab/>
        <w:t xml:space="preserve">uznáva, že zmierenie musí byť založené na uznaní a výučbe historických faktov, uctení si obetí a spomienke na </w:t>
      </w:r>
      <w:r w:rsidRPr="008F69A6">
        <w:t>ne</w:t>
      </w:r>
      <w:r w:rsidRPr="008F69A6">
        <w:t xml:space="preserve">, nájdení všetkých nezvestných osôb, postavení všetkých páchateľov pred súd a podpore prostredia zmierenia, dôvery a rešpektu 30 rokov po podpísaní </w:t>
      </w:r>
      <w:r w:rsidRPr="008F69A6">
        <w:t>Daytonskej</w:t>
      </w:r>
      <w:r w:rsidRPr="008F69A6">
        <w:t xml:space="preserve"> mierovej dohody; zdôrazňuje, že politickí činitelia a vplyvné osoby majú osobitnú zodpovednosť prispieť k vytvoreniu prostredia priaznivého pre zmierenie; pripomína, že na prekonanie minulosti a dosiahnutie zmierenia je dôležité, aby všetky národy a zodpovední jednotlivci prijali zodpovednosť za trestné činy spáchané počas balkánskych vojen;</w:t>
      </w:r>
    </w:p>
    <w:p w:rsidR="00B67CFF" w:rsidRPr="008F69A6" w:rsidP="00B67CFF" w14:paraId="668BE73D" w14:textId="77777777">
      <w:pPr>
        <w:pStyle w:val="NormalHanging12a"/>
      </w:pPr>
      <w:r w:rsidRPr="008F69A6">
        <w:t>57.</w:t>
      </w:r>
      <w:r w:rsidRPr="008F69A6">
        <w:tab/>
        <w:t>opakuje svoju výzvu na realizáciu dodatočných opatrení a konkrétnych programov, pokiaľ ide o udržateľný návrat utečencov a vnútorne vysídlených osôb, prístup k zdravotnej starostlivosti a zamestnaniu, sociálnu ochranu a vzdelávanie, ako aj plné dodržiavanie všetkých ich práv na náhradu za nenavrátiteľný majetok;</w:t>
      </w:r>
    </w:p>
    <w:p w:rsidR="00B67CFF" w:rsidRPr="008F69A6" w:rsidP="00B67CFF" w14:paraId="2032EF98" w14:textId="77777777">
      <w:pPr>
        <w:pStyle w:val="NormalHanging12a"/>
      </w:pPr>
      <w:r w:rsidRPr="008F69A6">
        <w:t>58.</w:t>
      </w:r>
      <w:r w:rsidRPr="008F69A6">
        <w:tab/>
        <w:t xml:space="preserve">odmieta všetky </w:t>
      </w:r>
      <w:r w:rsidRPr="008F69A6">
        <w:t>naratívy</w:t>
      </w:r>
      <w:r w:rsidRPr="008F69A6">
        <w:t xml:space="preserve">, ktoré využívajú etnické napätie, podporujú historický revizionizmus, popieranie genocídy a oslavovanie vojnových zločincov, ako aj akékoľvek verejné oslavovanie fašizmu, národného socializmu a komunizmu vrátane vykrikovania </w:t>
      </w:r>
      <w:r w:rsidRPr="008F69A6">
        <w:t>ustašovského</w:t>
      </w:r>
      <w:r w:rsidRPr="008F69A6">
        <w:t xml:space="preserve"> pozdravu „Za dom </w:t>
      </w:r>
      <w:r w:rsidRPr="008F69A6">
        <w:t>spremni</w:t>
      </w:r>
      <w:r w:rsidRPr="008F69A6">
        <w:t xml:space="preserve">“ na koncerte Marka </w:t>
      </w:r>
      <w:r w:rsidRPr="008F69A6">
        <w:t>Perkovića</w:t>
      </w:r>
      <w:r w:rsidRPr="008F69A6">
        <w:t xml:space="preserve"> </w:t>
      </w:r>
      <w:r w:rsidRPr="008F69A6">
        <w:t>Thompsona</w:t>
      </w:r>
      <w:r w:rsidRPr="008F69A6">
        <w:t xml:space="preserve"> v </w:t>
      </w:r>
      <w:r w:rsidRPr="008F69A6">
        <w:t>Širokim</w:t>
      </w:r>
      <w:r w:rsidRPr="008F69A6">
        <w:t xml:space="preserve"> </w:t>
      </w:r>
      <w:r w:rsidRPr="008F69A6">
        <w:t>Brijegu</w:t>
      </w:r>
      <w:r w:rsidRPr="008F69A6">
        <w:t xml:space="preserve">, vystavovania čečenských symbolov na zhromaždení hnutia </w:t>
      </w:r>
      <w:r w:rsidRPr="008F69A6">
        <w:t>Ravna</w:t>
      </w:r>
      <w:r w:rsidRPr="008F69A6">
        <w:t xml:space="preserve"> </w:t>
      </w:r>
      <w:r w:rsidRPr="008F69A6">
        <w:t>Gora</w:t>
      </w:r>
      <w:r w:rsidRPr="008F69A6">
        <w:t xml:space="preserve"> vo Vyšehrade a vyhlásení odvolaného predsedu Snemovne reprezentantov federatívneho subjektu </w:t>
      </w:r>
      <w:r w:rsidRPr="008F69A6">
        <w:t>Dragana</w:t>
      </w:r>
      <w:r w:rsidRPr="008F69A6">
        <w:t xml:space="preserve"> </w:t>
      </w:r>
      <w:r w:rsidRPr="008F69A6">
        <w:t>Miokovića</w:t>
      </w:r>
      <w:r w:rsidRPr="008F69A6">
        <w:t xml:space="preserve">, ktoré ospravedlňujú zločiny spáchané juhoslovanským komunistickým režimom po druhej svetovej vojne, a spochybňovania preukázaných faktov a nezávislosti a nestrannosti domácich a medzinárodných súdov alebo vykresľovania demokratických inštitúcií a ústavných kontrol ako nelegitímnych, najmä zo strany politických činiteľov; pripomína, že takéto </w:t>
      </w:r>
      <w:r w:rsidRPr="008F69A6">
        <w:t>naratívy</w:t>
      </w:r>
      <w:r w:rsidRPr="008F69A6">
        <w:t xml:space="preserve"> priamo oslabujú zmierenie, demokratickú stabilitu a dôveru verejnosti; vyzýva všetkých politických činiteľov v Bosne a Hercegovine, aby sa zdržali rozvratnej a štvavej rétoriky, a orgány, aby posilnili strategickú komunikáciu, podporili nezávislé overovanie faktov a investovali do mediálnej gramotnosti a občianskeho vzdelávania, a to aj na miestnej úrovni, ako súčasť celospoločenského prístupu k demokratickej odolnosti; naliehavo vyzýva Bosnu a Hercegovinu, aby zosúladila štátny Trestný zákon o popieraní genocídy a oslavovaní vojnových zločincov s </w:t>
      </w:r>
      <w:r w:rsidRPr="008F69A6">
        <w:rPr>
          <w:i/>
        </w:rPr>
        <w:t>acquis</w:t>
      </w:r>
      <w:r w:rsidRPr="008F69A6">
        <w:t xml:space="preserve"> EÚ;</w:t>
      </w:r>
    </w:p>
    <w:p w:rsidR="00B67CFF" w:rsidRPr="008F69A6" w:rsidP="00B67CFF" w14:paraId="5D1E6B4A" w14:textId="77777777">
      <w:pPr>
        <w:pStyle w:val="NormalHanging12a"/>
      </w:pPr>
      <w:r w:rsidRPr="008F69A6">
        <w:t>59.</w:t>
      </w:r>
      <w:r w:rsidRPr="008F69A6">
        <w:tab/>
        <w:t xml:space="preserve">vyjadruje vážne znepokojenie nad politickými koncepciami a </w:t>
      </w:r>
      <w:r w:rsidRPr="008F69A6">
        <w:t>naratívmi</w:t>
      </w:r>
      <w:r w:rsidRPr="008F69A6">
        <w:t xml:space="preserve"> presadzovanými v regióne, ktoré hlásajú cezhraničné zjednotenie alebo koordináciu na základe etnickej identity vrátane takzvaného „srbského sveta“, narúšajú zvrchovanosť a územnú celistvosť susedných štátov a hrozia destabilizáciou regiónu; zdôrazňuje, že takéto </w:t>
      </w:r>
      <w:r w:rsidRPr="008F69A6">
        <w:t>naratívy</w:t>
      </w:r>
      <w:r w:rsidRPr="008F69A6">
        <w:t xml:space="preserve"> sú nezlučiteľné so zásadami dobrých susedských vzťahov a s procesom pristúpenia k EÚ; vyzýva Srbsko a všetky krajiny v tomto regióne, aby sa konštruktívne zaviazali k stabilite a územnej celistvosti Bosny a Hercegoviny a aktívne podporovali cestu pristúpenia Bosny a Hercegoviny;</w:t>
      </w:r>
    </w:p>
    <w:p w:rsidR="00B67CFF" w:rsidRPr="008F69A6" w:rsidP="00B67CFF" w14:paraId="7306E440" w14:textId="77777777">
      <w:pPr>
        <w:pStyle w:val="NormalHanging12a"/>
      </w:pPr>
      <w:r w:rsidRPr="008F69A6">
        <w:t>60.</w:t>
      </w:r>
      <w:r w:rsidRPr="008F69A6">
        <w:tab/>
        <w:t>naliehavo vyzýva Bosnu a Hercegovinu, aby účinne vykonávala revidovanú národnú stratégiu týkajúcu sa vojnových zločinov a ďalej posilňovala regionálnu justičnú spoluprácu, a to aj pokiaľ ide o vydávanie podozrivých osôb;</w:t>
      </w:r>
    </w:p>
    <w:p w:rsidR="00B67CFF" w:rsidRPr="008F69A6" w:rsidP="00B67CFF" w14:paraId="6A6F5A71" w14:textId="77777777">
      <w:pPr>
        <w:pStyle w:val="NormalHanging12a"/>
      </w:pPr>
      <w:r w:rsidRPr="008F69A6">
        <w:t>61.</w:t>
      </w:r>
      <w:r w:rsidRPr="008F69A6">
        <w:tab/>
        <w:t xml:space="preserve">pripomína, že je dôležité zabezpečiť úplný prístup k archívom bývalej juhoslovanskej tajnej služby (UDBA) a kontrarozviedky Juhoslovanskej ľudovej armády (KOS) vrátane archívov v Sarajeve, Banja Luke, a najmä v Belehrade; vyzýva srbské orgány, aby oficiálne požiadali o úplný prístup k príslušným archívnym materiálom a v prípade </w:t>
      </w:r>
      <w:r w:rsidRPr="008F69A6">
        <w:t>potreby ich bezodkladne poskytli; zdôrazňuje, že akékoľvek odmietnutie alebo oneskorenie narúša zodpovednosť, spravodlivosť pre obete a regionálne zmierenie;</w:t>
      </w:r>
    </w:p>
    <w:p w:rsidR="00B67CFF" w:rsidRPr="008F69A6" w:rsidP="00B67CFF" w14:paraId="4CED902B" w14:textId="77777777">
      <w:pPr>
        <w:pStyle w:val="NormalHanging12a"/>
      </w:pPr>
      <w:r w:rsidRPr="008F69A6">
        <w:t>62.</w:t>
      </w:r>
      <w:r w:rsidRPr="008F69A6">
        <w:tab/>
        <w:t>zdôrazňuje význam preventívnej diplomacie v Bosne a Hercegovine; vyzýva Európsku službu pre vonkajšiu činnosť, aby posilnila rozvoj zručností svojich zamestnancov s cieľom lepšie pochopiť miestny historický, kultúrny a náboženský kontext, ako sa zdôrazňuje v správe o úlohe preventívnej diplomacie, ktorú Európsky parlament prijal v januári 2024;</w:t>
      </w:r>
    </w:p>
    <w:p w:rsidR="00B67CFF" w:rsidRPr="008F69A6" w:rsidP="00B67CFF" w14:paraId="50C0A9C5" w14:textId="77777777">
      <w:pPr>
        <w:pStyle w:val="Normal12a"/>
      </w:pPr>
      <w:r w:rsidRPr="008F69A6">
        <w:rPr>
          <w:b/>
          <w:i/>
        </w:rPr>
        <w:t>Sociálno-ekonomické reformy</w:t>
      </w:r>
    </w:p>
    <w:p w:rsidR="00B67CFF" w:rsidRPr="008F69A6" w:rsidP="00B67CFF" w14:paraId="0A3DD6D7" w14:textId="77777777">
      <w:pPr>
        <w:pStyle w:val="NormalHanging12a"/>
      </w:pPr>
      <w:r w:rsidRPr="008F69A6">
        <w:t>63.</w:t>
      </w:r>
      <w:r w:rsidRPr="008F69A6">
        <w:tab/>
        <w:t>víta program reforiem Bosny a Hercegoviny a naliehavo vyzýva na jeho urýchlené vykonávanie a vyzýva aj na jeho urýchlené uverejnenie v úradných jazykoch Bosny a Hercegoviny a na jeho prístupné a transparentné predloženie verejnosti; pripomína, že Bosna a Hercegovina môže stále využívať rozpočtové prostriedky vo výške 976,6 mil. EUR; zdôrazňuje, že politická vôľa na vykonávanie reforiem je rozhodujúca na zabezpečenie finančných prostriedkov a zabránenie ich prerozdeleniu; zdôrazňuje, že nedodržanie termínov a nedostatočný pokrok môžu viesť k tomu, že Bosna a Hercegovina bude zaostávať za ostatnými krajinami zapojenými do procesu rozširovania, pokiaľ ide o hospodársku konvergenciu a integráciu do EÚ a pripraví občanov o významné sociálno-ekonomické výhody; vyjadruje poľutovanie nad tým, že 10 % finančných prostriedkov, čo predstavuje viac ako 100 miliónov EUR, je definitívne stratených v dôsledku počiatočných oneskorení politických orgánov pri predkladaní programu reforiem; vyzýva na urýchlenú ratifikáciu dohody o financovaní a úvere;</w:t>
      </w:r>
    </w:p>
    <w:p w:rsidR="00B67CFF" w:rsidRPr="008F69A6" w:rsidP="00B67CFF" w14:paraId="0167BBA5" w14:textId="77777777">
      <w:pPr>
        <w:pStyle w:val="NormalHanging12a"/>
      </w:pPr>
      <w:r w:rsidRPr="008F69A6">
        <w:t>64.</w:t>
      </w:r>
      <w:r w:rsidRPr="008F69A6">
        <w:tab/>
        <w:t>zdôrazňuje, že akékoľvek uvoľnenie a vyplatenie týchto finančných prostriedkov musí zostať prísne podmienené splnením jasných, merateľných a overiteľných míľnikov v oblasti právneho štátu, demokratického fungovania inštitúcií, základných slobôd a sociálno-ekonomických reforiem; vyzýva na účinné zapojenie Parlamentného zhromaždenia Bosny a Hercegoviny, miestnych a regionálnych orgánov, sociálnych partnerov a občianskej spoločnosti do monitorovania vykonávania programu reforiem a dohľadu nad využívaním finančných prostriedkov EÚ v súlade so zásadou inkluzívneho partnerstva;</w:t>
      </w:r>
    </w:p>
    <w:p w:rsidR="00B67CFF" w:rsidRPr="008F69A6" w:rsidP="00B67CFF" w14:paraId="03964BA3" w14:textId="77777777">
      <w:pPr>
        <w:pStyle w:val="NormalHanging12a"/>
      </w:pPr>
      <w:r w:rsidRPr="008F69A6">
        <w:t>65.</w:t>
      </w:r>
      <w:r w:rsidRPr="008F69A6">
        <w:tab/>
        <w:t>naliehavo vyzýva Bosnu a Hercegovinu, aby vytvorila inštitucionálny rámec pre riadenie finančných prostriedkov EÚ, a to aj vymenovaním národného koordinátora pre Nástroj na podporu reforiem a rastu, vytvorením podporných štruktúr potrebných na vykonávanie programu reforiem, určením jedného kontaktného miesta pre každú reformu s cieľom zabezpečiť harmonizované a koordinované vykonávanie na rôznych úrovniach verejnej správy a vymenovaním riaditeľa riaditeľstva pre európsku integráciu za národného koordinátora v rámci IPA III v súlade s doterajšou praxou; požaduje lepšie čerpanie finančných prostriedkov IPA III v Bosne a Hercegovine, a to aj na miestnej a regionálnej úrovni;</w:t>
      </w:r>
    </w:p>
    <w:p w:rsidR="00B67CFF" w:rsidRPr="008F69A6" w:rsidP="00B67CFF" w14:paraId="37E06384" w14:textId="77777777">
      <w:pPr>
        <w:pStyle w:val="NormalHanging12a"/>
      </w:pPr>
      <w:r w:rsidRPr="008F69A6">
        <w:t>66.</w:t>
      </w:r>
      <w:r w:rsidRPr="008F69A6">
        <w:tab/>
        <w:t xml:space="preserve">verí, že finančná podpora z EÚ by mala lepšie podporovať demokratické reformy v krajine a v tejto súvislosti žiada o preprogramovanie príslušného financovania EÚ tak, aby sa viac prostriedkov nasmerovalo na podporu technickej pomoci pri čerpaní fondov, reformách súdnictva a protikorupčných opatreniach; vyzýva EÚ a partnerov zo západného Balkánu, aby vytvorili rámec na úspešnú spoluprácu medzi Európskou </w:t>
      </w:r>
      <w:r w:rsidRPr="008F69A6">
        <w:t>prokuratúrou (EPPO) a jej partnermi zo západného Balkánu s cieľom zabezpečiť, aby Európska prokuratúra mohla účinne vykonávať svoje právomoci;</w:t>
      </w:r>
    </w:p>
    <w:p w:rsidR="00B67CFF" w:rsidRPr="008F69A6" w:rsidP="00B67CFF" w14:paraId="36567FE0" w14:textId="77777777">
      <w:pPr>
        <w:pStyle w:val="NormalHanging12a"/>
      </w:pPr>
      <w:r w:rsidRPr="008F69A6">
        <w:t>67.</w:t>
      </w:r>
      <w:r w:rsidRPr="008F69A6">
        <w:tab/>
        <w:t>pripomína, že financovanie projektov v entite Republika srbská zo strany EÚ by malo zostať zmrazené, kým entita Republiky srbskej nezvráti svoj úpadok demokracie;</w:t>
      </w:r>
    </w:p>
    <w:p w:rsidR="00B67CFF" w:rsidRPr="008F69A6" w:rsidP="00B67CFF" w14:paraId="2F748274" w14:textId="77777777">
      <w:pPr>
        <w:pStyle w:val="NormalHanging12a"/>
      </w:pPr>
      <w:r w:rsidRPr="008F69A6">
        <w:t>68.</w:t>
      </w:r>
      <w:r w:rsidRPr="008F69A6">
        <w:tab/>
        <w:t>víta návrh Komisie na začatie rokovaní so západným Balkánom o pripojení k politike roamingu za vnútroštátne ceny v EÚ, ktorý prinesie obyvateľom západného Balkánu jednu z najhmatateľnejších a okamžite pociťovaných výhod počas prístupového procesu ich krajín do EÚ;</w:t>
      </w:r>
    </w:p>
    <w:p w:rsidR="00B67CFF" w:rsidRPr="008F69A6" w:rsidP="00B67CFF" w14:paraId="23BD59F5" w14:textId="77777777">
      <w:pPr>
        <w:pStyle w:val="NormalHanging12a"/>
      </w:pPr>
      <w:r w:rsidRPr="008F69A6">
        <w:t>69.</w:t>
      </w:r>
      <w:r w:rsidRPr="008F69A6">
        <w:tab/>
        <w:t>konštatuje, že hospodárstvo Bosny a Hercegoviny je odolné, ale nerozvíja sa; požaduje udržateľný fiškálny prístup na riešenie obmedzení rastu, zlepšenie konkurencieschopnosti a podnikateľského a investičného prostredia, zabezpečenie včasného prijímania rozpočtov na úrovni štátu, vykonávanie opatrení na riešenie nesúladu medzi ponúkanými a požadovanými zručnosťami, úniku mozgov, rýchlo sa vyvíjajúcej demografickej krízy, stratégií v oblasti nezamestnanosti a trhu práce, podporu inovácií, malých a stredných podnikov a zelenej a digitálnej transformácie a zabezpečenie väčšej transparentnosti, zodpovednosti a odpolitizovaného rozhodovania;</w:t>
      </w:r>
    </w:p>
    <w:p w:rsidR="00B67CFF" w:rsidRPr="008F69A6" w:rsidP="00B67CFF" w14:paraId="3230E039" w14:textId="77777777">
      <w:pPr>
        <w:pStyle w:val="NormalHanging12a"/>
      </w:pPr>
      <w:r w:rsidRPr="008F69A6">
        <w:t>70.</w:t>
      </w:r>
      <w:r w:rsidRPr="008F69A6">
        <w:tab/>
        <w:t>vyzýva orgány Bosny a Hercegoviny, aby prijali konkrétne opatrenia na riešenie odlivu mozgov, najmä mladých ľudí, investovaním do kvalitného vzdelávania, dôstojných pracovných miest, sociálnej ochrany a inkluzívnych politík a úplným vykonávaním záruky pre mladých ľudí; poukazuje na to, že skutočný sociálny dialóg má kľúčový význam pre zabezpečenie výhod rozšírenia všetkým skupinám obyvateľstva;</w:t>
      </w:r>
    </w:p>
    <w:p w:rsidR="00B67CFF" w:rsidRPr="008F69A6" w:rsidP="00B67CFF" w14:paraId="1816CAD8" w14:textId="77777777">
      <w:pPr>
        <w:pStyle w:val="NormalHanging12a"/>
      </w:pPr>
      <w:r w:rsidRPr="008F69A6">
        <w:t>71.</w:t>
      </w:r>
      <w:r w:rsidRPr="008F69A6">
        <w:tab/>
        <w:t>naliehavo vyzýva Bosnu a Hercegovinu, najmä parlamenty federácie a entity Republiky srbskej, aby dokončili zostávajúce legislatívne a inštitucionálne kroky potrebné na pristúpenie k jednotnej oblasti platieb v eurách (SEPA) s cieľom umožniť aj občanom a podnikom v Bosne a Hercegovine využívať výrazné zníženie transakčných nákladov;</w:t>
      </w:r>
    </w:p>
    <w:p w:rsidR="00B67CFF" w:rsidRPr="008F69A6" w:rsidP="00B67CFF" w14:paraId="3D7075AB" w14:textId="77777777">
      <w:pPr>
        <w:pStyle w:val="NormalHanging12a"/>
      </w:pPr>
      <w:r w:rsidRPr="008F69A6">
        <w:t>72.</w:t>
      </w:r>
      <w:r w:rsidRPr="008F69A6">
        <w:tab/>
        <w:t>vyzýva Bosnu a Hercegovinu, aby zreformovala verejné obstarávanie v súlade s pravidlami EÚ, posilnila dohľad, kapacity a koordináciu na úrovni štátu a entít a zabezpečila transparentné a súťažné postupy odolné voči korupcii, a to aj prostredníctvom prísnejších sankcií, skutočne nezávislého orgánu na kontrolu verejného obstarávania, plne funkčného systému elektronického obstarávania a prísnejších obmedzení priamych dohôd a iných nesúťažných postupov;</w:t>
      </w:r>
    </w:p>
    <w:p w:rsidR="00B67CFF" w:rsidRPr="008F69A6" w:rsidP="00B67CFF" w14:paraId="1E5EF99D" w14:textId="77777777">
      <w:pPr>
        <w:pStyle w:val="Normal12a"/>
      </w:pPr>
      <w:r w:rsidRPr="008F69A6">
        <w:rPr>
          <w:b/>
          <w:i/>
        </w:rPr>
        <w:t>Energetika, životné prostredie a prepojenosť</w:t>
      </w:r>
    </w:p>
    <w:p w:rsidR="00B67CFF" w:rsidRPr="008F69A6" w:rsidP="00B67CFF" w14:paraId="3C9AC35E" w14:textId="77777777">
      <w:pPr>
        <w:pStyle w:val="NormalHanging12a"/>
      </w:pPr>
      <w:r w:rsidRPr="008F69A6">
        <w:t>73.</w:t>
      </w:r>
      <w:r w:rsidRPr="008F69A6">
        <w:tab/>
        <w:t>nabáda Bosnu a Hercegovinu, aby zmodernizovala svoje pravidlá trhu s elektrickou energiou a plynom v súlade s tretím energetickým balíkom EÚ, zabezpečila transparentnosť a prepojila vnútroštátne energetické systémy s regionálnymi sieťami a sieťami EÚ s cieľom zvýšiť efektívnosť a bezpečnosť; naliehavo vyzýva Bosnu a Hercegovinu a jej entity, aby využili nízku závislosť krajiny od plynu na transformáciu na dekarbonizovaný energetický systém a vyhli sa vytváraniu uviaznutých aktív prostredníctvom masívnych investícií do novej rozsiahlej plynárenskej infraštruktúry súčasne s presadzovaním diverzifikácie zásobovania plynom prepojením s členskými štátmi na zníženie závislosti od ruských fosílnych palív;</w:t>
      </w:r>
    </w:p>
    <w:p w:rsidR="00B67CFF" w:rsidRPr="008F69A6" w:rsidP="00B67CFF" w14:paraId="1845C3FE" w14:textId="77777777">
      <w:pPr>
        <w:pStyle w:val="NormalHanging12a"/>
      </w:pPr>
      <w:r w:rsidRPr="008F69A6">
        <w:t>74.</w:t>
      </w:r>
      <w:r w:rsidRPr="008F69A6">
        <w:tab/>
        <w:t>vyzýva Bosnu a Hercegovinu, aby prijala právny predpis v oblasti klímy a stratégie v oblasti životného prostredia, zosúladila ich s environmentálnymi právnymi predpismi EÚ, zabezpečila strategické a transparentné plánovanie investícií vrátane zmysluplnej verejnej účasti, zlepšila ochranu biodiverzity a urýchlila spravodlivú zelenú transformáciu; vyjadruje znepokojenie nad situáciou túlavých zvierat;</w:t>
      </w:r>
    </w:p>
    <w:p w:rsidR="00B67CFF" w:rsidRPr="008F69A6" w:rsidP="00B67CFF" w14:paraId="477CAEC1" w14:textId="77777777">
      <w:pPr>
        <w:pStyle w:val="NormalHanging12a"/>
      </w:pPr>
      <w:r w:rsidRPr="008F69A6">
        <w:t>75.</w:t>
      </w:r>
      <w:r w:rsidRPr="008F69A6">
        <w:tab/>
        <w:t>vyzýva všetky banské subjekty pôsobiace v Bosne a Hercegovine, aby v plnej miere dodržiavali vnútroštátne právne predpisy a uprednostňovali ochranu životného prostredia a verejného zdravia;</w:t>
      </w:r>
    </w:p>
    <w:p w:rsidR="00B67CFF" w:rsidRPr="008F69A6" w:rsidP="00B67CFF" w14:paraId="154906E5" w14:textId="77777777">
      <w:pPr>
        <w:pStyle w:val="NormalHanging12a"/>
      </w:pPr>
      <w:r w:rsidRPr="008F69A6">
        <w:t>76.</w:t>
      </w:r>
      <w:r w:rsidRPr="008F69A6">
        <w:tab/>
        <w:t xml:space="preserve">naliehavo vyzýva Bosnu a Hercegovinu, aby zaviedla integrované hospodárenie s vodami a nakladanie s odpadovými vodami, účinné predchádzanie povodniam a celoštátnu stratégiu boja proti znečisťovaniu ovzdušia, a to aj dodržiavaním záväzkov zatvoriť uhoľné elektrárne </w:t>
      </w:r>
      <w:r w:rsidRPr="008F69A6">
        <w:t>Tuzla</w:t>
      </w:r>
      <w:r w:rsidRPr="008F69A6">
        <w:t xml:space="preserve"> 4 a </w:t>
      </w:r>
      <w:r w:rsidRPr="008F69A6">
        <w:t>Kakanj</w:t>
      </w:r>
      <w:r w:rsidRPr="008F69A6">
        <w:t xml:space="preserve"> 5 a plniť národný plán znižovania emisií podľa Zmluvy o Energetickom spoločenstve;</w:t>
      </w:r>
    </w:p>
    <w:p w:rsidR="00B67CFF" w:rsidRPr="008F69A6" w:rsidP="00B67CFF" w14:paraId="2D9A3E6F" w14:textId="77777777">
      <w:pPr>
        <w:pStyle w:val="NormalHanging12a"/>
      </w:pPr>
      <w:r w:rsidRPr="008F69A6">
        <w:t>77.</w:t>
      </w:r>
      <w:r w:rsidRPr="008F69A6">
        <w:tab/>
        <w:t>vyzýva Bosnu a Hercegovinu, aby zlepšila dopravné siete a cezhraničnú spoluprácu a dosiahla pokrok v kľúčových projektoch regionálnej infraštruktúry a v plnom rozsahu využila dostupné nástroje financovania EÚ; zdôrazňuje strategický význam aktívnej účasti Bosny a Hercegoviny na veľkých projektoch regionálneho prepojenia v oblasti dopravy, energetiky a digitálnych sietí na západnom Balkáne; zdôrazňuje, že tieto projekty podporujú vytváranie odolných dodávateľských reťazcov, znižujú strategické závislosti a rozhodujúcim spôsobom prispievajú k hospodárskej konvergencii, regionálnej integrácii a odolnosti krajiny, cezhraničnej spolupráci, ako aj k jej postupnej integrácii do jednotného trhu EÚ; vyzýva Bosnu a Hercegovinu, aby podporovala aj projekty zamerané na vojenskú mobilitu;</w:t>
      </w:r>
    </w:p>
    <w:p w:rsidR="00182599" w:rsidRPr="008F69A6" w:rsidP="00182599" w14:paraId="7306F04A" w14:textId="6C3D2990">
      <w:pPr>
        <w:pStyle w:val="NormalHanging12a"/>
        <w:ind w:left="0" w:firstLine="0"/>
        <w:jc w:val="center"/>
      </w:pPr>
      <w:r w:rsidRPr="008F69A6">
        <w:t>°</w:t>
      </w:r>
    </w:p>
    <w:p w:rsidR="00182599" w:rsidRPr="008F69A6" w:rsidP="00182599" w14:paraId="4E7A822C" w14:textId="4CE0A8E7">
      <w:pPr>
        <w:pStyle w:val="NormalHanging12a"/>
        <w:ind w:left="0" w:firstLine="0"/>
        <w:jc w:val="center"/>
      </w:pPr>
      <w:r w:rsidRPr="008F69A6">
        <w:t>°     °</w:t>
      </w:r>
    </w:p>
    <w:p w:rsidR="0086253E" w:rsidRPr="008F69A6" w:rsidP="0086253E" w14:paraId="7E8400C5" w14:textId="31B6330B">
      <w:pPr>
        <w:pStyle w:val="NormalHanging12a"/>
      </w:pPr>
      <w:r w:rsidRPr="008F69A6">
        <w:t>78.</w:t>
      </w:r>
      <w:r w:rsidRPr="008F69A6">
        <w:tab/>
        <w:t>poveruje svoju predsedníčku, aby postúpila toto uznesenie podpredsedníčke Komisie/vysokej predstaviteľke Únie pre zahraničné veci a bezpečnostnú politiku, Rade, Komisii, predsedníctvu Bosny a Hercegoviny, Rade ministrov Bosny a Hercegoviny a Parlamentnému zhromaždeniu Bosny a Hercegoviny, vládam a parlamentom entity Federácie Bosny a Hercegoviny, entity Republiky srbskej a dištriktu Brčko a Úradu vysokého predstaviteľa.</w:t>
      </w:r>
    </w:p>
    <w:p w:rsidR="00E365E1" w:rsidRPr="008F69A6" w:rsidP="004D22DB" w14:paraId="5707A120" w14:textId="08603685"/>
    <w:sectPr w:rsidSect="008625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6CB1F89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674F190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4C2F60D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22DB" w:rsidRPr="0086253E" w14:paraId="5FC27435" w14:textId="77777777">
      <w:r w:rsidRPr="0086253E">
        <w:separator/>
      </w:r>
    </w:p>
  </w:footnote>
  <w:footnote w:type="continuationSeparator" w:id="1">
    <w:p w:rsidR="004D22DB" w:rsidRPr="0086253E" w14:paraId="54954BEE" w14:textId="77777777">
      <w:r w:rsidRPr="0086253E">
        <w:continuationSeparator/>
      </w:r>
    </w:p>
  </w:footnote>
  <w:footnote w:id="2">
    <w:p w:rsidR="00B67CFF" w:rsidRPr="007B5B7B" w:rsidP="0086253E" w14:paraId="144379A1" w14:textId="54370542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1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 xml:space="preserve">Ú. v. EÚ L 164, 30.6.2015, s. 2, ELI: </w:t>
      </w:r>
      <w:hyperlink r:id="rId1" w:tgtFrame="http://data.europa.eu/eli/agree_internation/2015/997/oj" w:history="1">
        <w:r w:rsidRPr="007B5B7B">
          <w:rPr>
            <w:rStyle w:val="Hyperlink"/>
            <w:sz w:val="24"/>
            <w:szCs w:val="24"/>
            <w:lang w:val="sk-SK"/>
          </w:rPr>
          <w:t>http://data.europa.eu/eli/agree_internation/2015/997/oj</w:t>
        </w:r>
      </w:hyperlink>
      <w:r w:rsidRPr="007B5B7B">
        <w:rPr>
          <w:sz w:val="24"/>
          <w:szCs w:val="24"/>
          <w:lang w:val="sk-SK"/>
        </w:rPr>
        <w:t>.</w:t>
      </w:r>
    </w:p>
  </w:footnote>
  <w:footnote w:id="3">
    <w:p w:rsidR="00B67CFF" w:rsidRPr="007B5B7B" w:rsidP="0086253E" w14:paraId="7B9DC331" w14:textId="6C1F3BEE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2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 xml:space="preserve">Ú. v. EÚ L 330, 20.9.2021, s. </w:t>
      </w:r>
      <w:r w:rsidRPr="007B5B7B">
        <w:rPr>
          <w:sz w:val="24"/>
          <w:szCs w:val="24"/>
          <w:lang w:val="sk-SK"/>
        </w:rPr>
        <w:t xml:space="preserve">1, ELI: </w:t>
      </w:r>
      <w:hyperlink r:id="rId2" w:tgtFrame="http://data.europa.eu/eli/reg/2021/1529/oj" w:history="1">
        <w:r w:rsidRPr="007B5B7B">
          <w:rPr>
            <w:rStyle w:val="Hyperlink"/>
            <w:sz w:val="24"/>
            <w:szCs w:val="24"/>
            <w:lang w:val="sk-SK"/>
          </w:rPr>
          <w:t>http://data.europa.eu/eli/reg/2021/1529/oj</w:t>
        </w:r>
      </w:hyperlink>
      <w:r w:rsidRPr="007B5B7B">
        <w:rPr>
          <w:sz w:val="24"/>
          <w:szCs w:val="24"/>
          <w:lang w:val="sk-SK"/>
        </w:rPr>
        <w:t>.</w:t>
      </w:r>
    </w:p>
  </w:footnote>
  <w:footnote w:id="4">
    <w:p w:rsidR="00B67CFF" w:rsidRPr="007B5B7B" w:rsidP="0086253E" w14:paraId="6E56275C" w14:textId="6A38A7ED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3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 xml:space="preserve">Ú. v. </w:t>
      </w:r>
      <w:r w:rsidRPr="007B5B7B">
        <w:rPr>
          <w:sz w:val="24"/>
          <w:szCs w:val="24"/>
          <w:lang w:val="sk-SK"/>
        </w:rPr>
        <w:t xml:space="preserve">EÚ L, 2024/1449, 24.5.2024, ELI: </w:t>
      </w:r>
      <w:hyperlink r:id="rId3" w:tgtFrame="http://data.europa.eu/eli/reg/2024/1449/oj" w:history="1">
        <w:r w:rsidRPr="007B5B7B">
          <w:rPr>
            <w:rStyle w:val="Hyperlink"/>
            <w:sz w:val="24"/>
            <w:szCs w:val="24"/>
            <w:lang w:val="sk-SK"/>
          </w:rPr>
          <w:t>http://data.europa.eu/eli/reg/2024/1449/oj</w:t>
        </w:r>
      </w:hyperlink>
      <w:r w:rsidRPr="007B5B7B">
        <w:rPr>
          <w:sz w:val="24"/>
          <w:szCs w:val="24"/>
          <w:lang w:val="sk-SK"/>
        </w:rPr>
        <w:t>.</w:t>
      </w:r>
    </w:p>
  </w:footnote>
  <w:footnote w:id="5">
    <w:p w:rsidR="00B67CFF" w:rsidRPr="007B5B7B" w:rsidP="0086253E" w14:paraId="7A30D84C" w14:textId="6F7FE1E0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4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>Prijaté texty, P10_TA(2026)0077.</w:t>
      </w:r>
    </w:p>
  </w:footnote>
  <w:footnote w:id="6">
    <w:p w:rsidR="00B67CFF" w:rsidRPr="007B5B7B" w:rsidP="0086253E" w14:paraId="3EE6E0C2" w14:textId="2AEA8A98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5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>Nariadenie Európskeho parlamentu a Rady (EÚ) 2022/2065 z 19. októbra 2022 o jednotnom trhu s digitálnymi službami a o zmene smernice 2000/31/ES (akt o digitálnych službách) (Ú. v. EÚ L 277, 27.10.2022, s. </w:t>
      </w:r>
      <w:r w:rsidRPr="007B5B7B">
        <w:rPr>
          <w:sz w:val="24"/>
          <w:szCs w:val="24"/>
          <w:lang w:val="sk-SK"/>
        </w:rPr>
        <w:t xml:space="preserve">1, ELI: </w:t>
      </w:r>
      <w:hyperlink r:id="rId4" w:tgtFrame="http://data.europa.eu/eli/reg/2022/2065/oj" w:history="1">
        <w:r w:rsidRPr="007B5B7B">
          <w:rPr>
            <w:rStyle w:val="Hyperlink"/>
            <w:sz w:val="24"/>
            <w:szCs w:val="24"/>
            <w:lang w:val="sk-SK"/>
          </w:rPr>
          <w:t>http://data.europa.eu/eli/reg/2022/2065/oj</w:t>
        </w:r>
      </w:hyperlink>
      <w:r w:rsidRPr="007B5B7B">
        <w:rPr>
          <w:sz w:val="24"/>
          <w:szCs w:val="24"/>
          <w:lang w:val="sk-SK"/>
        </w:rPr>
        <w:t>).</w:t>
      </w:r>
    </w:p>
  </w:footnote>
  <w:footnote w:id="7">
    <w:p w:rsidR="00B67CFF" w:rsidRPr="007B5B7B" w:rsidP="0086253E" w14:paraId="3A4943C6" w14:textId="44AE07E4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6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 xml:space="preserve">Rozhodnutie Rady (EÚ) 2015/1900 z 5. októbra 2015, ktorým sa stanovuje pozícia, ktorá sa má v mene Európskej únie zaujať v Rade pre stabilizáciu a pridruženie zriadenej Dohodou o stabilizácii a pridružení medzi Európskymi spoločenstvami a ich členskými štátmi na jednej strane a Bosnou a Hercegovinou na strane druhej v súvislosti s rozhodnutím Rady pre stabilizáciu a pridruženie, ktorým sa prijíma jej rokovací poriadok (Ú. v. EÚ L 277, 22.10.2015, s. </w:t>
      </w:r>
      <w:r w:rsidRPr="007B5B7B">
        <w:rPr>
          <w:sz w:val="24"/>
          <w:szCs w:val="24"/>
          <w:lang w:val="sk-SK"/>
        </w:rPr>
        <w:t xml:space="preserve">17, ELI: </w:t>
      </w:r>
      <w:hyperlink r:id="rId5" w:tgtFrame="http://data.europa.eu/eli/dec/2015/1900/oj" w:history="1">
        <w:r w:rsidRPr="007B5B7B">
          <w:rPr>
            <w:rStyle w:val="Hyperlink"/>
            <w:sz w:val="24"/>
            <w:szCs w:val="24"/>
            <w:lang w:val="sk-SK"/>
          </w:rPr>
          <w:t>http://data.europa.eu/eli/dec/2015/1900/oj</w:t>
        </w:r>
      </w:hyperlink>
      <w:r w:rsidRPr="007B5B7B">
        <w:rPr>
          <w:sz w:val="24"/>
          <w:szCs w:val="24"/>
          <w:lang w:val="sk-SK"/>
        </w:rPr>
        <w:t>).</w:t>
      </w:r>
    </w:p>
  </w:footnote>
  <w:footnote w:id="8">
    <w:p w:rsidR="00B67CFF" w:rsidRPr="007B5B7B" w:rsidP="0086253E" w14:paraId="27B9DFD8" w14:textId="26DA16C5">
      <w:pPr>
        <w:pStyle w:val="FootnoteText"/>
        <w:ind w:left="567" w:hanging="567"/>
        <w:rPr>
          <w:sz w:val="24"/>
          <w:szCs w:val="24"/>
          <w:lang w:val="sk-SK"/>
        </w:rPr>
      </w:pPr>
      <w:r w:rsidRPr="007B5B7B">
        <w:rPr>
          <w:rStyle w:val="FootnoteReference"/>
          <w:sz w:val="24"/>
          <w:szCs w:val="24"/>
          <w:lang w:val="sk-SK"/>
        </w:rPr>
        <w:t>7</w:t>
      </w:r>
      <w:r w:rsidRPr="007B5B7B" w:rsidR="0086253E">
        <w:rPr>
          <w:sz w:val="24"/>
          <w:szCs w:val="24"/>
          <w:lang w:val="sk-SK"/>
        </w:rPr>
        <w:t xml:space="preserve"> </w:t>
      </w:r>
      <w:r w:rsidRPr="007B5B7B" w:rsidR="0086253E">
        <w:rPr>
          <w:sz w:val="24"/>
          <w:szCs w:val="24"/>
          <w:lang w:val="sk-SK"/>
        </w:rPr>
        <w:tab/>
      </w:r>
      <w:r w:rsidRPr="007B5B7B">
        <w:rPr>
          <w:sz w:val="24"/>
          <w:szCs w:val="24"/>
          <w:lang w:val="sk-SK"/>
        </w:rPr>
        <w:t>Nariadenie Európskeho parlamentu a Rady (EÚ) 2024/1083 z 11. apríla 2024, ktorým sa stanovuje spoločný rámec pre mediálne služby na vnútornom trhu a mení smernica 2010/13/EÚ (Európsky akt o slobode médií) (Ú. v. </w:t>
      </w:r>
      <w:r w:rsidRPr="007B5B7B">
        <w:rPr>
          <w:sz w:val="24"/>
          <w:szCs w:val="24"/>
          <w:lang w:val="sk-SK"/>
        </w:rPr>
        <w:t xml:space="preserve">EÚ L, 2024/1083, 17.4.2024, ELI: </w:t>
      </w:r>
      <w:hyperlink r:id="rId6" w:tgtFrame="http://data.europa.eu/eli/reg/2024/1083/oj" w:history="1">
        <w:r w:rsidRPr="007B5B7B">
          <w:rPr>
            <w:rStyle w:val="Hyperlink"/>
            <w:sz w:val="24"/>
            <w:szCs w:val="24"/>
            <w:lang w:val="sk-SK"/>
          </w:rPr>
          <w:t>http://data.europa.eu/eli/reg/2024/1083/oj</w:t>
        </w:r>
      </w:hyperlink>
      <w:r w:rsidRPr="007B5B7B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190CB33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10106A7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253E" w14:paraId="2C653E8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1695570">
    <w:abstractNumId w:val="9"/>
  </w:num>
  <w:num w:numId="2" w16cid:durableId="25182285">
    <w:abstractNumId w:val="9"/>
  </w:num>
  <w:num w:numId="3" w16cid:durableId="757404012">
    <w:abstractNumId w:val="7"/>
  </w:num>
  <w:num w:numId="4" w16cid:durableId="1156455154">
    <w:abstractNumId w:val="7"/>
  </w:num>
  <w:num w:numId="5" w16cid:durableId="445466743">
    <w:abstractNumId w:val="6"/>
  </w:num>
  <w:num w:numId="6" w16cid:durableId="1884904958">
    <w:abstractNumId w:val="6"/>
  </w:num>
  <w:num w:numId="7" w16cid:durableId="878198886">
    <w:abstractNumId w:val="5"/>
  </w:num>
  <w:num w:numId="8" w16cid:durableId="237793795">
    <w:abstractNumId w:val="5"/>
  </w:num>
  <w:num w:numId="9" w16cid:durableId="240530754">
    <w:abstractNumId w:val="4"/>
  </w:num>
  <w:num w:numId="10" w16cid:durableId="485707109">
    <w:abstractNumId w:val="4"/>
  </w:num>
  <w:num w:numId="11" w16cid:durableId="2064476654">
    <w:abstractNumId w:val="8"/>
  </w:num>
  <w:num w:numId="12" w16cid:durableId="1273785950">
    <w:abstractNumId w:val="8"/>
  </w:num>
  <w:num w:numId="13" w16cid:durableId="1042946308">
    <w:abstractNumId w:val="3"/>
  </w:num>
  <w:num w:numId="14" w16cid:durableId="1033379610">
    <w:abstractNumId w:val="3"/>
  </w:num>
  <w:num w:numId="15" w16cid:durableId="949581431">
    <w:abstractNumId w:val="2"/>
  </w:num>
  <w:num w:numId="16" w16cid:durableId="849027413">
    <w:abstractNumId w:val="2"/>
  </w:num>
  <w:num w:numId="17" w16cid:durableId="1327829374">
    <w:abstractNumId w:val="1"/>
  </w:num>
  <w:num w:numId="18" w16cid:durableId="1655834892">
    <w:abstractNumId w:val="1"/>
  </w:num>
  <w:num w:numId="19" w16cid:durableId="1215389118">
    <w:abstractNumId w:val="0"/>
  </w:num>
  <w:num w:numId="20" w16cid:durableId="1182428794">
    <w:abstractNumId w:val="0"/>
  </w:num>
  <w:num w:numId="21" w16cid:durableId="820386292">
    <w:abstractNumId w:val="9"/>
  </w:num>
  <w:num w:numId="22" w16cid:durableId="1510683276">
    <w:abstractNumId w:val="7"/>
  </w:num>
  <w:num w:numId="23" w16cid:durableId="1215237824">
    <w:abstractNumId w:val="6"/>
  </w:num>
  <w:num w:numId="24" w16cid:durableId="683479295">
    <w:abstractNumId w:val="5"/>
  </w:num>
  <w:num w:numId="25" w16cid:durableId="1830099926">
    <w:abstractNumId w:val="4"/>
  </w:num>
  <w:num w:numId="26" w16cid:durableId="481776178">
    <w:abstractNumId w:val="8"/>
  </w:num>
  <w:num w:numId="27" w16cid:durableId="1438212858">
    <w:abstractNumId w:val="3"/>
  </w:num>
  <w:num w:numId="28" w16cid:durableId="791241996">
    <w:abstractNumId w:val="2"/>
  </w:num>
  <w:num w:numId="29" w16cid:durableId="406730349">
    <w:abstractNumId w:val="1"/>
  </w:num>
  <w:num w:numId="30" w16cid:durableId="245117978">
    <w:abstractNumId w:val="0"/>
  </w:num>
  <w:num w:numId="31" w16cid:durableId="2146269895">
    <w:abstractNumId w:val="9"/>
  </w:num>
  <w:num w:numId="32" w16cid:durableId="1562868545">
    <w:abstractNumId w:val="7"/>
  </w:num>
  <w:num w:numId="33" w16cid:durableId="100806831">
    <w:abstractNumId w:val="6"/>
  </w:num>
  <w:num w:numId="34" w16cid:durableId="2145267477">
    <w:abstractNumId w:val="5"/>
  </w:num>
  <w:num w:numId="35" w16cid:durableId="237253641">
    <w:abstractNumId w:val="4"/>
  </w:num>
  <w:num w:numId="36" w16cid:durableId="783353101">
    <w:abstractNumId w:val="8"/>
  </w:num>
  <w:num w:numId="37" w16cid:durableId="2032682657">
    <w:abstractNumId w:val="3"/>
  </w:num>
  <w:num w:numId="38" w16cid:durableId="573786549">
    <w:abstractNumId w:val="2"/>
  </w:num>
  <w:num w:numId="39" w16cid:durableId="549922753">
    <w:abstractNumId w:val="1"/>
  </w:num>
  <w:num w:numId="40" w16cid:durableId="1396395624">
    <w:abstractNumId w:val="0"/>
  </w:num>
  <w:num w:numId="41" w16cid:durableId="1809349729">
    <w:abstractNumId w:val="10"/>
  </w:num>
  <w:num w:numId="42" w16cid:durableId="317076789">
    <w:abstractNumId w:val="10"/>
  </w:num>
  <w:num w:numId="43" w16cid:durableId="1067916972">
    <w:abstractNumId w:val="10"/>
  </w:num>
  <w:num w:numId="44" w16cid:durableId="7371723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DB"/>
    <w:rsid w:val="00002272"/>
    <w:rsid w:val="00064002"/>
    <w:rsid w:val="000677B9"/>
    <w:rsid w:val="000831BA"/>
    <w:rsid w:val="000A42CC"/>
    <w:rsid w:val="000E7DD9"/>
    <w:rsid w:val="0010095E"/>
    <w:rsid w:val="00125B37"/>
    <w:rsid w:val="0018259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2D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B7B"/>
    <w:rsid w:val="007D1690"/>
    <w:rsid w:val="007E22AD"/>
    <w:rsid w:val="00817416"/>
    <w:rsid w:val="00842779"/>
    <w:rsid w:val="0086253E"/>
    <w:rsid w:val="00865F67"/>
    <w:rsid w:val="00881A7B"/>
    <w:rsid w:val="008840E5"/>
    <w:rsid w:val="00887B3E"/>
    <w:rsid w:val="008C2AC6"/>
    <w:rsid w:val="008F69A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CF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A10-0165/2026"/>
    <w:docVar w:name="dvlangue" w:val="SK"/>
    <w:docVar w:name="dvnumam" w:val="0"/>
    <w:docVar w:name="dvpe" w:val="785.353"/>
    <w:docVar w:name="dvrapporteur" w:val="Spravodajca: "/>
    <w:docVar w:name="dvtitre" w:val="Uznesenie Európskeho parlamentu z/zo xx. xxx 2026 o správe Komisie o Bosne a Hercegovine za rok 2025(2025/225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D28EA3"/>
  <w15:chartTrackingRefBased/>
  <w15:docId w15:val="{142C6787-2CDF-4E49-9400-43029DD2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B67CF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B67CF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B67CF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B67CF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B67CF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B67CFF"/>
    <w:rPr>
      <w:color w:val="0000FF"/>
      <w:u w:val="single"/>
    </w:rPr>
  </w:style>
  <w:style w:type="paragraph" w:styleId="Revision">
    <w:name w:val="Revision"/>
    <w:hidden/>
    <w:uiPriority w:val="99"/>
    <w:semiHidden/>
    <w:rsid w:val="007B5B7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5/997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2/2065/oj" TargetMode="External" /><Relationship Id="rId5" Type="http://schemas.openxmlformats.org/officeDocument/2006/relationships/hyperlink" Target="http://data.europa.eu/eli/dec/2015/1900/oj" TargetMode="External" /><Relationship Id="rId6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6855</Words>
  <Characters>44049</Characters>
  <Application>Microsoft Office Word</Application>
  <DocSecurity>0</DocSecurity>
  <Lines>1835</Lines>
  <Paragraphs>652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2026-06-17T09:23:00Z</dcterms:created>
  <dcterms:modified xsi:type="dcterms:W3CDTF">2026-06-17T09:23:00Z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A10-0165/2026</vt:lpwstr>
  </property>
  <property fmtid="{D5CDD505-2E9C-101B-9397-08002B2CF9AE}" pid="4" name="&lt;Type&gt;">
    <vt:lpwstr>RR</vt:lpwstr>
  </property>
</Properties>
</file>