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DFBCF89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173B5" w:rsidP="0010095E" w14:paraId="37D9159E" w14:textId="77777777">
            <w:pPr>
              <w:pStyle w:val="EPName"/>
            </w:pPr>
            <w:r w:rsidRPr="004173B5">
              <w:t>Evropský parlament</w:t>
            </w:r>
          </w:p>
          <w:p w:rsidR="00751A4A" w:rsidRPr="004173B5" w:rsidP="005F1B17" w14:paraId="1E1F22EC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173B5">
              <w:t>2024</w:t>
            </w:r>
            <w:r w:rsidRPr="004173B5" w:rsidR="00817416">
              <w:t>-202</w:t>
            </w:r>
            <w:r w:rsidRPr="004173B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173B5" w:rsidP="0010095E" w14:paraId="2B8B6704" w14:textId="77777777">
            <w:pPr>
              <w:pStyle w:val="EPLogo"/>
            </w:pPr>
            <w:r w:rsidRPr="004173B5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173B5" w:rsidP="004C5D52" w14:paraId="60556E65" w14:textId="77777777">
      <w:pPr>
        <w:pStyle w:val="LineTop"/>
      </w:pPr>
    </w:p>
    <w:p w:rsidR="00680577" w:rsidRPr="004173B5" w:rsidP="00680577" w14:paraId="4878F84D" w14:textId="77777777">
      <w:pPr>
        <w:pStyle w:val="EPBodyTA1"/>
      </w:pPr>
      <w:r w:rsidRPr="004173B5">
        <w:t>PŘIJATÉ TEXTY</w:t>
      </w:r>
    </w:p>
    <w:p w:rsidR="00D058B8" w:rsidRPr="004173B5" w:rsidP="00D058B8" w14:paraId="63DA731E" w14:textId="77777777">
      <w:pPr>
        <w:pStyle w:val="LineBottom"/>
      </w:pPr>
    </w:p>
    <w:p w:rsidR="00F3528D" w:rsidRPr="009646DE" w:rsidP="00F3528D" w14:paraId="4E7F3B3C" w14:textId="5130742D">
      <w:pPr>
        <w:pStyle w:val="ATHeading1"/>
      </w:pPr>
      <w:bookmarkStart w:id="0" w:name="TANumber"/>
      <w:r w:rsidRPr="009646DE">
        <w:t>P10_TA(2026)0</w:t>
      </w:r>
      <w:r w:rsidR="002C54B6">
        <w:t>22</w:t>
      </w:r>
      <w:r w:rsidRPr="009646DE">
        <w:t>0</w:t>
      </w:r>
      <w:bookmarkEnd w:id="0"/>
    </w:p>
    <w:p w:rsidR="00F3528D" w:rsidRPr="009646DE" w:rsidP="00F3528D" w14:paraId="021057E0" w14:textId="77777777">
      <w:pPr>
        <w:pStyle w:val="ATHeading2"/>
      </w:pPr>
      <w:bookmarkStart w:id="1" w:name="title"/>
      <w:r w:rsidRPr="009646DE">
        <w:t>Zpráva Komise o Kosovu za rok 2025</w:t>
      </w:r>
      <w:bookmarkEnd w:id="1"/>
    </w:p>
    <w:p w:rsidR="00F3528D" w:rsidRPr="004173B5" w:rsidP="00F3528D" w14:paraId="4807CF24" w14:textId="77777777">
      <w:pPr>
        <w:rPr>
          <w:i/>
          <w:vanish/>
        </w:rPr>
      </w:pPr>
      <w:r>
        <w:rPr>
          <w:i/>
        </w:rPr>
        <w:fldChar w:fldCharType="begin"/>
      </w:r>
      <w:r w:rsidRPr="004173B5">
        <w:rPr>
          <w:i/>
        </w:rPr>
        <w:instrText xml:space="preserve"> TC"(</w:instrText>
      </w:r>
      <w:bookmarkStart w:id="2" w:name="DocNumber"/>
      <w:r w:rsidRPr="004173B5">
        <w:rPr>
          <w:i/>
        </w:rPr>
        <w:instrText>A10-0166/2026</w:instrText>
      </w:r>
      <w:bookmarkEnd w:id="2"/>
      <w:r w:rsidRPr="004173B5">
        <w:rPr>
          <w:i/>
        </w:rPr>
        <w:instrText xml:space="preserve"> - Zpravodaj: </w:instrText>
      </w:r>
      <w:r w:rsidRPr="004173B5">
        <w:rPr>
          <w:i/>
        </w:rPr>
        <w:instrText>Riho</w:instrText>
      </w:r>
      <w:r w:rsidRPr="004173B5">
        <w:rPr>
          <w:i/>
        </w:rPr>
        <w:instrText xml:space="preserve"> </w:instrText>
      </w:r>
      <w:r w:rsidRPr="004173B5">
        <w:rPr>
          <w:i/>
        </w:rPr>
        <w:instrText>Terras</w:instrText>
      </w:r>
      <w:r w:rsidRPr="004173B5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F3528D" w:rsidRPr="004173B5" w:rsidP="00F3528D" w14:paraId="6EA27CB5" w14:textId="77777777">
      <w:pPr>
        <w:rPr>
          <w:vanish/>
        </w:rPr>
      </w:pPr>
      <w:bookmarkStart w:id="3" w:name="Commission"/>
      <w:r w:rsidRPr="004173B5">
        <w:rPr>
          <w:vanish/>
        </w:rPr>
        <w:t>Výbor pro zahraniční věci</w:t>
      </w:r>
      <w:bookmarkEnd w:id="3"/>
    </w:p>
    <w:p w:rsidR="00F3528D" w:rsidRPr="004173B5" w:rsidP="00F3528D" w14:paraId="6A971A6C" w14:textId="77777777">
      <w:pPr>
        <w:rPr>
          <w:vanish/>
        </w:rPr>
      </w:pPr>
      <w:bookmarkStart w:id="4" w:name="PE"/>
      <w:r w:rsidRPr="004173B5">
        <w:rPr>
          <w:vanish/>
        </w:rPr>
        <w:t>PE784.231</w:t>
      </w:r>
      <w:bookmarkEnd w:id="4"/>
    </w:p>
    <w:p w:rsidR="00F3528D" w:rsidRPr="009646DE" w:rsidP="00F3528D" w14:paraId="41DD8603" w14:textId="77777777">
      <w:pPr>
        <w:pStyle w:val="ATHeading3"/>
      </w:pPr>
      <w:bookmarkStart w:id="5" w:name="Sujet"/>
      <w:r w:rsidRPr="009646DE">
        <w:t>Usnesení Evropského parlamentu ze dne 17. června 2026 o zprávě Komise o Kosovu za rok 2025</w:t>
      </w:r>
      <w:bookmarkEnd w:id="5"/>
      <w:r w:rsidRPr="009646DE">
        <w:t xml:space="preserve"> </w:t>
      </w:r>
      <w:bookmarkStart w:id="6" w:name="References"/>
      <w:r w:rsidRPr="009646DE">
        <w:t>(2025/2252(INI))</w:t>
      </w:r>
      <w:bookmarkEnd w:id="6"/>
    </w:p>
    <w:p w:rsidR="00B17FBC" w:rsidRPr="004173B5" w:rsidP="00B17FBC" w14:paraId="41FE2723" w14:textId="77777777">
      <w:pPr>
        <w:pStyle w:val="EPComma"/>
      </w:pPr>
      <w:r w:rsidRPr="004173B5">
        <w:rPr>
          <w:i/>
        </w:rPr>
        <w:t>Evropský parlament</w:t>
      </w:r>
      <w:r w:rsidRPr="004173B5">
        <w:t>,</w:t>
      </w:r>
    </w:p>
    <w:p w:rsidR="00B17FBC" w:rsidRPr="004173B5" w:rsidP="004A16A4" w14:paraId="4E305250" w14:textId="77777777">
      <w:pPr>
        <w:pStyle w:val="NormalHanging12a"/>
      </w:pPr>
      <w:r w:rsidRPr="004173B5">
        <w:t>–</w:t>
      </w:r>
      <w:r w:rsidRPr="004173B5">
        <w:tab/>
        <w:t>s ohledem na Dohodu o stabilizaci a přidružení mezi Evropskou unií a Evropským společenstvím pro atomovou energii na jedné straně a Kosovem na straně druhé</w:t>
      </w:r>
      <w:r>
        <w:rPr>
          <w:rStyle w:val="FootnoteReference"/>
        </w:rPr>
        <w:footnoteReference w:id="2"/>
      </w:r>
      <w:r w:rsidRPr="004173B5">
        <w:t>, která je v platnosti ode dne 1. dubna 2016,</w:t>
      </w:r>
    </w:p>
    <w:p w:rsidR="00B17FBC" w:rsidRPr="004173B5" w:rsidP="004A16A4" w14:paraId="2ED2B6C8" w14:textId="77777777">
      <w:pPr>
        <w:pStyle w:val="NormalHanging12a"/>
      </w:pPr>
      <w:r w:rsidRPr="004173B5">
        <w:t>–</w:t>
      </w:r>
      <w:r w:rsidRPr="004173B5">
        <w:tab/>
        <w:t>s ohledem na žádost Kosova o členství v Evropské unii ze dne 15. prosince 2022,</w:t>
      </w:r>
    </w:p>
    <w:p w:rsidR="00B17FBC" w:rsidRPr="004173B5" w:rsidP="004A16A4" w14:paraId="64BAE9D3" w14:textId="77777777">
      <w:pPr>
        <w:pStyle w:val="NormalHanging12a"/>
      </w:pPr>
      <w:r w:rsidRPr="004173B5">
        <w:t>–</w:t>
      </w:r>
      <w:r w:rsidRPr="004173B5">
        <w:tab/>
        <w:t>s ohledem na žádost Kosova o členství v Radě Evropy ze dne 12. května 2022,</w:t>
      </w:r>
    </w:p>
    <w:p w:rsidR="00B17FBC" w:rsidRPr="004173B5" w:rsidP="004A16A4" w14:paraId="71A93551" w14:textId="77777777">
      <w:pPr>
        <w:pStyle w:val="NormalHanging12a"/>
      </w:pPr>
      <w:r w:rsidRPr="004173B5">
        <w:t>–</w:t>
      </w:r>
      <w:r w:rsidRPr="004173B5">
        <w:tab/>
        <w:t>s ohledem na rámcovou dohodu mezi Evropskou unií a Kosovem o obecných zásadách účasti Kosova na programech Unie</w:t>
      </w:r>
      <w:r>
        <w:rPr>
          <w:rStyle w:val="FootnoteReference"/>
        </w:rPr>
        <w:footnoteReference w:id="3"/>
      </w:r>
      <w:r w:rsidRPr="004173B5">
        <w:t>, která je v platnosti od 1. srpna 2017,</w:t>
      </w:r>
    </w:p>
    <w:p w:rsidR="00B17FBC" w:rsidRPr="004173B5" w:rsidP="004A16A4" w14:paraId="036F5353" w14:textId="77777777">
      <w:pPr>
        <w:pStyle w:val="NormalHanging12a"/>
      </w:pPr>
      <w:r w:rsidRPr="004173B5">
        <w:t>–</w:t>
      </w:r>
      <w:r w:rsidRPr="004173B5">
        <w:tab/>
        <w:t>s ohledem na nařízení Evropského parlamentu a Rady (EU) 2021/1529 ze dne 15. září 2021, kterým se zřizuje Nástroj předvstupní pomoci (NPP III)</w:t>
      </w:r>
      <w:r>
        <w:rPr>
          <w:rStyle w:val="FootnoteReference"/>
        </w:rPr>
        <w:footnoteReference w:id="4"/>
      </w:r>
      <w:r w:rsidRPr="004173B5">
        <w:t>,</w:t>
      </w:r>
    </w:p>
    <w:p w:rsidR="00B17FBC" w:rsidRPr="004173B5" w:rsidP="004A16A4" w14:paraId="60DC4408" w14:textId="77777777">
      <w:pPr>
        <w:pStyle w:val="NormalHanging12a"/>
      </w:pPr>
      <w:r w:rsidRPr="004173B5">
        <w:t>–</w:t>
      </w:r>
      <w:r w:rsidRPr="004173B5">
        <w:tab/>
        <w:t>s ohledem na nařízení Evropského parlamentu a Rady (EU) 2023/850 ze dne 19. dubna 2023, kterým se mění nařízení (EU) 2018/1806, kterým se stanoví seznam třetích zemí, jejichž státní příslušníci musí mít při překračování vnějších hranic vízum, jakož i seznam třetích zemí, jejichž státní příslušníci jsou od této povinnosti osvobozeni</w:t>
      </w:r>
      <w:r>
        <w:rPr>
          <w:rStyle w:val="FootnoteReference"/>
        </w:rPr>
        <w:footnoteReference w:id="5"/>
      </w:r>
      <w:r w:rsidRPr="004173B5">
        <w:t>, pokud jde o Kosovo a umožnění bezvízového styku pro držitele kosovských biometrických pasů od 1. ledna 2024,</w:t>
      </w:r>
    </w:p>
    <w:p w:rsidR="00B17FBC" w:rsidRPr="004173B5" w:rsidP="004A16A4" w14:paraId="7D2ADF8A" w14:textId="77777777">
      <w:pPr>
        <w:pStyle w:val="NormalHanging12a"/>
      </w:pPr>
      <w:r w:rsidRPr="004173B5">
        <w:t>–</w:t>
      </w:r>
      <w:r w:rsidRPr="004173B5">
        <w:tab/>
        <w:t xml:space="preserve">s ohledem na nařízení Evropského parlamentu a Rady (EU) 2024/1449 ze dne </w:t>
      </w:r>
      <w:r w:rsidRPr="004173B5">
        <w:t>14. května 2024 o zřízení nástroje pro reformy a růst pro země západního Balkánu</w:t>
      </w:r>
      <w:r>
        <w:rPr>
          <w:rStyle w:val="FootnoteReference"/>
        </w:rPr>
        <w:footnoteReference w:id="6"/>
      </w:r>
      <w:r w:rsidRPr="004173B5">
        <w:t>,</w:t>
      </w:r>
    </w:p>
    <w:p w:rsidR="00B17FBC" w:rsidRPr="004173B5" w:rsidP="004A16A4" w14:paraId="70CE9BE7" w14:textId="77777777">
      <w:pPr>
        <w:pStyle w:val="NormalHanging12a"/>
      </w:pPr>
      <w:r w:rsidRPr="004173B5">
        <w:t>–</w:t>
      </w:r>
      <w:r w:rsidRPr="004173B5">
        <w:tab/>
        <w:t>s ohledem na závěry předsednictví ze zasedání Evropské rady v Soluni ve dnech 19. a 20. června 2003,</w:t>
      </w:r>
    </w:p>
    <w:p w:rsidR="00B17FBC" w:rsidRPr="004173B5" w:rsidP="004A16A4" w14:paraId="413FE6FA" w14:textId="77777777">
      <w:pPr>
        <w:pStyle w:val="NormalHanging12a"/>
      </w:pPr>
      <w:r w:rsidRPr="004173B5">
        <w:t>–</w:t>
      </w:r>
      <w:r w:rsidRPr="004173B5">
        <w:tab/>
        <w:t xml:space="preserve">s ohledem na summity EU se zeměmi západního Balkánu, které se konaly v Sofii, Záhřebu a Brdu </w:t>
      </w:r>
      <w:r w:rsidRPr="004173B5">
        <w:t>pri</w:t>
      </w:r>
      <w:r w:rsidRPr="004173B5">
        <w:t xml:space="preserve"> </w:t>
      </w:r>
      <w:r w:rsidRPr="004173B5">
        <w:t>Kranju</w:t>
      </w:r>
      <w:r w:rsidRPr="004173B5">
        <w:t xml:space="preserve"> v letech 2018, 2020, resp. 2021, a na příslušná prohlášení z těchto summitů,</w:t>
      </w:r>
    </w:p>
    <w:p w:rsidR="00B17FBC" w:rsidRPr="004173B5" w:rsidP="004A16A4" w14:paraId="4B8CDA9D" w14:textId="77777777">
      <w:pPr>
        <w:pStyle w:val="NormalHanging12a"/>
      </w:pPr>
      <w:r w:rsidRPr="004173B5">
        <w:t>–</w:t>
      </w:r>
      <w:r w:rsidRPr="004173B5">
        <w:tab/>
        <w:t>s ohledem na setkání vedoucích představitelů zemí západního Balkánu, které se konalo dne 1. července 2025 ve Skopje v Severní Makedonii a týkalo se plánu růstu pro západní Balkán,</w:t>
      </w:r>
    </w:p>
    <w:p w:rsidR="00B17FBC" w:rsidRPr="004173B5" w:rsidP="004A16A4" w14:paraId="75AB920C" w14:textId="77777777">
      <w:pPr>
        <w:pStyle w:val="NormalHanging12a"/>
      </w:pPr>
      <w:r w:rsidRPr="004173B5">
        <w:t>–</w:t>
      </w:r>
      <w:r w:rsidRPr="004173B5">
        <w:tab/>
        <w:t>s ohledem na prohlášení přijaté na summitu EU a zemí západního Balkánu dne 17. prosince 2025,</w:t>
      </w:r>
    </w:p>
    <w:p w:rsidR="00B17FBC" w:rsidRPr="004173B5" w:rsidP="004A16A4" w14:paraId="520ECE78" w14:textId="77777777">
      <w:pPr>
        <w:pStyle w:val="NormalHanging12a"/>
      </w:pPr>
      <w:r w:rsidRPr="004173B5">
        <w:t>–</w:t>
      </w:r>
      <w:r w:rsidRPr="004173B5">
        <w:tab/>
        <w:t>s ohledem na závěry předsednictví Rady ze dne 16. prosince 2025 o rozšíření,</w:t>
      </w:r>
    </w:p>
    <w:p w:rsidR="00B17FBC" w:rsidRPr="004173B5" w:rsidP="004A16A4" w14:paraId="1D13B207" w14:textId="77777777">
      <w:pPr>
        <w:pStyle w:val="NormalHanging12a"/>
      </w:pPr>
      <w:r w:rsidRPr="004173B5">
        <w:t>–</w:t>
      </w:r>
      <w:r w:rsidRPr="004173B5">
        <w:tab/>
        <w:t>s ohledem na berlínský proces zahájený dne 28. srpna 2014,</w:t>
      </w:r>
    </w:p>
    <w:p w:rsidR="00B17FBC" w:rsidRPr="004173B5" w:rsidP="004A16A4" w14:paraId="17A1879E" w14:textId="77777777">
      <w:pPr>
        <w:pStyle w:val="NormalHanging12a"/>
      </w:pPr>
      <w:r w:rsidRPr="004173B5">
        <w:t>–</w:t>
      </w:r>
      <w:r w:rsidRPr="004173B5">
        <w:tab/>
        <w:t>s ohledem na závěry předsedy ze summitu o berlínském procesu, který se konal dne 22. října 2025,</w:t>
      </w:r>
    </w:p>
    <w:p w:rsidR="00B17FBC" w:rsidRPr="004173B5" w:rsidP="004A16A4" w14:paraId="2ADC8068" w14:textId="77777777">
      <w:pPr>
        <w:pStyle w:val="NormalHanging12a"/>
      </w:pPr>
      <w:r w:rsidRPr="004173B5">
        <w:t>–</w:t>
      </w:r>
      <w:r w:rsidRPr="004173B5">
        <w:tab/>
        <w:t>s ohledem na sdělení Komise ze dne 6. října 2020 nazvané „Hospodářský a investiční plán pro západní Balkán“ (</w:t>
      </w:r>
      <w:hyperlink r:id="rId7" w:tgtFrame="https://eur-lex.europa.eu/legal-content/EN/ALL/?uri=CELEX:52020DC0641" w:history="1">
        <w:r w:rsidRPr="004173B5">
          <w:t>COM(</w:t>
        </w:r>
        <w:r w:rsidRPr="004173B5">
          <w:t>2020)0641</w:t>
        </w:r>
      </w:hyperlink>
      <w:r w:rsidRPr="004173B5">
        <w:t>),</w:t>
      </w:r>
    </w:p>
    <w:p w:rsidR="00B17FBC" w:rsidRPr="004173B5" w:rsidP="004A16A4" w14:paraId="6836DE9C" w14:textId="77777777">
      <w:pPr>
        <w:pStyle w:val="NormalHanging12a"/>
      </w:pPr>
      <w:r w:rsidRPr="004173B5">
        <w:t>–</w:t>
      </w:r>
      <w:r w:rsidRPr="004173B5">
        <w:tab/>
        <w:t>s ohledem na sdělení Komise ze dne 8. listopadu 2023 nazvané „Nový plán růstu pro západní Balkán“ (</w:t>
      </w:r>
      <w:hyperlink r:id="rId8" w:tgtFrame="https://eur-lex.europa.eu/legal-content/EN/ALL/?uri=CELEX:52023DC0691" w:history="1">
        <w:r w:rsidRPr="004173B5">
          <w:t>COM(</w:t>
        </w:r>
        <w:r w:rsidRPr="004173B5">
          <w:t>2023)0691</w:t>
        </w:r>
      </w:hyperlink>
      <w:r w:rsidRPr="004173B5">
        <w:t>),</w:t>
      </w:r>
    </w:p>
    <w:p w:rsidR="00B17FBC" w:rsidRPr="004173B5" w:rsidP="004A16A4" w14:paraId="1C06F5CB" w14:textId="77777777">
      <w:pPr>
        <w:pStyle w:val="NormalHanging12a"/>
      </w:pPr>
      <w:r w:rsidRPr="004173B5">
        <w:t>–</w:t>
      </w:r>
      <w:r w:rsidRPr="004173B5">
        <w:tab/>
        <w:t>s ohledem na sdělení Komise ze dne 20. března 2024 o předvstupních reformách a přezkumech předvstupní politiky (</w:t>
      </w:r>
      <w:hyperlink r:id="rId9" w:tgtFrame="https://eur-lex.europa.eu/legal-content/EN/ALL/?uri=CELEX:52024DC0146" w:history="1">
        <w:r w:rsidRPr="004173B5">
          <w:t>COM(</w:t>
        </w:r>
        <w:r w:rsidRPr="004173B5">
          <w:t>2024)0146</w:t>
        </w:r>
      </w:hyperlink>
      <w:r w:rsidRPr="004173B5">
        <w:t>),</w:t>
      </w:r>
    </w:p>
    <w:p w:rsidR="00B17FBC" w:rsidRPr="004173B5" w:rsidP="004A16A4" w14:paraId="52102E88" w14:textId="77777777">
      <w:pPr>
        <w:pStyle w:val="NormalHanging12a"/>
      </w:pPr>
      <w:r w:rsidRPr="004173B5">
        <w:t>–</w:t>
      </w:r>
      <w:r w:rsidRPr="004173B5">
        <w:tab/>
        <w:t>s ohledem na sdělení Komise ze dne 4. listopadu 2025 nazvané „Sdělení o politice rozšíření EU pro rok 2025“ (</w:t>
      </w:r>
      <w:r w:rsidRPr="004173B5">
        <w:t>COM(</w:t>
      </w:r>
      <w:r w:rsidRPr="004173B5">
        <w:t>2025)0690), k němuž je přiložen pracovní dokument útvarů Komise nazvaný „Zpráva o Kosovu za rok 2025“ (SWD(2025)0752),</w:t>
      </w:r>
    </w:p>
    <w:p w:rsidR="00B17FBC" w:rsidRPr="004173B5" w:rsidP="004A16A4" w14:paraId="51D603AD" w14:textId="77777777">
      <w:pPr>
        <w:pStyle w:val="NormalHanging12a"/>
      </w:pPr>
      <w:r w:rsidRPr="004173B5">
        <w:t>–</w:t>
      </w:r>
      <w:r w:rsidRPr="004173B5">
        <w:tab/>
        <w:t>s ohledem na Smlouvu o založení Energetického společenství, podepsanou v Aténách dne 25. října 2005, jejímž cílem je rozšířit pravidla vnitřního trhu s energií EU na jihovýchodní Evropu,</w:t>
      </w:r>
    </w:p>
    <w:p w:rsidR="00B17FBC" w:rsidRPr="004173B5" w:rsidP="004A16A4" w14:paraId="1A57EFBF" w14:textId="77777777">
      <w:pPr>
        <w:pStyle w:val="NormalHanging12a"/>
      </w:pPr>
      <w:r w:rsidRPr="004173B5">
        <w:t>–</w:t>
      </w:r>
      <w:r w:rsidRPr="004173B5">
        <w:tab/>
        <w:t>s ohledem na rezoluci Rady bezpečnosti OSN č. 1244 ze dne 10. června 1999 k poradnímu stanovisku Mezinárodního soudního dvora ze dne 22. července 2010 o otázce souladu jednostranného vyhlášení nezávislosti Kosova s mezinárodním právem a na rezoluci Valného shromáždění OSN č. 64/298 ze dne 9. září 2010, v níž se bere na vědomí obsah stanoviska Mezinárodního soudního dvora a oceňuje ochota EU zprostředkovat dialog mezi Srbskem a Kosovem,</w:t>
      </w:r>
    </w:p>
    <w:p w:rsidR="00B17FBC" w:rsidRPr="004173B5" w:rsidP="004A16A4" w14:paraId="3A953B71" w14:textId="77777777">
      <w:pPr>
        <w:pStyle w:val="NormalHanging12a"/>
      </w:pPr>
      <w:r w:rsidRPr="004173B5">
        <w:t>–</w:t>
      </w:r>
      <w:r w:rsidRPr="004173B5">
        <w:tab/>
        <w:t>s ohledem na vytrvalou harmonizaci politiky Kosova se společnou zahraniční a bezpečnostní politikou EU,</w:t>
      </w:r>
    </w:p>
    <w:p w:rsidR="00B17FBC" w:rsidRPr="004173B5" w:rsidP="004A16A4" w14:paraId="0A163BB7" w14:textId="77777777">
      <w:pPr>
        <w:pStyle w:val="NormalHanging12a"/>
      </w:pPr>
      <w:r w:rsidRPr="004173B5">
        <w:t>–</w:t>
      </w:r>
      <w:r w:rsidRPr="004173B5">
        <w:tab/>
        <w:t>s ohledem na první dohodu o zásadách, jimiž se má řídit normalizace vztahů mezi Srbskem a Kosovem, ze dne 19. dubna 2013, na dohody ze dne 25. srpna 2015 a na probíhající dialog o normalizaci vztahů, jehož je EU zprostředkovatelem,</w:t>
      </w:r>
    </w:p>
    <w:p w:rsidR="00B17FBC" w:rsidRPr="004173B5" w:rsidP="004A16A4" w14:paraId="11FD90E8" w14:textId="77777777">
      <w:pPr>
        <w:pStyle w:val="NormalHanging12a"/>
      </w:pPr>
      <w:r w:rsidRPr="004173B5">
        <w:t>–</w:t>
      </w:r>
      <w:r w:rsidRPr="004173B5">
        <w:tab/>
        <w:t>s ohledem na dohodu z Bruselu ze dne 27. února 2023 a na dohodu z </w:t>
      </w:r>
      <w:r w:rsidRPr="004173B5">
        <w:t>Ochridu</w:t>
      </w:r>
      <w:r w:rsidRPr="004173B5">
        <w:t xml:space="preserve"> ze dne 18. března 2023 a na její prováděcí přílohu,</w:t>
      </w:r>
    </w:p>
    <w:p w:rsidR="00B17FBC" w:rsidRPr="004173B5" w:rsidP="004A16A4" w14:paraId="47ACDB50" w14:textId="77777777">
      <w:pPr>
        <w:pStyle w:val="NormalHanging12a"/>
      </w:pPr>
      <w:r w:rsidRPr="004173B5">
        <w:t>–</w:t>
      </w:r>
      <w:r w:rsidRPr="004173B5">
        <w:tab/>
        <w:t>s ohledem na pokračující přítomnost a mandát bezpečnostních sil KFOR pod vedením NATO, které nadále pomáhají udržovat bezpečné prostředí a svobodu pohybu v Kosovu,</w:t>
      </w:r>
    </w:p>
    <w:p w:rsidR="00B17FBC" w:rsidRPr="004173B5" w:rsidP="004A16A4" w14:paraId="4D666D65" w14:textId="77777777">
      <w:pPr>
        <w:pStyle w:val="NormalHanging12a"/>
      </w:pPr>
      <w:r w:rsidRPr="004173B5">
        <w:t>–</w:t>
      </w:r>
      <w:r w:rsidRPr="004173B5">
        <w:tab/>
        <w:t>s ohledem na rozhodnutí Rady (SZBP) 2025/1161 ze dne 5. června 2025, kterým se mění společná akce 2008/124/SZBP o Misi Evropské unie v Kosovu na podporu právního státu, EULEX Kosovo</w:t>
      </w:r>
      <w:r>
        <w:rPr>
          <w:rStyle w:val="FootnoteReference"/>
        </w:rPr>
        <w:footnoteReference w:id="7"/>
      </w:r>
      <w:r w:rsidRPr="004173B5">
        <w:t>, a které prodloužilo trvání mise do 14. června 2027,</w:t>
      </w:r>
    </w:p>
    <w:p w:rsidR="00B17FBC" w:rsidRPr="004173B5" w:rsidP="004A16A4" w14:paraId="6D7F93A8" w14:textId="77777777">
      <w:pPr>
        <w:pStyle w:val="NormalHanging12a"/>
      </w:pPr>
      <w:r w:rsidRPr="004173B5">
        <w:t>–</w:t>
      </w:r>
      <w:r w:rsidRPr="004173B5">
        <w:tab/>
        <w:t>s ohledem na závěrečnou zprávu volební pozorovatelské mise Evropské unie o parlamentních volbách v Kosovu v roce 2025,</w:t>
      </w:r>
    </w:p>
    <w:p w:rsidR="00B17FBC" w:rsidRPr="004173B5" w:rsidP="004A16A4" w14:paraId="5250774F" w14:textId="77777777">
      <w:pPr>
        <w:pStyle w:val="NormalHanging12a"/>
      </w:pPr>
      <w:r w:rsidRPr="004173B5">
        <w:t>–</w:t>
      </w:r>
      <w:r w:rsidRPr="004173B5">
        <w:tab/>
        <w:t>s ohledem na svá předchozí usnesení o Kosovu,</w:t>
      </w:r>
    </w:p>
    <w:p w:rsidR="00B17FBC" w:rsidRPr="004173B5" w:rsidP="004A16A4" w14:paraId="73FE0576" w14:textId="77777777">
      <w:pPr>
        <w:pStyle w:val="NormalHanging12a"/>
      </w:pPr>
      <w:r w:rsidRPr="004173B5">
        <w:t>–</w:t>
      </w:r>
      <w:r w:rsidRPr="004173B5">
        <w:tab/>
        <w:t xml:space="preserve">s ohledem na společná doporučení, která přijal Parlamentní výbor pro stabilizaci a přidružení EU-Kosovo na své 12. schůzi dne 9. prosince 2024, </w:t>
      </w:r>
    </w:p>
    <w:p w:rsidR="00B17FBC" w:rsidRPr="004173B5" w:rsidP="004A16A4" w14:paraId="7324720E" w14:textId="77777777">
      <w:pPr>
        <w:pStyle w:val="NormalHanging12a"/>
      </w:pPr>
      <w:r w:rsidRPr="004173B5">
        <w:t>–</w:t>
      </w:r>
      <w:r w:rsidRPr="004173B5">
        <w:tab/>
        <w:t xml:space="preserve">s ohledem na index vnímání korupce z roku 2025, který vypracovala organizace </w:t>
      </w:r>
      <w:r w:rsidRPr="004173B5">
        <w:t>Transparency</w:t>
      </w:r>
      <w:r w:rsidRPr="004173B5">
        <w:t xml:space="preserve"> International,</w:t>
      </w:r>
    </w:p>
    <w:p w:rsidR="00B17FBC" w:rsidRPr="004173B5" w:rsidP="004A16A4" w14:paraId="58387C65" w14:textId="77777777">
      <w:pPr>
        <w:pStyle w:val="NormalHanging12a"/>
      </w:pPr>
      <w:r w:rsidRPr="004173B5">
        <w:t>–</w:t>
      </w:r>
      <w:r w:rsidRPr="004173B5">
        <w:tab/>
        <w:t>s ohledem na světový index svobody tisku v roce 2025, který sestavila organizace Reportéři bez hranic,</w:t>
      </w:r>
    </w:p>
    <w:p w:rsidR="00B17FBC" w:rsidRPr="004173B5" w:rsidP="004A16A4" w14:paraId="0A090B88" w14:textId="77777777">
      <w:pPr>
        <w:pStyle w:val="NormalHanging12a"/>
        <w:rPr>
          <w:i/>
        </w:rPr>
      </w:pPr>
      <w:r w:rsidRPr="004173B5">
        <w:rPr>
          <w:i/>
        </w:rPr>
        <w:t>–</w:t>
      </w:r>
      <w:r w:rsidRPr="004173B5">
        <w:rPr>
          <w:i/>
        </w:rPr>
        <w:tab/>
      </w:r>
      <w:r w:rsidRPr="004173B5">
        <w:t>s ohledem na zjišťovací misi platformy Rady Evropy pro bezpečnost novinářů, která proběhla v </w:t>
      </w:r>
      <w:r w:rsidRPr="004173B5">
        <w:t>Prištině</w:t>
      </w:r>
      <w:r w:rsidRPr="004173B5">
        <w:t xml:space="preserve"> ve dnech 24. a 25. března 2026,</w:t>
      </w:r>
    </w:p>
    <w:p w:rsidR="00B17FBC" w:rsidRPr="004173B5" w:rsidP="004A16A4" w14:paraId="180C15E8" w14:textId="77777777">
      <w:pPr>
        <w:pStyle w:val="NormalHanging12a"/>
      </w:pPr>
      <w:r w:rsidRPr="004173B5">
        <w:t>–</w:t>
      </w:r>
      <w:r w:rsidRPr="004173B5">
        <w:tab/>
        <w:t>s ohledem na článek 55 jednacího řádu,</w:t>
      </w:r>
    </w:p>
    <w:p w:rsidR="00B17FBC" w:rsidRPr="004173B5" w:rsidP="004A16A4" w14:paraId="22B13349" w14:textId="77777777">
      <w:pPr>
        <w:pStyle w:val="NormalHanging12a"/>
      </w:pPr>
      <w:r w:rsidRPr="004173B5">
        <w:t>–</w:t>
      </w:r>
      <w:r w:rsidRPr="004173B5">
        <w:tab/>
        <w:t xml:space="preserve">s ohledem na zprávu Výboru pro zahraniční věci (A10-0166/2026), </w:t>
      </w:r>
    </w:p>
    <w:p w:rsidR="00B17FBC" w:rsidRPr="004173B5" w:rsidP="004A16A4" w14:paraId="03092E5F" w14:textId="77777777">
      <w:pPr>
        <w:pStyle w:val="NormalHanging12a"/>
      </w:pPr>
      <w:r w:rsidRPr="004173B5">
        <w:t>A.</w:t>
      </w:r>
      <w:r w:rsidRPr="004173B5">
        <w:tab/>
        <w:t>vzhledem k tomu, že politika rozšiřování je jedním z nejúčinnějších nástrojů zahraniční politiky EU, jednou z nejúspěšnějších oblastí politiky, pokud jde o podporu a podněcování zásadních reforem v zemích usilujících o přistoupení k EU, a strategickou geopolitickou investicí do dlouhodobého míru, stability a bezpečnosti na celém kontinentu;</w:t>
      </w:r>
    </w:p>
    <w:p w:rsidR="00B17FBC" w:rsidRPr="004173B5" w:rsidP="004A16A4" w14:paraId="1244A47E" w14:textId="77777777">
      <w:pPr>
        <w:pStyle w:val="NormalHanging12a"/>
      </w:pPr>
      <w:r w:rsidRPr="004173B5">
        <w:t>B.</w:t>
      </w:r>
      <w:r w:rsidRPr="004173B5">
        <w:tab/>
        <w:t>vzhledem k tomu, že demokracie, lidská práva a právní stát jsou základními hodnotami, na nichž je EU založena; vzhledem k tomu, že z těchto základních hodnot nelze v rámci procesu rozšíření slevit;</w:t>
      </w:r>
    </w:p>
    <w:p w:rsidR="00B17FBC" w:rsidRPr="004173B5" w:rsidP="004A16A4" w14:paraId="6E672F2B" w14:textId="77777777">
      <w:pPr>
        <w:pStyle w:val="NormalHanging12a"/>
        <w:rPr>
          <w:szCs w:val="24"/>
        </w:rPr>
      </w:pPr>
      <w:r w:rsidRPr="004173B5">
        <w:t>C.</w:t>
      </w:r>
      <w:r w:rsidRPr="004173B5">
        <w:tab/>
        <w:t>vzhledem k tomu, že ústava Kosovské republiky je jednou z nejprogresivnějších, pokud jde o práva menšin;</w:t>
      </w:r>
    </w:p>
    <w:p w:rsidR="00B17FBC" w:rsidRPr="004173B5" w:rsidP="004A16A4" w14:paraId="07897AB6" w14:textId="77777777">
      <w:pPr>
        <w:pStyle w:val="NormalHanging12a"/>
        <w:rPr>
          <w:b/>
        </w:rPr>
      </w:pPr>
      <w:r w:rsidRPr="004173B5">
        <w:t>D.</w:t>
      </w:r>
      <w:r w:rsidRPr="004173B5">
        <w:tab/>
        <w:t xml:space="preserve">vzhledem k tomu, že každá země procesu rozšíření je posuzována výhradně na základě </w:t>
      </w:r>
      <w:r w:rsidRPr="004173B5">
        <w:t>svých vlastních zásluh; vzhledem k tomu, že je harmonogram a postup přistoupení určen prováděním nezbytných reforem, splněním souboru kritérií a dodržováním společných evropských hodnot;</w:t>
      </w:r>
      <w:r w:rsidRPr="004173B5">
        <w:rPr>
          <w:b/>
        </w:rPr>
        <w:t xml:space="preserve"> </w:t>
      </w:r>
      <w:r w:rsidRPr="004173B5">
        <w:t>vzhledem k tomu, že postup přistoupení nemůže pokračovat bez provedení nezbytných reforem;</w:t>
      </w:r>
    </w:p>
    <w:p w:rsidR="00B17FBC" w:rsidRPr="004173B5" w:rsidP="004A16A4" w14:paraId="403555C9" w14:textId="77777777">
      <w:pPr>
        <w:pStyle w:val="NormalHanging12a"/>
      </w:pPr>
      <w:r w:rsidRPr="004173B5">
        <w:t>E.</w:t>
      </w:r>
      <w:r w:rsidRPr="004173B5">
        <w:tab/>
        <w:t>vzhledem k tomu, že cesta Kosova k členství v EU závisí i na normalizaci vztahů se Srbskem a na dobrých sousedských vztazích;</w:t>
      </w:r>
    </w:p>
    <w:p w:rsidR="00B17FBC" w:rsidRPr="004173B5" w:rsidP="004A16A4" w14:paraId="5928C64D" w14:textId="77777777">
      <w:pPr>
        <w:pStyle w:val="NormalHanging12a"/>
      </w:pPr>
      <w:r w:rsidRPr="004173B5">
        <w:t>F.</w:t>
      </w:r>
      <w:r w:rsidRPr="004173B5">
        <w:tab/>
        <w:t>vzhledem k tomu, že ochrana integrity demokratických procesů se stala ústředním prvkem politiky rozšíření EU; vzhledem k tomu, že Kosovo je vystaveno trvalému zahraničnímu vměšování a dezinformačním kampaním, zejména ze strany Ruska, mimo jiné prostřednictvím srbských nacionalistických médií, jejichž cílem je destabilizovat demokratické instituce, oslabit společenskou soudržnost a bránit evropské integraci Kosova; vzhledem k tomu, že zvýšení demokratické odolnosti je nedílnou součástí plnění politických kritérií nezbytných pro přistoupení;</w:t>
      </w:r>
    </w:p>
    <w:p w:rsidR="00B17FBC" w:rsidRPr="004173B5" w:rsidP="004A16A4" w14:paraId="0C4C605A" w14:textId="77777777">
      <w:pPr>
        <w:pStyle w:val="NormalHanging12a"/>
        <w:rPr>
          <w:bCs/>
        </w:rPr>
      </w:pPr>
      <w:r w:rsidRPr="004173B5">
        <w:t>G.</w:t>
      </w:r>
      <w:r w:rsidRPr="004173B5">
        <w:tab/>
        <w:t>vzhledem k tomu, že v rozporu s obecným evropským kurzem nezávislost Kosova dosud neuznaly Kypr, Řecko, Rumunsko, Slovensko ani Španělsko;</w:t>
      </w:r>
    </w:p>
    <w:p w:rsidR="00B17FBC" w:rsidRPr="004173B5" w:rsidP="004A16A4" w14:paraId="69191125" w14:textId="77777777">
      <w:pPr>
        <w:pStyle w:val="NormalHanging12a"/>
        <w:rPr>
          <w:b/>
          <w:bCs/>
        </w:rPr>
      </w:pPr>
      <w:r w:rsidRPr="004173B5">
        <w:rPr>
          <w:b/>
          <w:i/>
        </w:rPr>
        <w:t>Odhodlání přistoupit k EU</w:t>
      </w:r>
    </w:p>
    <w:p w:rsidR="00B17FBC" w:rsidRPr="004173B5" w:rsidP="004A16A4" w14:paraId="01B397FB" w14:textId="77777777">
      <w:pPr>
        <w:pStyle w:val="NormalHanging12a"/>
      </w:pPr>
      <w:r w:rsidRPr="004173B5">
        <w:t>1.</w:t>
      </w:r>
      <w:r w:rsidRPr="004173B5">
        <w:tab/>
        <w:t>oceňuje přetrvávající odhodlání Kosova vstoupit do EU, které odráží jasnou strategickou geopolitickou volbu, která zajišťuje větší bezpečnost, pevné evropské ukotvení, všeobecnou shodu mezi stranami na evropské integraci a vysokou úroveň veřejné podpory Kosova na jeho evropské cestě, zejména pomocí rozvoje úzkých konkrétních vztahů s Evropskou unií;</w:t>
      </w:r>
    </w:p>
    <w:p w:rsidR="00B17FBC" w:rsidRPr="004173B5" w:rsidP="004A16A4" w14:paraId="61DA1BFF" w14:textId="77777777">
      <w:pPr>
        <w:pStyle w:val="NormalHanging12a"/>
        <w:rPr>
          <w:color w:val="0070C0"/>
        </w:rPr>
      </w:pPr>
      <w:r w:rsidRPr="004173B5">
        <w:t>2.</w:t>
      </w:r>
      <w:r w:rsidRPr="004173B5">
        <w:tab/>
        <w:t>opakuje své pevné přesvědčení, že budoucnost Kosova je v EU, zejména vzhledem k současné geopolitické dynamice v regionu, rychlým významným změnám ve světové politice a rostoucí konkurenci s autoritářskými režimy; zdůrazňuje, že sbližování mezi Kosovem a EU je součástí postupného procesu integrace, který jde nad rámec pouhého formálního přistoupení; poukazuje na to, že z hlediska posílení vazeb s Kosovem mají zásadní význam konkrétní formy spolupráce a postupné integrace, zejména navázání odvětvových partnerství, účast v programech Unie, jako je Erasmus+, a zapojení do některých oblastí evropské politiky; zdůrazňuje, že tyto nástroje umožňují upevnit evropské ukotvení Kosova a reagovat na geostrategické výzvy regionu, mj. tím, že brání vlivu vnějších aktérů, aniž by se předjímalo tempo nebo výsledek procesu rozšiřování;</w:t>
      </w:r>
    </w:p>
    <w:p w:rsidR="00B17FBC" w:rsidRPr="004173B5" w:rsidP="004A16A4" w14:paraId="0770FF1A" w14:textId="77777777">
      <w:pPr>
        <w:pStyle w:val="NormalHanging12a"/>
        <w:rPr>
          <w:bCs/>
        </w:rPr>
      </w:pPr>
      <w:r w:rsidRPr="004173B5">
        <w:t>3.</w:t>
      </w:r>
      <w:r w:rsidRPr="004173B5">
        <w:tab/>
        <w:t>vítá, že v návaznosti na předčasné parlamentní volby konané v prosinci 2025 po více než ročním politickém patu a hluboké politické polarizací došlo dne 12. února 2026 k sestavení nového Národního shromáždění a nové vlády Kosova; lituje však paralyzace politického procesu v roce 2025, který byl pro Kosovo „ztraceným rokem“; s politováním dále konstatuje, že Národní shromáždění nezvolilo nového prezidenta v ústavou daném termínu; bere na vědomí rozpuštění Národního shromáždění prezidentským výnosem ze dne 6. března 2026 a příslušné rozhodnutí Ústavního soudu Kosova, který toto rozhodnutí zrušil a poskytl poslancům shromáždění 34 dny na zvolení nového prezidenta, jinak by země musela přistoupit k novým volbám; bere na vědomí, že se ve stanovené lhůtě nepodařilo nového prezidenta zvolit a že následně bylo na 7. června 2026 vyhlášeno konání nových parlamentních voleb;</w:t>
      </w:r>
    </w:p>
    <w:p w:rsidR="00B17FBC" w:rsidRPr="004173B5" w:rsidP="004A16A4" w14:paraId="14F73D6C" w14:textId="77777777">
      <w:pPr>
        <w:pStyle w:val="NormalHanging12a"/>
        <w:rPr>
          <w:i/>
        </w:rPr>
      </w:pPr>
      <w:r w:rsidRPr="004173B5">
        <w:t>4.</w:t>
      </w:r>
      <w:r w:rsidRPr="004173B5">
        <w:tab/>
        <w:t xml:space="preserve">vítá dále, že Národní shromáždění Kosova ratifikovalo dne 13. února 2026 dohody </w:t>
      </w:r>
      <w:r w:rsidRPr="004173B5">
        <w:t>v rámci nástroje pro reformy a růst; konstatuje, že to Kosovu umožní čerpat významné granty a zvýhodněné půjčky na podporu klíčových reforem, urychlení jeho ekonomického sbližování a dosažení dalšího pokroku na jeho evropské cestě; hluboce lituje, že v důsledku „ztraceného roku“ a s ohledem na možnou ztrátu dalších měsíců kvůli volební kampani nebude země možná schopna provést ve stanovených lhůtách všechny nezbytné reformy a riskuje, že přijde o značnou finanční podporu v rámci nástroje pro reformy a růst;</w:t>
      </w:r>
    </w:p>
    <w:p w:rsidR="00B17FBC" w:rsidRPr="004173B5" w:rsidP="004A16A4" w14:paraId="6BFC1BD1" w14:textId="77777777">
      <w:pPr>
        <w:pStyle w:val="EPComma"/>
        <w:spacing w:before="0"/>
        <w:ind w:left="567" w:hanging="567"/>
      </w:pPr>
      <w:r w:rsidRPr="004173B5">
        <w:t>5.</w:t>
      </w:r>
      <w:r w:rsidRPr="004173B5">
        <w:tab/>
        <w:t>zdůrazňuje, že důvěryhodné rozšíření se opírá o proces založený na zásluhách, který vyžaduje trvalý a nevratný reformní impulz a důsledné provádění reforem v souladu se evropskými normami, zejména plnění kodaňských kritérií;</w:t>
      </w:r>
      <w:r w:rsidRPr="004173B5">
        <w:rPr>
          <w:i/>
        </w:rPr>
        <w:t xml:space="preserve"> </w:t>
      </w:r>
      <w:r w:rsidRPr="004173B5">
        <w:t>vyzývá Kosovo, aby urychlilo pokrok při provádění reforem souvisejících s přistoupením k EU, zejména v oblasti právního státu, základních svobod a boje proti korupci, především korupci na vysokých místech, a aby pokračovalo ve svém úsilí tím, že se bude důsledněji zasazovat o dodržování evropských hodnot a norem; zdůrazňuje, že předvstupní pomoc a s tím spojená finanční podpora musí být i nadále podmíněna dosažením měřitelných a ověřitelných výsledků v těchto oblastech; připomíná v této souvislosti, že je důležité dodržovat zásady právního státu, zajistit respektování názorů všech osob a účinně uplatňovat zákony v praxi; zdůrazňuje, že k silnějšímu ukotvení Kosova v Evropě a k tomu, aby pokračovalo na cestě k přistoupení k EU, je nutné opět považovat tyto reformy za prioritu a dosáhnout hmatatelného pokroku při jejich provádění; poukazuje mimo jiné na to, že rozšíření EU znamená také nutnost důkladné přípravy jejích orgánů a členských států, aby byla zajištěna úspěšná integrace potenciálních nových členů a současně byl brán ohled na hospodářskou stabilitu vnitřního trhu, sociální a environmentální normy a řádné fungování evropských orgánů;</w:t>
      </w:r>
    </w:p>
    <w:p w:rsidR="00B17FBC" w:rsidRPr="004173B5" w:rsidP="004A16A4" w14:paraId="41C41AFC" w14:textId="77777777">
      <w:pPr>
        <w:pStyle w:val="NormalHanging12a"/>
      </w:pPr>
      <w:bookmarkStart w:id="7" w:name="_Hlk232000836"/>
      <w:r w:rsidRPr="004173B5">
        <w:t>6.</w:t>
      </w:r>
      <w:r w:rsidRPr="004173B5">
        <w:tab/>
        <w:t>podporuje žádost Kosova o členství v EU, která byla podána v prosinci 2022; znovu vyzývá členské státy v Evropské radě, aby pověřily Komisi předložením dotazníku a stanoviska k výsledkům země v souvislosti s její žádostí o členství, a vyzývá Radu, aby poté urychleně jednala, včetně udělení statusu kandidátské země, jakmile budou splněna příslušná kritéria; žádá pět členských států, které dosud neuznaly nezávislost Kosova, aby tak bezodkladně učinily a umožnily mu tím postupovat na stejné úrovni jako ostatní kandidáti; připomíná poradní stanovisko ICJ ze dne 22. července 2010, podle něhož jednostranné vyhlášení nezávislosti Kosovem není porušením obecného mezinárodního práva;</w:t>
      </w:r>
    </w:p>
    <w:p w:rsidR="00B17FBC" w:rsidRPr="004173B5" w:rsidP="004A16A4" w14:paraId="1B4C0B58" w14:textId="77777777">
      <w:pPr>
        <w:pStyle w:val="NormalHanging12a"/>
      </w:pPr>
      <w:r w:rsidRPr="004173B5">
        <w:t>7.</w:t>
      </w:r>
      <w:r w:rsidRPr="004173B5">
        <w:tab/>
        <w:t>znovu potvrzuje, že plně podporuje žádost Kosova o členství v Radě Evropy, plán strategické orientace této země, podle něhož by se Kosovo chtělo připojit k programu NATO Partnerství pro mír, i jeho žádost o vstup do dalších mezinárodních organizací; vyzývá dotčené organizace a členské státy, aby tyto žádosti aktivně podporovaly; konstatuje, že sblížení Kosova s NATO posiluje evropskou bezpečnost; vyzývá Komisi a úřad EU v Kosovu, aby zintenzivnily své úsilí o dosažení toho, aby se v této zemi posílila viditelnost EU a chápání konkrétních přínosů posíleného partnerství mezi EU a Kosovem; naléhavě vyzývá Srbsko, aby se nestavělo proti členství Kosova v Radě Evropy a jiných mezinárodních organizacích, což by bylo v rozporu s dohodou mezi Kosovem a Srbskem o normalizaci vzájemných vztahů z roku 2023;</w:t>
      </w:r>
    </w:p>
    <w:p w:rsidR="00B17FBC" w:rsidRPr="004173B5" w:rsidP="004A16A4" w14:paraId="4F5BE19F" w14:textId="77777777">
      <w:pPr>
        <w:pStyle w:val="NormalHanging12a"/>
      </w:pPr>
      <w:r w:rsidRPr="004173B5">
        <w:t>8.</w:t>
      </w:r>
      <w:r w:rsidRPr="004173B5">
        <w:tab/>
        <w:t xml:space="preserve">oceňuje, že se Kosovo stává spolehlivým partnerem EU, o čemž svědčí pokračující dobrovolná harmonizace s její společnou zahraniční a bezpečnostní politikou (SZBP), včetně pokračujícího provádění omezujících opatření EU vůči Rusku a Bělorusku a jednoznačného odsouzení útočné války Ruska proti Ukrajině, a také trvale vysoká </w:t>
      </w:r>
      <w:r w:rsidRPr="004173B5">
        <w:t>úroveň podpory jeho občanů, pokud jde o integraci do EU; očekává, že Kosovo bude v tomto sbližování pokračovat a nadále usilovat o omezení ruské hrozby;</w:t>
      </w:r>
    </w:p>
    <w:p w:rsidR="00B17FBC" w:rsidRPr="004173B5" w:rsidP="004A16A4" w14:paraId="12EB6283" w14:textId="77777777">
      <w:pPr>
        <w:pStyle w:val="NormalHanging12a"/>
      </w:pPr>
      <w:r w:rsidRPr="004173B5">
        <w:t>9.</w:t>
      </w:r>
      <w:r w:rsidRPr="004173B5">
        <w:tab/>
        <w:t>vítá podpis třístranného prohlášení o obranné spolupráci mezi Kosovem, Albánií a Chorvatskem dne 18. března 2025, jehož cílem je posílit obranné schopnosti a prohloubit spolupráci při potírání hybridních hrozeb;</w:t>
      </w:r>
    </w:p>
    <w:p w:rsidR="00B17FBC" w:rsidRPr="004173B5" w:rsidP="004A16A4" w14:paraId="6B2EF595" w14:textId="77777777">
      <w:pPr>
        <w:pStyle w:val="NormalHanging12a"/>
      </w:pPr>
      <w:r w:rsidRPr="004173B5">
        <w:t>10.</w:t>
      </w:r>
      <w:r w:rsidRPr="004173B5">
        <w:tab/>
        <w:t>vítá dlouho očekávané rozhodnutí o zrušení opatření EU vůči Kosovu, včetně 216 milionů EUR na prioritní zakázky a programování uvolněných v prosinci a zbývajících 205 milionů EUR uvolněných na začátku roku 2026; domnívá se, že tato opatření byla v jasném rozporu s prokázaným odhodláním Kosova dodržovat evropské hodnoty a s jeho sbližováním s politikami EU a že již nebyla odůvodněná, jelikož byly splněny všechny nezbytné požadavky; konstatuje, že tato opatření měla na kosovskou společnost negativní dopad, a to zejména na místní komunity, organizace občanské společnosti a malé a střední podniky; poukazuje na nedostatečnou transparentnost a předvídatelnost, nedostatečné informování veřejnosti a dlouhodobý charakter těchto opatření, která byla uplatňována, přestože Kosovo splnilo požadavky stanovené EU;</w:t>
      </w:r>
    </w:p>
    <w:p w:rsidR="00B17FBC" w:rsidRPr="004173B5" w:rsidP="004A16A4" w14:paraId="0390459A" w14:textId="77777777">
      <w:pPr>
        <w:pStyle w:val="NormalHanging12a"/>
        <w:rPr>
          <w:b/>
          <w:i/>
        </w:rPr>
      </w:pPr>
      <w:r w:rsidRPr="004173B5">
        <w:rPr>
          <w:b/>
          <w:i/>
        </w:rPr>
        <w:t>Demokracie a právní stát</w:t>
      </w:r>
    </w:p>
    <w:p w:rsidR="00B17FBC" w:rsidRPr="004173B5" w:rsidP="004A16A4" w14:paraId="50CACAC9" w14:textId="77777777">
      <w:pPr>
        <w:pStyle w:val="NormalHanging12a"/>
      </w:pPr>
      <w:r w:rsidRPr="004173B5">
        <w:t>11.</w:t>
      </w:r>
      <w:r w:rsidRPr="004173B5">
        <w:tab/>
        <w:t>vítá celkově pozitivní hodnocení průběhu parlamentních a místních voleb v roce 2025 a konstatuje, že proběhly v poklidu, za rovných podmínek a inkluzivním způsobem a v souladu s revidovaným volebním rámcem, který zohlednil dřívější doporučení volební pozorovatelské mise EU; chválí kosovské orgány za zavedení elektronického hlasovacího systému; poukazuje však na to, že v průběhu voleb byly zjištěny i nedostatky, a naléhavě vyzývá kosovské orgány, aby měly tuto skutečnost na paměti při organizaci budoucích voleb;</w:t>
      </w:r>
    </w:p>
    <w:p w:rsidR="00B17FBC" w:rsidRPr="004173B5" w:rsidP="004A16A4" w14:paraId="0ED25072" w14:textId="77777777">
      <w:pPr>
        <w:pStyle w:val="NormalHanging12a"/>
      </w:pPr>
      <w:r w:rsidRPr="004173B5">
        <w:t>12.</w:t>
      </w:r>
      <w:r w:rsidRPr="004173B5">
        <w:tab/>
        <w:t xml:space="preserve">vítá účast kosovských Srbů v parlamentních a místních volbách v roce 2025 a čtyři nově zvolené srbské starosty, kteří vystřídali své albánské předchůdce v obcích se srbskou většinou na severu Kosova; vyjadřuje však znepokojení nad nátlakem, který byl vyvíjen na voliče závislé na sociální podpoře a zaměstnání, jež poskytují srbské struktury, aby v parlamentních volbách v únoru 2025 volili zástupce strany </w:t>
      </w:r>
      <w:r w:rsidRPr="004173B5">
        <w:t>Srpska</w:t>
      </w:r>
      <w:r w:rsidRPr="004173B5">
        <w:t xml:space="preserve"> </w:t>
      </w:r>
      <w:r w:rsidRPr="004173B5">
        <w:t>Lista</w:t>
      </w:r>
      <w:r w:rsidRPr="004173B5">
        <w:t>;</w:t>
      </w:r>
    </w:p>
    <w:p w:rsidR="00B17FBC" w:rsidRPr="004173B5" w:rsidP="004A16A4" w14:paraId="3564ED92" w14:textId="77777777">
      <w:pPr>
        <w:pStyle w:val="NormalHanging12a"/>
        <w:rPr>
          <w:bCs/>
        </w:rPr>
      </w:pPr>
      <w:r w:rsidRPr="004173B5">
        <w:t>13.</w:t>
      </w:r>
      <w:r w:rsidRPr="004173B5">
        <w:tab/>
        <w:t>vyjadřuje politování nad pokračujícími pokusy o politizaci nezávislých institucí, včetně Ústřední volební komise, a nedostatky v řízení Nezávislé komise pro sdělovací prostředky; vyzývá Kosovo, aby dále sladilo právní rámec, kterým se řídí Nezávislá komise pro sdělovací prostředky, s doporučeními Rady Evropy a normami EU s cílem posílit regulační nezávislost, právní jistotu a důvěru veřejnosti v dohled nad sdělovacími prostředky; vyzývá kosovské orgány, aby zajistily, že jmenování na pracovní pozice v těchto institucích bude probíhat na základě výsledků, že postupy přijímání jejich zaměstnanců budou transparentní a že bude plně respektována nezávislosti těchto institucí; zdůrazňuje, že odolné demokratické instituce jsou první linií obrany proti manipulaci s informačním prostředím, skrytému ovlivňování a politicky motivovanému narušování veřejné diskuse; vyzývá Kosovo, aby vytvořilo institucionalizovaný rámec demokratické odolnosti, který by sdružoval Národní shromáždění, vládu, nezávislé regulační orgány a volební správu a který by stanovil jasně vymezené povinnosti, pravidelné posuzování rizik a veřejné podávání zpráv;</w:t>
      </w:r>
    </w:p>
    <w:p w:rsidR="00B17FBC" w:rsidRPr="004173B5" w:rsidP="004A16A4" w14:paraId="7BFAD0CD" w14:textId="77777777">
      <w:pPr>
        <w:pStyle w:val="NormalHanging12a"/>
      </w:pPr>
      <w:r w:rsidRPr="004173B5">
        <w:t>14.</w:t>
      </w:r>
      <w:r w:rsidRPr="004173B5">
        <w:tab/>
        <w:t xml:space="preserve">vítá skutečnost, že organizace občanské společnosti působí v obecně příznivém prostředí, a vyzývá kosovské orgány k zajištění toho, aby se občanská společnost od </w:t>
      </w:r>
      <w:r w:rsidRPr="004173B5">
        <w:t>samého počátku smysluplně podílela na přípravě a provádění reforem souvisejících s EU; zdůrazňuje, že je důležité zvýšit odpovědnost a transparentnost, pokud jde o veřejné financování organizací občanské společnosti; zdůrazňuje, že občanská společnost má zásadní význam pro podporu demokracie a pluralismu a pro dobrou správu věcí veřejných a dosažení sociálního pokroku;</w:t>
      </w:r>
    </w:p>
    <w:p w:rsidR="00B17FBC" w:rsidRPr="004173B5" w:rsidP="004A16A4" w14:paraId="602955B6" w14:textId="77777777">
      <w:pPr>
        <w:pStyle w:val="NormalHanging12a"/>
        <w:rPr>
          <w:bCs/>
        </w:rPr>
      </w:pPr>
      <w:r w:rsidRPr="004173B5">
        <w:t>15.</w:t>
      </w:r>
      <w:r w:rsidRPr="004173B5">
        <w:tab/>
        <w:t>oceňuje kosovské orgány za konzultace s Benátskou komisí ohledně balíčku návrhů zákonů o soudnictví, včetně zákona o Radě státních zástupců Kosova; nadále však vyjadřuje znepokojení nad omezeným prováděním strategie v oblasti právního státu a nedostatečným naplňováním reforem ze strany vlády, neúplným složením Soudcovské rady Kosova a zpožděními v provádění reforem v oblasti justice; vyjadřuje znepokojení nad tím, že vláda nepřijala potřebný podzákonný akt, který by vymezil organizační strukturu zvláštního vyšetřovacího útvaru kosovské policie a zvláštního státního zastupitelství a mechanismy spolupráce mezi nimi; vítá pokrok dosažený ohledně jmenování nového předsedy Rady státních zástupců Kosova a očekává, že o konečné podobě nového složení bude rozhodnuto, jakmile Národní shromáždění obnoví svou činnost; vítá nábor 17 nových soudců Soudcovskou radou Kosova v rámci transparentního procesu založeného na výsledcích a naléhavě vyzývá kosovskou prezidentku, aby neprodleně potvrdila jejich jmenování; naléhavě vyzývá Kosovo, aby přijalo rozhodná opatření k řešení uvedených nedostatků a zajistilo, aby právní předpisy týkající se integrity a odpovědnosti soudnictví byly v souladu s evropskými normami a příslušnými doporučeními Benátské komise;</w:t>
      </w:r>
    </w:p>
    <w:p w:rsidR="00B17FBC" w:rsidRPr="004173B5" w:rsidP="004A16A4" w14:paraId="2CCA1018" w14:textId="77777777">
      <w:pPr>
        <w:pStyle w:val="NormalHanging12a"/>
      </w:pPr>
      <w:r w:rsidRPr="004173B5">
        <w:t>16.</w:t>
      </w:r>
      <w:r w:rsidRPr="004173B5">
        <w:tab/>
        <w:t>vítá skutečnost, že Kosovo snížilo administrativní zátěž prováděním programu prevence a snižování administrativní zátěže na období 2025–2028 a jeho akčního plánu na období 2025–2026; vítá toto zlepšení i přijetí novely zákona o úředních osobách a vyzývá Kosovo, aby dále zlepšovalo svou veřejnou správu a systém státní služby založený na výsledcích; konstatuje, že strategický rámec pro veřejnou správu byl v Kosovu sice přijat, avšak není účinně prováděn;</w:t>
      </w:r>
    </w:p>
    <w:p w:rsidR="00B17FBC" w:rsidRPr="004173B5" w:rsidP="004A16A4" w14:paraId="5ED82E8D" w14:textId="77777777">
      <w:pPr>
        <w:pStyle w:val="NormalHanging12a"/>
      </w:pPr>
      <w:r w:rsidRPr="004173B5">
        <w:t xml:space="preserve">17. </w:t>
      </w:r>
      <w:r w:rsidRPr="004173B5">
        <w:tab/>
      </w:r>
      <w:bookmarkStart w:id="8" w:name="_Hlk227243576"/>
      <w:r w:rsidRPr="004173B5">
        <w:t>vyjadřuje vážné znepokojení nad celkově omezeným pokrokem v boji proti korupci; vyjadřuje politování nad tím, že navzdory přijatým závazkům nedošlo v této oblasti k hmatatelnému strukturálnímu pokroku, a zdůrazňuje, že korupce zůstává systémovým problémem, který oslabuje fungování veřejných institucí a důvěru veřejnosti; se znepokojením konstatuje, že se Kosovo v globálním indexu vnímání korupce za rok 2025 propadlo na 76. místo ze 182 zemí a území, tj. o tři místa níže než v roce 2024, což představuje znepokojivý obrat oproti dosavadnímu trendu postupného zlepšování, ale i tak staví Kosovo před některé jiné země v regionu; vyzývá kosovské orgány, aby neprodleně přijaly a provedly konkrétní, účinná a ověřitelná opatření k posílení prevence, vyšetřování a stíhání korupce; požaduje zejména urychlené přijetí národní protikorupční strategie a akčního plánu na období 2025–2028, větší využívání majetkových přiznání a plánů integrity a účinnější uplatňování konfiskačních nástrojů v případech korupce; zdůrazňuje, že je třeba posílit nezávislost a provozní kapacitu protikorupčních orgánů a zajistit účinnou koordinaci mezi státními zástupci, policií a finančními zpravodajskými jednotkami; upozorňuje na skutečnost, že dosud nebyla provedena předchozí doporučení Komise týkající se posílení kapacity Agentury pro předcházení korupci a provádění protikorupčních právních předpisů; vyzývá k neustálému zlepšování kvality vyšetřování případů korupce na vysoké úrovni;</w:t>
      </w:r>
      <w:bookmarkEnd w:id="8"/>
    </w:p>
    <w:p w:rsidR="00B17FBC" w:rsidRPr="004173B5" w:rsidP="004A16A4" w14:paraId="267EBC27" w14:textId="77777777">
      <w:pPr>
        <w:pStyle w:val="NormalHanging12a"/>
      </w:pPr>
      <w:r w:rsidRPr="004173B5">
        <w:t>18.</w:t>
      </w:r>
      <w:r w:rsidRPr="004173B5">
        <w:tab/>
        <w:t xml:space="preserve">je znepokojen skutečností, že v boji proti organizovanému zločinu bylo dosaženo jen omezeného pokroku; vyzývá k urychlenému přijetí národní strategie a akčního plánu </w:t>
      </w:r>
      <w:r w:rsidRPr="004173B5">
        <w:t>proti organizovanému zločinu; zdůrazňuje význam boje proti zločineckým sítím, a to jak v rámci posílené mezinárodní spolupráce uskutečňované sdílením zpravodajských informací, tak v rámci lepší spolupráce mezi subjekty v oblasti prosazování práva a stíhání; vyzývá sousedy Kosova, aby v zájmu maximalizace dopadu boje proti organizovanému zločinu umožnili Kosovu účastnit se všech úrovní mezinárodní spolupráce; zdůrazňuje, že je třeba posílit spolupráci v oblasti boje proti drogám; vyzývá k zajištění většího souladu v boji proti terorismu;</w:t>
      </w:r>
    </w:p>
    <w:p w:rsidR="00B17FBC" w:rsidRPr="004173B5" w:rsidP="004A16A4" w14:paraId="6704F158" w14:textId="77777777">
      <w:pPr>
        <w:pStyle w:val="NormalHanging12a"/>
      </w:pPr>
      <w:r w:rsidRPr="004173B5">
        <w:t>19.</w:t>
      </w:r>
      <w:r w:rsidRPr="004173B5">
        <w:tab/>
        <w:t>vyzdvihuje setrvalé úsilí mise EULEX, která kosovským orgánům pomáhá při zřizování udržitelných a nezávislých institucí právního státu; konstatuje, že dopad její činnosti omezují přetrvávající problémy, včetně limitovaných donucovacích pravomocí; vyzývá k nepřetržitému opětovnému posuzování přidané hodnoty, rozsahu působnosti a strategických cílů mise, aby byla zajištěna její relevance a účinnost;</w:t>
      </w:r>
    </w:p>
    <w:p w:rsidR="00B17FBC" w:rsidRPr="004173B5" w:rsidP="004A16A4" w14:paraId="43AB9A41" w14:textId="77777777">
      <w:pPr>
        <w:pStyle w:val="NormalHanging12a"/>
      </w:pPr>
      <w:r w:rsidRPr="004173B5">
        <w:t>20.</w:t>
      </w:r>
      <w:r w:rsidRPr="004173B5">
        <w:tab/>
        <w:t>je znepokojen hlášenými případy nadměrného použití síly a pochybení některých příslušníků kosovské policie na severu země; vyzývá kosovskou policii, aby zajistila, že její zaměstnanci budou plně dodržovat všechny požadavky týkající se právního státu a lidských práv; připomíná společnou odpovědnost všech politických zástupců a všech obyvatel Kosova za udržení míru a právního státu;</w:t>
      </w:r>
    </w:p>
    <w:p w:rsidR="00B17FBC" w:rsidRPr="004173B5" w:rsidP="004A16A4" w14:paraId="29498EEC" w14:textId="77777777">
      <w:pPr>
        <w:pStyle w:val="NormalHanging12a"/>
        <w:rPr>
          <w:b/>
          <w:i/>
        </w:rPr>
      </w:pPr>
      <w:r w:rsidRPr="004173B5">
        <w:rPr>
          <w:b/>
          <w:i/>
        </w:rPr>
        <w:t>Základní svobody a lidská práva</w:t>
      </w:r>
    </w:p>
    <w:p w:rsidR="00B17FBC" w:rsidRPr="004173B5" w:rsidP="004A16A4" w14:paraId="05FCCF60" w14:textId="77777777">
      <w:pPr>
        <w:pStyle w:val="NormalHanging12a"/>
        <w:rPr>
          <w:bCs/>
        </w:rPr>
      </w:pPr>
      <w:r w:rsidRPr="004173B5">
        <w:t>21.</w:t>
      </w:r>
      <w:r w:rsidRPr="004173B5">
        <w:tab/>
        <w:t>konstatuje, že ačkoli je právní a institucionální rámec pro lidská práva v zásadě zaveden, jeho uplatňování je stále nedostatečné;</w:t>
      </w:r>
      <w:r w:rsidRPr="004173B5">
        <w:rPr>
          <w:i/>
        </w:rPr>
        <w:t xml:space="preserve"> </w:t>
      </w:r>
      <w:r w:rsidRPr="004173B5">
        <w:t xml:space="preserve">vítá přijetí strategie na ochranu a prosazování práv komunit; vítá, že Kosovo provedlo rozsudek Ústavního soudu ve věci vlastnictví pozemků kláštera </w:t>
      </w:r>
      <w:r w:rsidRPr="004173B5">
        <w:t>Dečani</w:t>
      </w:r>
      <w:r w:rsidRPr="004173B5">
        <w:t>; vyzývá Kosovo, aby se zaměřilo na účinnější provádění rámce pro lidská práva;</w:t>
      </w:r>
    </w:p>
    <w:p w:rsidR="00B17FBC" w:rsidRPr="004173B5" w:rsidP="004A16A4" w14:paraId="4EAC4EF8" w14:textId="77777777">
      <w:pPr>
        <w:spacing w:after="240"/>
        <w:ind w:left="567" w:hanging="567"/>
      </w:pPr>
      <w:r w:rsidRPr="004173B5">
        <w:t>22.</w:t>
      </w:r>
      <w:r w:rsidRPr="004173B5">
        <w:tab/>
        <w:t>uznává, že kosovská ústava je velmi progresivní, pokud jde o práva menšin; v této souvislosti s politováním konstatuje, že dosud nebyla projednána petice, již podepsalo téměř 500 lidí, kteří se historicky sami označují za Bulhary, a jež byla zaregistrována v Národním shromáždění Kosova v lednu 2023, a doporučuje, aby práva těchto osob byla zakotvena v právních předpisech a zajištěna v praxi s cílem chránit historickou, kulturní a politickou identitu této bulharské menšiny; vyzývá Kosovo, aby zajistilo, že všechny menšiny uznané podle zákona o ochraně a prosazování práv komunit a jejich příslušníků budou plně začleněny do ústavy země;</w:t>
      </w:r>
    </w:p>
    <w:p w:rsidR="00B17FBC" w:rsidRPr="004173B5" w:rsidP="004A16A4" w14:paraId="435E69AB" w14:textId="77777777">
      <w:pPr>
        <w:pStyle w:val="NormalHanging12a"/>
      </w:pPr>
      <w:bookmarkStart w:id="9" w:name="_Hlk232000939"/>
      <w:bookmarkEnd w:id="7"/>
      <w:r w:rsidRPr="004173B5">
        <w:t>23.</w:t>
      </w:r>
      <w:r w:rsidRPr="004173B5">
        <w:tab/>
        <w:t>konstatuje, že vězeňský systém v Kosovu je převážně v souladu se standardními minimálními pravidly OSN a Rady Evropy; vyzývá ke zlepšení ochrany práv vězňů, zejména žen, příslušníků menšin a osob s problémy v oblasti duševního zdraví;</w:t>
      </w:r>
    </w:p>
    <w:p w:rsidR="00B17FBC" w:rsidRPr="004173B5" w:rsidP="004A16A4" w14:paraId="18089C57" w14:textId="77777777">
      <w:pPr>
        <w:pStyle w:val="NormalHanging12a"/>
        <w:rPr>
          <w:bCs/>
        </w:rPr>
      </w:pPr>
      <w:r w:rsidRPr="004173B5">
        <w:t>24.</w:t>
      </w:r>
      <w:r w:rsidRPr="004173B5">
        <w:tab/>
      </w:r>
      <w:bookmarkStart w:id="10" w:name="_Hlk227248502"/>
      <w:r w:rsidRPr="004173B5">
        <w:t xml:space="preserve">zdůrazňuje, že je třeba zlepšit provádění právních předpisů na ochranu práv zranitelných skupin a osob z jiných než většinových komunitám, zejména pokud jde o jejich zastoupení ve veřejných institucích a používání jazyků, mimo jiné zajištěním rovného a účinného přístupu ke státnímu vzdělávání v mateřském jazyce a ke zdravotní péči a veřejným službám, dodržování jazykových a vlastnických práv, odpovídajícího zastoupení v ústřední a místní správě a ochrany hmotného a nehmotného náboženského, tradičního a kulturního dědictví; vyzývá Kosovo, aby zintenzivnilo úsilí o to, aby menšinovým skupinám zajistilo rovné příležitosti a odpovídající zastoupení v politickém a kulturním životě, ve veřejných sdělovacích prostředcích, ve veřejné správě a v justici; </w:t>
      </w:r>
      <w:bookmarkEnd w:id="10"/>
      <w:r w:rsidRPr="004173B5">
        <w:t xml:space="preserve">vyzývá k ochraně náboženských menšin v Kosovu a k zajištění </w:t>
      </w:r>
      <w:r w:rsidRPr="004173B5">
        <w:t>přístupu na místa konání bohoslužeb;</w:t>
      </w:r>
    </w:p>
    <w:p w:rsidR="00B17FBC" w:rsidRPr="004173B5" w:rsidP="004A16A4" w14:paraId="1D627991" w14:textId="77777777">
      <w:pPr>
        <w:pStyle w:val="NormalHanging12a"/>
      </w:pPr>
      <w:r w:rsidRPr="004173B5">
        <w:t>25.</w:t>
      </w:r>
      <w:r w:rsidRPr="004173B5">
        <w:tab/>
        <w:t xml:space="preserve">lituje, že ženy z menšinových skupin, zejména z romské, </w:t>
      </w:r>
      <w:r w:rsidRPr="004173B5">
        <w:t>aškalské</w:t>
      </w:r>
      <w:r w:rsidRPr="004173B5">
        <w:t xml:space="preserve"> a balkánsko-egyptské komunity, čelí mnoha formám diskriminace, zejména v oblasti vzdělávání, zaměstnání a přístupu ke zdravotní péči; vyjadřuje znepokojení nad tím, že menšinové komunity nejsou náležitě zastoupeny v kosovské správě a že počet žen ve vedoucích funkcích zůstává nízký;</w:t>
      </w:r>
    </w:p>
    <w:p w:rsidR="00B17FBC" w:rsidRPr="004173B5" w:rsidP="004A16A4" w14:paraId="65DE7FD9" w14:textId="77777777">
      <w:pPr>
        <w:pStyle w:val="NormalHanging12a"/>
      </w:pPr>
      <w:r w:rsidRPr="004173B5">
        <w:t>26.</w:t>
      </w:r>
      <w:r w:rsidRPr="004173B5">
        <w:tab/>
        <w:t>vyzývá Kosovo, aby dokončilo proces vzniku nového občanského zákoníku, který dosud nebyl přijat, díky němuž se zlepší provádění stávajících mechanismů na ochranu práv jiných než většinových komunit, náboženských komunit a komunity LGBTIQ+; zůstává znepokojen tím, že nadále zaznívají diskriminační výroky proti ženám a osobám LGBTIQ+;</w:t>
      </w:r>
    </w:p>
    <w:p w:rsidR="00B17FBC" w:rsidRPr="004173B5" w:rsidP="004A16A4" w14:paraId="23DB8F4F" w14:textId="77777777">
      <w:pPr>
        <w:pStyle w:val="NormalHanging12a"/>
      </w:pPr>
      <w:r w:rsidRPr="004173B5">
        <w:t>27.</w:t>
      </w:r>
      <w:r w:rsidRPr="004173B5">
        <w:tab/>
        <w:t>zdůrazňuje, že je třeba posílit rovnost žen a mužů a práva žen v Kosovu; konstatuje, že právní a institucionální rámec pro genderovou rovnost a boj proti genderově podmíněnému násilí v zásadě existuje; považuje za pozitivní, že byly navýšeny finanční prostředky na specializované podpůrné služby, včetně azylových domů pro oběti genderově podmíněného násilí, byla plně zprovozněna databáze zaznamenávající případy domácího násilí a probíhají osvětové akce; vyjadřuje však znepokojení nad tím, že přetrvává genderově podmíněné násilí a opatření proti němu dosud nejsou dostatečným způsobem prováděna ani prosazována, zejména vezmeme-li v úvahu, že ženy nadále čelí vícenásobným formám diskriminace, zejména pokud pocházejí z menšinových komunit;</w:t>
      </w:r>
    </w:p>
    <w:p w:rsidR="00B17FBC" w:rsidRPr="004173B5" w:rsidP="004A16A4" w14:paraId="39159D9F" w14:textId="77777777">
      <w:pPr>
        <w:pStyle w:val="NormalHanging12a"/>
      </w:pPr>
      <w:r w:rsidRPr="004173B5">
        <w:t>28.</w:t>
      </w:r>
      <w:r w:rsidRPr="004173B5">
        <w:tab/>
        <w:t>znovu vyzývá kosovské orgány, aby zlepšily vnitřní dialog a navázaly přímou a upřímnou spolupráci s nezávislými organizacemi občanské společnosti kosovských Srbů, zejména na severu země, s cílem budovat důvěru, usnadnit každodenní život kosovských Srbů a úspěšně je integrovat;</w:t>
      </w:r>
    </w:p>
    <w:p w:rsidR="00B17FBC" w:rsidRPr="004173B5" w:rsidP="004A16A4" w14:paraId="0D4CA106" w14:textId="77777777">
      <w:pPr>
        <w:pStyle w:val="NormalHanging12a"/>
      </w:pPr>
      <w:r w:rsidRPr="004173B5">
        <w:t>29.</w:t>
      </w:r>
      <w:r w:rsidRPr="004173B5">
        <w:tab/>
        <w:t>vyjadřuje vládě uznání za to, že schválila strategii práv osob se zdravotním postižením na období 2025–2030 a s ní spojený akční plán na období 2025–2027; lituje však, že Kosovo dosud nepřijalo Úmluvu OSN o právech osob se zdravotním postižením; vyjadřuje znepokojení nad tím, že Kosovo není v tomto ohledu dostatečně sladěno s </w:t>
      </w:r>
      <w:r w:rsidRPr="009646DE">
        <w:rPr>
          <w:i/>
          <w:iCs/>
        </w:rPr>
        <w:t>acquis</w:t>
      </w:r>
      <w:r w:rsidRPr="004173B5">
        <w:t xml:space="preserve"> EU a že osoby se zdravotním postižením včetně dětí čelí diskriminaci a překážkám v přístupu ke vzdělání, zdravotní péči a sociálním službám; vyzývá kosovské orgány, aby posílily ochranu jejich práv a přijaly návrh zákona o uznávání statusu, službách a dávkách;</w:t>
      </w:r>
    </w:p>
    <w:p w:rsidR="00B17FBC" w:rsidRPr="004173B5" w:rsidP="004A16A4" w14:paraId="4FCA28DD" w14:textId="77777777">
      <w:pPr>
        <w:pStyle w:val="NormalHanging12a"/>
        <w:rPr>
          <w:bCs/>
        </w:rPr>
      </w:pPr>
      <w:r w:rsidRPr="004173B5">
        <w:t>30.</w:t>
      </w:r>
      <w:r w:rsidRPr="004173B5">
        <w:tab/>
        <w:t xml:space="preserve">zdůrazňuje, že je důležité chránit multikulturní dědictví Kosova, včetně dědictví chorvatské komunity, a zároveň podporovat udržitelný místní rozvoj a občanskou angažovanost; vítá projekt zachování a oživení kulturního dědictví </w:t>
      </w:r>
      <w:r w:rsidRPr="004173B5">
        <w:t>Janjeva</w:t>
      </w:r>
      <w:r w:rsidRPr="004173B5">
        <w:t>, který je financován Evropskou unií a prováděn Rozvojovým programem OSN;</w:t>
      </w:r>
    </w:p>
    <w:p w:rsidR="00B17FBC" w:rsidRPr="004173B5" w:rsidP="004A16A4" w14:paraId="198E7D48" w14:textId="77777777">
      <w:pPr>
        <w:pStyle w:val="NormalHanging12a"/>
        <w:rPr>
          <w:bCs/>
        </w:rPr>
      </w:pPr>
      <w:r w:rsidRPr="004173B5">
        <w:t>31.</w:t>
      </w:r>
      <w:r w:rsidRPr="004173B5">
        <w:tab/>
        <w:t>vyjadřuje politování nad tím, že návrh nového zákona o učebnicích stále čeká na přijetí Národním shromážděním Kosova; je znepokojen tím, že provádění kosovské vzdělávací strategie na období 2022–2026 zaostává a že finanční prostředky na základní veřejné vzdělávání se stále snižují; vyzývá Kosovo, aby završilo proces přijímání zákona o učebnicích, dokončilo revizi stávajících učebnic a zajistilo udržitelné a systematické vzdělávání učitelů;</w:t>
      </w:r>
    </w:p>
    <w:p w:rsidR="00B17FBC" w:rsidRPr="004173B5" w:rsidP="004A16A4" w14:paraId="0A68E237" w14:textId="77777777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4173B5">
        <w:t>32.</w:t>
      </w:r>
      <w:r w:rsidRPr="004173B5">
        <w:tab/>
        <w:t>konstatuje, že Kosovo sice má pluralitní média, avšak poukazuje na to, že mediální prostředí zůstává křehké a je vystaveno různým tlakům; velmi lituje, že se nepodařilo dosáhnout pokroku v oblasti svobody projevu a účinné ochrany novinářů; lituje, že ve světovém žebříčku svobody tisku za rok 2025 se Kosovo propadlo o 24 míst na 99. místo, což představuje významný a znepokojivý pokles; konstatuje, že svoboda tisku je jednou ze základních evropských hodnot a že Kosovo musí na její ochranu podnikat účinnější kroky, než jaké činí v současnosti;</w:t>
      </w:r>
    </w:p>
    <w:p w:rsidR="00B17FBC" w:rsidRPr="004173B5" w:rsidP="004A16A4" w14:paraId="74BB0E27" w14:textId="77777777">
      <w:pPr>
        <w:pStyle w:val="NormalHanging12a"/>
      </w:pPr>
      <w:r w:rsidRPr="004173B5">
        <w:t>33.</w:t>
      </w:r>
      <w:r w:rsidRPr="004173B5">
        <w:tab/>
        <w:t>znovu vyjadřuje vážné znepokojení nad tím, že mediální prostředí a klima, v němž informační pracovníci pracují, se v zemi zhoršuje, a je zejména znepokojen útoky a výhrůžkami namířenými proti novinářům a pracovníkům sdělovacích prostředků, včetně slovních útoků na sdělovací prostředky, jichž se dopouštěli vysoce postavení kosovští činitelé v době volební kampaně; vyjadřuje politování nad tím, že se stále čeká na přijetí návrh zákona o ochraně novinářských zdrojů, takže novináři nemají odpovídající právní ochranu; zdůrazňuje, že musí existovat nulová tolerance vůči fyzickým útokům na novináře, a vyzývá k intenzivnějšímu vyšetřování a stíhání všech hrozeb namířených proti pracovníkům sdělovacích prostředků a ke sladění právních předpisů týkajících se sdělovacích prostředků s </w:t>
      </w:r>
      <w:r w:rsidRPr="004173B5">
        <w:rPr>
          <w:i/>
          <w:iCs/>
        </w:rPr>
        <w:t>acquis</w:t>
      </w:r>
      <w:r w:rsidRPr="004173B5">
        <w:t xml:space="preserve"> EU, zejména s Evropským aktem o svobodě sdělovacích prostředků</w:t>
      </w:r>
      <w:r>
        <w:rPr>
          <w:rStyle w:val="FootnoteReference"/>
        </w:rPr>
        <w:footnoteReference w:id="8"/>
      </w:r>
      <w:r w:rsidRPr="004173B5">
        <w:t xml:space="preserve"> a směrnicí EU proti strategickým žalobám proti účasti veřejnosti</w:t>
      </w:r>
      <w:r>
        <w:rPr>
          <w:rStyle w:val="FootnoteReference"/>
        </w:rPr>
        <w:footnoteReference w:id="9"/>
      </w:r>
      <w:r w:rsidRPr="004173B5">
        <w:t>, a s dalšími příslušnými mezinárodními závazky v oblasti lidských práv; v této souvislosti vyzývá orgány, aby neprodleně přijaly konkrétní opatření k zaručení nezávislosti sdělovacích prostředků, k boji proti zastrašování a k zajištění prostředí příznivého pro svobodnou a pluralitní žurnalistiku;</w:t>
      </w:r>
    </w:p>
    <w:p w:rsidR="00B17FBC" w:rsidRPr="004173B5" w:rsidP="004A16A4" w14:paraId="471AD485" w14:textId="77777777">
      <w:pPr>
        <w:pStyle w:val="NormalHanging12a"/>
      </w:pPr>
      <w:r w:rsidRPr="004173B5">
        <w:t>34.</w:t>
      </w:r>
      <w:r w:rsidRPr="004173B5">
        <w:tab/>
        <w:t>vyjadřuje vážné znepokojení nad zprávami o nátlaku, který na novináře vyvíjejí političtí aktéři a organizované zločinecké skupiny a který vedl k případům autocenzury; konstatuje, že z důvodu obav o svou fyzickou bezpečnost nebo jistotu zaměstnání se novináři mohou rozhodnout neprovádět kritickou investigativní práci; dále upozorňuje na zprávy, že veřejné orgány údaje stahují reklamu z médií, která zveřejňují kritický obsah, a tím na ně vyvíjejí nepřímý ekonomický nátlak;</w:t>
      </w:r>
    </w:p>
    <w:p w:rsidR="00B17FBC" w:rsidRPr="004173B5" w:rsidP="004A16A4" w14:paraId="6B57D0F3" w14:textId="77777777">
      <w:pPr>
        <w:pStyle w:val="NormalHanging12a"/>
        <w:rPr>
          <w:rFonts w:ascii="Europea" w:hAnsi="Europea"/>
          <w:bCs/>
        </w:rPr>
      </w:pPr>
      <w:bookmarkStart w:id="11" w:name="_Hlk231922376"/>
      <w:r w:rsidRPr="004173B5">
        <w:t>35.</w:t>
      </w:r>
      <w:r w:rsidRPr="004173B5">
        <w:rPr>
          <w:i/>
        </w:rPr>
        <w:tab/>
      </w:r>
      <w:r w:rsidRPr="004173B5">
        <w:t xml:space="preserve">vyjadřuje znepokojení nad tím, že stále nebyl přijat zákon o kosovském provozovateli veřejnoprávního rozhlasového a televizního vysílání RTK a vyzývá k jeho urychlenému přijetí; </w:t>
      </w:r>
      <w:bookmarkEnd w:id="11"/>
      <w:r w:rsidRPr="004173B5">
        <w:t xml:space="preserve">zdůrazňuje, že je třeba zajistit udržitelné financování a nezávislost veřejnoprávního vysílání; lituje, že místo generálního ředitele RTK je od září 2024 neobsazené a že rada RTK není od prosince 2024 usnášeníschopná, což způsobuje, že provozovatel veřejnoprávního vysílání prakticky nefunguje a není schopen plnit svou úlohu; vyzývá k vyváženému, reprezentativnímu a politicky nezávislému dohledu nad RTK; vyzývá kosovské orgány, aby jmenovaly členy rady a generálního ředitele RTK na základě transparentního procesu založeného na kvalitách jednotlivých kandidátů a zaručily účinné fungování veřejnoprávního vysílání v Kosovu; zdůrazňuje, že reforma </w:t>
      </w:r>
      <w:r w:rsidRPr="004173B5">
        <w:t>veřejnoprávního vysílání musí v každém případě zaručit redakční nezávislost, zamezit politickému vlivu a zajistit udržitelné a transparentní financování;</w:t>
      </w:r>
    </w:p>
    <w:p w:rsidR="00B17FBC" w:rsidRPr="004173B5" w:rsidP="004A16A4" w14:paraId="22F7E3EE" w14:textId="77777777">
      <w:pPr>
        <w:pStyle w:val="NormalHanging12a"/>
        <w:rPr>
          <w:bCs/>
        </w:rPr>
      </w:pPr>
      <w:r w:rsidRPr="004173B5">
        <w:t>36.</w:t>
      </w:r>
      <w:r w:rsidRPr="004173B5">
        <w:tab/>
        <w:t>se znepokojením konstatuje, že zpráva o obchodování s lidmi za rok 2025 zdůrazňuje, že příslušné orgány v Kosovu dosud zcela nesplnily minimální normy pro zamezení této praxe, ačkoli prokázaly zvýšené úsilí, včetně vyšší míry stíhání a rozšířené podpory obětí;</w:t>
      </w:r>
    </w:p>
    <w:p w:rsidR="00B17FBC" w:rsidRPr="004173B5" w:rsidP="004A16A4" w14:paraId="1AEFD96F" w14:textId="77777777">
      <w:pPr>
        <w:pStyle w:val="NormalHanging12a"/>
        <w:rPr>
          <w:i/>
        </w:rPr>
      </w:pPr>
      <w:r w:rsidRPr="004173B5">
        <w:t>37.</w:t>
      </w:r>
      <w:r w:rsidRPr="004173B5">
        <w:tab/>
        <w:t xml:space="preserve">vyjadřuje znepokojení nad tím, že v zemích regionů se stále více objevují dezinformace, které se týkají mimo jiné napětí mezi etnickými skupinami a šíří je zahraniční aktéři, zvláště zdroje s vazbami na Rusko a Srbsko, a to zejména v době voleb, což dále přispívá k politické polarizaci; je i nadále vážně znepokojen nepřátelským zahraničním vměšováním, snahami o destabilizaci a hybridními hrozbami, včetně dezinformací vytvářených umělou inteligencí a koordinovaných internetových kampaní, které se snaží ovlivňovat politické procesy a veřejné mínění; vyzývá ke zlepšení </w:t>
      </w:r>
      <w:r w:rsidRPr="004173B5">
        <w:t>reakceschopnosti</w:t>
      </w:r>
      <w:r w:rsidRPr="004173B5">
        <w:t xml:space="preserve"> institucí a mediální gramotnosti prostřednictvím opatření, jako je posílené vzdělávání učitelů, moderní vzdělávací zdroje a užší spolupráce s nezávislými sdělovacími prostředky, organizacemi pro ověřování faktů a příslušnými programy EU, s cílem podpořit kritické myšlení a odpovědné digitální zapojení; vyzývá Kosovo a jeho regionální partnery, aby zůstali jednotní a dále posilovali spolupráci v rámci regionu a evropskou spolupráci s Kosovem v boji proti vnějším hrozbám, dezinformacím, zahraničnímu vměšování a kybernetickým a hybridním hrozbám, které se snaží podrývat evropskou perspektivu země a regionu;</w:t>
      </w:r>
    </w:p>
    <w:p w:rsidR="00B17FBC" w:rsidRPr="004173B5" w:rsidP="004A16A4" w14:paraId="7E754519" w14:textId="77777777">
      <w:pPr>
        <w:pStyle w:val="NormalHanging12a"/>
        <w:rPr>
          <w:bCs/>
        </w:rPr>
      </w:pPr>
      <w:r w:rsidRPr="004173B5">
        <w:t>38.</w:t>
      </w:r>
      <w:r w:rsidRPr="004173B5">
        <w:tab/>
        <w:t>oceňuje, že se Kosovo aktivně účastní řady iniciativ v oblasti regionální spolupráce, jako je Středoevropská dohoda o volném obchodu, Energetické společenství, Dopravní společenství, Proces spolupráce zemí jihovýchodní Evropy a Rada pro regionální spolupráci;</w:t>
      </w:r>
    </w:p>
    <w:p w:rsidR="00B17FBC" w:rsidRPr="004173B5" w:rsidP="004A16A4" w14:paraId="73E8BEC0" w14:textId="77777777">
      <w:pPr>
        <w:spacing w:after="240"/>
        <w:ind w:left="567" w:hanging="567"/>
      </w:pPr>
      <w:r w:rsidRPr="004173B5">
        <w:t>39.</w:t>
      </w:r>
      <w:r w:rsidRPr="004173B5">
        <w:tab/>
        <w:t>oceňuje, že kosovské orgány úspěšně provádějí plán pro udržitelné řešení problému nezákonného držení ručních palných a lehkých zbraní a výbušnin, jejich zneužívání a obchodování s nimi; vítá vysokou míru dodržování pravidel stanovených protokolem OSN o palných zbraních;</w:t>
      </w:r>
    </w:p>
    <w:p w:rsidR="00B17FBC" w:rsidRPr="004173B5" w:rsidP="004A16A4" w14:paraId="42EAB087" w14:textId="77777777">
      <w:pPr>
        <w:pStyle w:val="NormalHanging12a"/>
        <w:rPr>
          <w:b/>
        </w:rPr>
      </w:pPr>
      <w:r w:rsidRPr="004173B5">
        <w:rPr>
          <w:b/>
          <w:i/>
        </w:rPr>
        <w:t>Usmíření a dobré sousedské vztahy</w:t>
      </w:r>
    </w:p>
    <w:p w:rsidR="00B17FBC" w:rsidRPr="004173B5" w:rsidP="004A16A4" w14:paraId="408310B9" w14:textId="77777777">
      <w:pPr>
        <w:pStyle w:val="NormalHanging12a"/>
      </w:pPr>
      <w:r w:rsidRPr="004173B5">
        <w:t>40.</w:t>
      </w:r>
      <w:r w:rsidRPr="004173B5">
        <w:tab/>
        <w:t>připomíná, že normalizace vztahů se Srbskem a provádění všech dohod dosažených v rámci dialogu mezi Bělehradem a </w:t>
      </w:r>
      <w:r w:rsidRPr="004173B5">
        <w:t>Prištinou</w:t>
      </w:r>
      <w:r w:rsidRPr="004173B5">
        <w:t xml:space="preserve"> jsou i nadále nedílnou evropské perspektivy Kosova a její základní a nezbytnou složkou; zdůrazňuje, že konkrétní, udržitelný a ověřitelný pokrok v této oblasti je nezbytný pro posílení regionální stability a dosažení pokroku ohledně evropské perspektivy země; zdůrazňuje, že normalizaci vztahů nelze považovat za druhořadou záležitost, nýbrž musí zůstat absolutní politickou prioritou; zdůrazňuje, že je důležité dále zvýšit úsilí EU o zprostředkování mezi stranami s cílem překonat současnou patovou situaci;</w:t>
      </w:r>
    </w:p>
    <w:p w:rsidR="00B17FBC" w:rsidRPr="004173B5" w:rsidP="004A16A4" w14:paraId="7F254F56" w14:textId="77777777">
      <w:pPr>
        <w:pStyle w:val="NormalHanging12a"/>
      </w:pPr>
      <w:r w:rsidRPr="004173B5">
        <w:t>41.</w:t>
      </w:r>
      <w:r w:rsidRPr="004173B5">
        <w:tab/>
        <w:t xml:space="preserve">znovu vyjadřuje svou plnou podporu dialogu, který probíhá díky zprostředkování ze strany EU, a vítá prodloužení mandátu Petera </w:t>
      </w:r>
      <w:r w:rsidRPr="004173B5">
        <w:t>Sørensena</w:t>
      </w:r>
      <w:r w:rsidRPr="004173B5">
        <w:t xml:space="preserve"> jakožto zvláštního zástupce EU pro dialog mezi Bělehradem a </w:t>
      </w:r>
      <w:r w:rsidRPr="004173B5">
        <w:t>Prištinou</w:t>
      </w:r>
      <w:r w:rsidRPr="004173B5">
        <w:t xml:space="preserve"> do 29. února 2028;</w:t>
      </w:r>
    </w:p>
    <w:p w:rsidR="00B17FBC" w:rsidRPr="004173B5" w:rsidP="004A16A4" w14:paraId="5561970B" w14:textId="77777777">
      <w:pPr>
        <w:pStyle w:val="NormalHanging12a"/>
      </w:pPr>
      <w:r w:rsidRPr="004173B5">
        <w:t>42.</w:t>
      </w:r>
      <w:r w:rsidRPr="004173B5">
        <w:tab/>
        <w:t>opakuje svou výzvu ke zlepšení kvality dialogu prostřednictvím účasti žen, zvýšení transparentnosti vůči veřejnosti a přiměřeného zapojení občanské společnosti;</w:t>
      </w:r>
    </w:p>
    <w:p w:rsidR="00B17FBC" w:rsidRPr="004173B5" w:rsidP="004A16A4" w14:paraId="1BEC6421" w14:textId="77777777">
      <w:pPr>
        <w:pStyle w:val="NormalHanging12a"/>
        <w:rPr>
          <w:rFonts w:eastAsiaTheme="minorHAnsi"/>
        </w:rPr>
      </w:pPr>
      <w:r w:rsidRPr="004173B5">
        <w:t>43.</w:t>
      </w:r>
      <w:r w:rsidRPr="004173B5">
        <w:tab/>
        <w:t>připomíná, že důležitým předpokladem dosažení pokroku při provádění dohody o cestě k normalizaci a její prováděcí přílohy, která zůstává platná a právně závazná pro obě strany, je konstruktivní zapojení kosovských a srbských orgánů; vyzývá jak Kosovo, tak Srbsko, aby provedly bruselskou i ochridskou dohodu, včetně vytvoření sdružení/společenství obcí se srbskou většinou, a k tomu, aby Srbsko přestalo bránit členství Kosova v regionálních i mezinárodních organizacích a aby se Srbsko i Kosovo vyvarovaly jednostranných kroků, které by mohly ohrozit dialog;</w:t>
      </w:r>
    </w:p>
    <w:p w:rsidR="00B17FBC" w:rsidRPr="004173B5" w:rsidP="004A16A4" w14:paraId="56CA0560" w14:textId="77777777">
      <w:pPr>
        <w:pStyle w:val="NormalHanging12a"/>
      </w:pPr>
      <w:r w:rsidRPr="004173B5">
        <w:t>44.</w:t>
      </w:r>
      <w:r w:rsidRPr="004173B5">
        <w:tab/>
        <w:t>s potěšením bere na vědomí, že 14. března 2026 bylo dosaženo dohody o uplatňování kosovského zákona o cizích státních příslušnících, která zavádí zmírňující opatření pro členy srbské komunity; konstatuje, že dohoda pomáhá zajistit kontinuální přístup kosovských Srbů k veřejným službám a předchází jejich faktickému vyloučení; zdůrazňuje, že podobná řešení pomáhají budovat důvěru a představují pozitivní krok k normalizaci vztahů mezi Bělehradem a </w:t>
      </w:r>
      <w:r w:rsidRPr="004173B5">
        <w:t>Prištinou</w:t>
      </w:r>
      <w:r w:rsidRPr="004173B5">
        <w:t xml:space="preserve"> a ke zlepšování sousedských vztahů;</w:t>
      </w:r>
    </w:p>
    <w:p w:rsidR="00B17FBC" w:rsidRPr="004173B5" w:rsidP="004A16A4" w14:paraId="1F3D2758" w14:textId="77777777">
      <w:pPr>
        <w:pStyle w:val="NormalHanging12a"/>
      </w:pPr>
      <w:r w:rsidRPr="004173B5">
        <w:t>45.</w:t>
      </w:r>
      <w:r w:rsidRPr="004173B5">
        <w:tab/>
        <w:t>všímá si, že na severu Kosova bylo nekoordinovaně uzavřeno mnoho institucí podporovaných Srbskem;</w:t>
      </w:r>
    </w:p>
    <w:p w:rsidR="00B17FBC" w:rsidRPr="004173B5" w:rsidP="004A16A4" w14:paraId="081B0AED" w14:textId="77777777">
      <w:pPr>
        <w:pStyle w:val="NormalHanging12a"/>
      </w:pPr>
      <w:r w:rsidRPr="004173B5">
        <w:t>46.</w:t>
      </w:r>
      <w:r w:rsidRPr="004173B5">
        <w:tab/>
        <w:t xml:space="preserve">očekává, že Srbsko bude plně spolupracovat s Kosovem, aby byli pachatelé teroristického útoku v obci </w:t>
      </w:r>
      <w:r w:rsidRPr="004173B5">
        <w:t>Banjska</w:t>
      </w:r>
      <w:r w:rsidRPr="004173B5">
        <w:t xml:space="preserve"> v roce 2023 konečně vydáni spravedlnosti; vyjadřuje politování nad tím, že Srbsko dosud nezačalo stíhat viníky, zejména bývalého místopředsedu Srbské listiny Milana </w:t>
      </w:r>
      <w:r w:rsidRPr="004173B5">
        <w:t>Radoičiće</w:t>
      </w:r>
      <w:r w:rsidRPr="004173B5">
        <w:t xml:space="preserve">; znovu zdůrazňuje, že všechny osoby odpovědné za násilné činy musí být neprodleně pohnány k odpovědnosti a postaveny před soud v souladu se zásadami právního státu a spravedlivého procesu; důrazně odsuzuje útok na kanál </w:t>
      </w:r>
      <w:r w:rsidRPr="004173B5">
        <w:t>Ibër-Lepenc</w:t>
      </w:r>
      <w:r w:rsidRPr="004173B5">
        <w:t xml:space="preserve"> / </w:t>
      </w:r>
      <w:r w:rsidRPr="004173B5">
        <w:t>Ibar-Lepenac</w:t>
      </w:r>
      <w:r w:rsidRPr="004173B5">
        <w:t xml:space="preserve"> na severu Kosova v listopadu 2024 a důrazně žádá, aby byli pachatelé urychleně zadrženi a postaveni před soud; vyzývá Srbsko, aby bez dalších průtahů reagovalo na žádost Kosova z ledna 2025 o vzájemnou právní pomoc v souvislosti s tímto útokem a aby plně spolupracovalo při vyšetřování;</w:t>
      </w:r>
    </w:p>
    <w:p w:rsidR="00B17FBC" w:rsidRPr="004173B5" w:rsidP="004A16A4" w14:paraId="107EE32B" w14:textId="77777777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4173B5">
        <w:t>47.</w:t>
      </w:r>
      <w:r w:rsidRPr="004173B5">
        <w:tab/>
      </w:r>
      <w:bookmarkStart w:id="12" w:name="_Hlk227242454"/>
      <w:r w:rsidRPr="004173B5">
        <w:t xml:space="preserve">bere na vědomí, že dosud nebyl objasněn osud až 1 590 pohřešovaných osob a že od dubna 2024 do konce vykazovaného období v září 2025 byl znám osud pouze 26 pohřešovaných osob; vyzývá Kosovo a Srbsko, aby se konstruktivně a v dobré víře zapojily do všech technických diskusí, které mají vést k objasnění osudu zbývajících pohřešovaných osob, mimo jiné s pomocí pracovní forenzní podskupiny, a aby se zdržely jakéhokoli politizování; s uspokojením bere na vědomí, že v lednu 2026 se uskutečnila první schůzka Společné komise pro pohřešované osoby svolaná hlavními vyjednavači Kosova a Srbska v rámci dialogu, v němž EU přijala roli zprostředkovatele, a vyzývá k pokračování spolupráce, aby byla urychlena identifikace masových hrobů a výměna informací; </w:t>
      </w:r>
      <w:bookmarkEnd w:id="12"/>
    </w:p>
    <w:p w:rsidR="00B17FBC" w:rsidRPr="004173B5" w:rsidP="004A16A4" w14:paraId="6EDD9D85" w14:textId="77777777">
      <w:pPr>
        <w:pStyle w:val="NormalHanging12a"/>
      </w:pPr>
      <w:r w:rsidRPr="004173B5">
        <w:t>48.</w:t>
      </w:r>
      <w:r w:rsidRPr="004173B5">
        <w:tab/>
        <w:t>vyzývá Srbsko, aby zpřístupnilo a sdílelo veškerou relevantní policejní, vojenskou a archivní dokumentaci týkající se války v Kosovu v letech 1998–1999 a pomohlo dobrat se pravdy a docílit spravedlnosti a odpovědnosti, a to i v případech sexuálního násilí spáchaného během konfliktu; konstatuje, že sice byla uzavřena obecná dohoda o sdílení těchto informací, avšak že není uplatňována, a vyjadřuje znepokojení nad tím, že bylo prodlouženo utajení některých informací, což může ještě více zpozdit výkon spravedlnosti a uznání obětí;</w:t>
      </w:r>
    </w:p>
    <w:p w:rsidR="00B17FBC" w:rsidRPr="004173B5" w:rsidP="004A16A4" w14:paraId="46F0DA4C" w14:textId="77777777">
      <w:pPr>
        <w:pStyle w:val="NormalHanging12a"/>
      </w:pPr>
      <w:r w:rsidRPr="004173B5">
        <w:t>49.</w:t>
      </w:r>
      <w:r w:rsidRPr="004173B5">
        <w:tab/>
        <w:t>připomíná, že je důležité zajistit plný přístup do archivů Jugoslávské tajné služby (UDBA) a Tajné služby Jugoslávské lidové armády (KOS), včetně archivů v </w:t>
      </w:r>
      <w:r w:rsidRPr="004173B5">
        <w:t>Prištině</w:t>
      </w:r>
      <w:r w:rsidRPr="004173B5">
        <w:t xml:space="preserve"> a Bělehradu, aby bylo možné provést důkladnou rešerši a prošetřit zločiny a zločinecké </w:t>
      </w:r>
      <w:r w:rsidRPr="004173B5">
        <w:t xml:space="preserve">organizace z komunistické éry; zdůrazňuje, že otevření těchto archivů v celém regionu by přispělo k hledání pravdy, spravedlnosti pro oběti, usmíření a upevnění demokracie; </w:t>
      </w:r>
    </w:p>
    <w:p w:rsidR="00B17FBC" w:rsidRPr="004173B5" w:rsidP="004A16A4" w14:paraId="20F36D81" w14:textId="77777777">
      <w:pPr>
        <w:pStyle w:val="NormalHanging12a"/>
      </w:pPr>
      <w:r w:rsidRPr="004173B5">
        <w:t>50.</w:t>
      </w:r>
      <w:r w:rsidRPr="004173B5">
        <w:tab/>
        <w:t>vyzývá Kosovo, aby se i nadále zapojovalo do iniciativ v rámci regionální spolupráce; znovu připomíná význam sil KFOR vedených NATO pro širší bezpečnost a oceňuje jejich nepolevující úsilí o zajištění bezpečného prostředí v Kosovu i v celém regionu západního Balkánu; připomíná, že mise se významně podílí na pokračujícím budování kosovských bezpečnostních sil poskytováním poradenství, odborné přípravy a pomoci s budování kapacit; vyzývá členské státy zapojené do mise KFOR, aby svou účast neomezovaly;</w:t>
      </w:r>
    </w:p>
    <w:p w:rsidR="00B17FBC" w:rsidRPr="004173B5" w:rsidP="004A16A4" w14:paraId="35BCA3D0" w14:textId="77777777">
      <w:pPr>
        <w:pStyle w:val="NormalHanging12a"/>
        <w:rPr>
          <w:szCs w:val="24"/>
        </w:rPr>
      </w:pPr>
      <w:r w:rsidRPr="004173B5">
        <w:t>51.</w:t>
      </w:r>
      <w:r w:rsidRPr="004173B5">
        <w:tab/>
        <w:t>vyzývá, aby v rámci širšího závazku k pluralismu, usmíření a respektování společného kulturního dědictví Evropy bylo obnoveno úsilí o ochranu náboženského a kulturního dědictví v Kosovu, včetně pravoslavných, islámských, katolických a dalších památek;</w:t>
      </w:r>
    </w:p>
    <w:p w:rsidR="00B17FBC" w:rsidRPr="004173B5" w:rsidP="004A16A4" w14:paraId="20E53403" w14:textId="77777777">
      <w:pPr>
        <w:pStyle w:val="NormalHanging12a"/>
        <w:rPr>
          <w:b/>
          <w:bCs/>
          <w:i/>
        </w:rPr>
      </w:pPr>
      <w:r w:rsidRPr="004173B5">
        <w:rPr>
          <w:b/>
          <w:i/>
        </w:rPr>
        <w:t>Sociální a hospodářské reformy</w:t>
      </w:r>
    </w:p>
    <w:p w:rsidR="00B17FBC" w:rsidRPr="004173B5" w:rsidP="004A16A4" w14:paraId="14091B94" w14:textId="77777777">
      <w:pPr>
        <w:pStyle w:val="NormalHanging12a"/>
      </w:pPr>
      <w:r w:rsidRPr="004173B5">
        <w:t>52.</w:t>
      </w:r>
      <w:r w:rsidRPr="004173B5">
        <w:tab/>
        <w:t>konstatuje, že Kosovo je v oblasti hospodářské a měnové politiky a konkurenceschopnosti připraveno průměrně; zdůrazňuje, že svůj rozpočtový rámec musí sladit s </w:t>
      </w:r>
      <w:r w:rsidRPr="009646DE">
        <w:rPr>
          <w:i/>
          <w:iCs/>
        </w:rPr>
        <w:t>acquis</w:t>
      </w:r>
      <w:r w:rsidRPr="004173B5">
        <w:t xml:space="preserve"> EU a řešit strukturální nedostatky, včetně úzké výrobní základny a obtížného přístupu malých a středních podniků k financování; zdůrazňuje, že je důležité, aby Kosovo zajistilo udržitelný hospodářský růst, snížilo nezaměstnanost a posílilo systém sociální ochrany v souladu se sociálním </w:t>
      </w:r>
      <w:r w:rsidRPr="009646DE">
        <w:rPr>
          <w:i/>
          <w:iCs/>
        </w:rPr>
        <w:t>acquis</w:t>
      </w:r>
      <w:r w:rsidRPr="004173B5">
        <w:t xml:space="preserve"> EU; zdůrazňuje, že musí provést rozsáhlejší reformy, aby mohlo vyřešit zbývající strukturální nedostatky;</w:t>
      </w:r>
    </w:p>
    <w:p w:rsidR="00B17FBC" w:rsidRPr="004173B5" w:rsidP="004A16A4" w14:paraId="3C73B0FE" w14:textId="77777777">
      <w:pPr>
        <w:pStyle w:val="NormalHanging12a"/>
        <w:rPr>
          <w:bCs/>
        </w:rPr>
      </w:pPr>
      <w:r w:rsidRPr="004173B5">
        <w:t>53.</w:t>
      </w:r>
      <w:r w:rsidRPr="004173B5">
        <w:tab/>
        <w:t>s potěšením bere na vědomí zjištění Komise, že Kosovo dosáhlo určitého pokroku při rozvoji fungujícího tržního hospodářství, mimo jiné díky silnějšímu růstu, zdravému a odolnému bankovnímu sektoru, omezení neformální ekonomiky a rychlejšímu řešení obchodních sporů; všímá si, že je stále běžně využívána neformální ekonomika, a vyzývá orgány, aby inspektorátu práce poskytly nezbytné zdroje, které mu umožní plně vykonávat jeho úkoly;</w:t>
      </w:r>
    </w:p>
    <w:p w:rsidR="00B17FBC" w:rsidRPr="004173B5" w:rsidP="004A16A4" w14:paraId="3D59CAE7" w14:textId="77777777">
      <w:pPr>
        <w:pStyle w:val="NormalHanging12a"/>
        <w:rPr>
          <w:bCs/>
        </w:rPr>
      </w:pPr>
      <w:r w:rsidRPr="004173B5">
        <w:t>54.</w:t>
      </w:r>
      <w:r w:rsidRPr="004173B5">
        <w:tab/>
        <w:t>vítá skutečnost, že Obchodní soud Kosova účinně řeší spory týkající se práv duševního vlastnictví, a vyzývá jej k intenzívnější spolupráci s Úřadem Evropské unie pro duševní vlastnictví (EUIPO);</w:t>
      </w:r>
    </w:p>
    <w:p w:rsidR="00B17FBC" w:rsidRPr="004173B5" w:rsidP="004A16A4" w14:paraId="38C9D676" w14:textId="77777777">
      <w:pPr>
        <w:pStyle w:val="NormalHanging12a"/>
        <w:rPr>
          <w:rFonts w:eastAsiaTheme="minorHAnsi"/>
          <w:color w:val="000000" w:themeColor="text1"/>
          <w:kern w:val="2"/>
          <w:szCs w:val="24"/>
          <w14:ligatures w14:val="standardContextual"/>
        </w:rPr>
      </w:pPr>
      <w:r w:rsidRPr="004173B5">
        <w:t>55.</w:t>
      </w:r>
      <w:r w:rsidRPr="004173B5">
        <w:tab/>
        <w:t>vyzývá k zajištění adekvátní ochrany práv pracovníků a spravedlivých mezd a k prosazování pracovního práva v souladu s normami EU; lituje, že sociální dialog v Kosovu je stále omezený; žádá, aby bylo cíleně podpořeno budování kapacit sociálních partnerů; vyzývá orgány, aby v právních předpisech i v praxi a ve veřejném i soukromém sektoru zaručily nezávislost a legitimní úlohu uznaných odborových svazů a základní práva pracovníků, zejména právo na kolektivní vyjednávání; vyzývá kosovské orgány, aby v zájmu podpory sociálního dialogu obnovily mandát Sociální a hospodářské rady a aby využily Nástroj pro reformy a růst pro země západního Balkánu k budování kapacit sociálních partnerů;</w:t>
      </w:r>
    </w:p>
    <w:p w:rsidR="00B17FBC" w:rsidRPr="004173B5" w:rsidP="004A16A4" w14:paraId="32353ED7" w14:textId="77777777">
      <w:pPr>
        <w:pStyle w:val="NormalHanging12a"/>
      </w:pPr>
      <w:r w:rsidRPr="004173B5">
        <w:rPr>
          <w:color w:val="000000" w:themeColor="text1"/>
        </w:rPr>
        <w:t>56.</w:t>
      </w:r>
      <w:r w:rsidRPr="004173B5">
        <w:rPr>
          <w:color w:val="000000" w:themeColor="text1"/>
        </w:rPr>
        <w:tab/>
      </w:r>
      <w:r w:rsidRPr="004173B5">
        <w:t xml:space="preserve">vítá, že zákon o platech ve veřejném sektoru konsolidoval systém odměňování; s politováním však konstatuje, že nebyl dokončen proces klasifikace prací a systemizace pracovních míst a že nebyla přijata opatření v návaznosti na rozsudek Ústavního soudu o neústavnosti některých ustanovení; vyzývá orgány, aby přijaly návrh zákona o správě veřejných financí a aby do legislativy zahrnuly hodnocení fiskálních rizik a metodiku </w:t>
      </w:r>
      <w:r w:rsidRPr="004173B5">
        <w:t>veřejných investic;</w:t>
      </w:r>
    </w:p>
    <w:p w:rsidR="00B17FBC" w:rsidRPr="004173B5" w:rsidP="004A16A4" w14:paraId="3FB88D01" w14:textId="77777777">
      <w:pPr>
        <w:pStyle w:val="NormalHanging12a"/>
      </w:pPr>
      <w:r w:rsidRPr="004173B5">
        <w:t>57.</w:t>
      </w:r>
      <w:r w:rsidRPr="004173B5">
        <w:tab/>
        <w:t>vyjadřuje znepokojení nad tím, že střední délka života při narození je stále nižší než průměr EU a že dětská úmrtnost je stále nejvyšší v regionu a výrazně vyšší než průměr EU; s politováním konstatuje, že výsledky úsilí o zajištění všeobecné lékařské péče jsou stále velmi omezené a že přetrvávají značné nedostatky; vyzývá orgány, aby všem občanům zajistily lepší přístup ke službám zdravotní péče;</w:t>
      </w:r>
    </w:p>
    <w:p w:rsidR="00B17FBC" w:rsidRPr="004173B5" w:rsidP="004A16A4" w14:paraId="26064378" w14:textId="77777777">
      <w:pPr>
        <w:pStyle w:val="NormalHanging12a"/>
      </w:pPr>
      <w:r w:rsidRPr="004173B5">
        <w:t>58.</w:t>
      </w:r>
      <w:r w:rsidRPr="004173B5">
        <w:tab/>
        <w:t>vyzývá Kosovo, aby si za jednu z priorit stanovilo kvalitní odborné vzdělávání, silnější propojení vzdělávání s potřebami trhu práce a cílenou podporu mladých podnikatelů a výzkumných pracovníků, aby pro místní mladé lidi vytvořilo věrohodné vyhlídky;</w:t>
      </w:r>
    </w:p>
    <w:p w:rsidR="00B17FBC" w:rsidRPr="004173B5" w:rsidP="004A16A4" w14:paraId="59571FD8" w14:textId="77777777">
      <w:pPr>
        <w:pStyle w:val="NormalHanging12a"/>
      </w:pPr>
      <w:r w:rsidRPr="004173B5">
        <w:t>59.</w:t>
      </w:r>
      <w:r w:rsidRPr="004173B5">
        <w:tab/>
        <w:t>vybízí Kosovo, aby pokračovalo v uzavírání dohod s členskými státy EU o koordinaci sociálního zabezpečení;</w:t>
      </w:r>
    </w:p>
    <w:p w:rsidR="00B17FBC" w:rsidRPr="004173B5" w:rsidP="004A16A4" w14:paraId="7E6D85B8" w14:textId="77777777">
      <w:pPr>
        <w:pStyle w:val="NormalHanging12a"/>
      </w:pPr>
      <w:r w:rsidRPr="004173B5">
        <w:t>60.</w:t>
      </w:r>
      <w:r w:rsidRPr="004173B5">
        <w:tab/>
        <w:t>konstatuje, že Kosovo pokročilo s přípravou digitalizace, včetně rozšíření internetových služeb a pokrytí 5G; lituje, že pouze 10 % veřejných služeb je v současné době nabízeno online a že jejich digitalizace je stále nesystematická; zdůrazňuje, že Kosovo musí své právo sladit s příslušnými právními předpisy EU v digitální oblasti, včetně evropského kodexu pro elektronické komunikace, směrnice NIS 2, souboru opatření EU pro kybernetickou bezpečnost sítí 5G, nařízení o digitálních službách, nařízení o digitálních trzích a rámce EU pro digitální identitu; s politováním konstatuje, že Kosovo přijalo pouze osm ze 14 sekundárních právních předpisů vyplývajících ze zákona o kybernetické bezpečnosti a že Agentura pro kybernetickou bezpečnost ani Národní rada pro kybernetickou bezpečnost dosud nezahájily plný provoz; vyzývá k přijetí komplexní strategie elektronické správy v souladu s normami EU a ke zlepšení interoperability systémů veřejné správy; vyzývá Kosovo, aby intenzivněji podporovalo digitalizaci a dále rozvíjelo bezpečné digitální veřejné služby;</w:t>
      </w:r>
    </w:p>
    <w:p w:rsidR="00B17FBC" w:rsidRPr="004173B5" w:rsidP="004A16A4" w14:paraId="4AAFE565" w14:textId="77777777">
      <w:pPr>
        <w:pStyle w:val="NormalHanging12a"/>
      </w:pPr>
      <w:r w:rsidRPr="004173B5">
        <w:t>61.</w:t>
      </w:r>
      <w:r w:rsidRPr="004173B5">
        <w:tab/>
        <w:t>vítá první kroky Kosova k zaujetí strategičtějšího přístupu k výzkumu a inovacím, mimo jiné že zahájilo podpůrná opatření pro financování inovací a že se zapojilo do sítě evropských center pro digitální inovace;</w:t>
      </w:r>
    </w:p>
    <w:p w:rsidR="00B17FBC" w:rsidRPr="004173B5" w:rsidP="004A16A4" w14:paraId="59002FC7" w14:textId="77777777">
      <w:pPr>
        <w:pStyle w:val="NormalHanging12a"/>
      </w:pPr>
      <w:r w:rsidRPr="004173B5">
        <w:t>62.</w:t>
      </w:r>
      <w:r w:rsidRPr="004173B5">
        <w:tab/>
        <w:t>vítá návrh Komise zahájit jednání o rozšíření programu EU „roaming za domácích podmínek“ na země západního Balkánu včetně Kosova, neboť by měl hmatatelné přínosy pro občany a podniky a zlepšil by regionální konektivitu; konstatuje, že tato iniciativa vychází ze stávajících regionálních roamingových ujednání; vyzývá k rychlému přijetí mandátů k jednání a včasnému uzavření dohod, aby se zajistila rychlá a účinná integrace do oblasti EU s roamingem za domácích podmínek;</w:t>
      </w:r>
    </w:p>
    <w:p w:rsidR="00B17FBC" w:rsidRPr="004173B5" w:rsidP="004A16A4" w14:paraId="7735C832" w14:textId="77777777">
      <w:pPr>
        <w:pStyle w:val="NormalHanging12a"/>
        <w:rPr>
          <w:b/>
          <w:bCs/>
        </w:rPr>
      </w:pPr>
      <w:r w:rsidRPr="004173B5">
        <w:rPr>
          <w:b/>
          <w:i/>
        </w:rPr>
        <w:t>Energetika, životní prostředí, udržitelný rozvoj a propojení</w:t>
      </w:r>
    </w:p>
    <w:p w:rsidR="00B17FBC" w:rsidRPr="004173B5" w:rsidP="004A16A4" w14:paraId="654E1D5F" w14:textId="77777777">
      <w:pPr>
        <w:pStyle w:val="NormalHanging12a"/>
        <w:rPr>
          <w:bCs/>
        </w:rPr>
      </w:pPr>
      <w:r w:rsidRPr="004173B5">
        <w:t>63.</w:t>
      </w:r>
      <w:r w:rsidRPr="004173B5">
        <w:tab/>
        <w:t xml:space="preserve">konstatuje, že Kosovo je stále silně závislé na zastaralých uhelných elektrárnách a musí urychlit investice do energetické účinnosti; s potěšením bere na vědomí skutečnost, že v energetice bylo dosaženo určitého pokroku, zejména že byla zahájena aukce na větrnou energii o výkonu 100 MW; naléhavě Kosovo vyzývá, aby ekologickou transformaci urychlilo a výrazně snížilo závislost na fosilních palivech a uhelných elektrárnách; vyzývá EU, aby zintenzivnila svou pomoc Kosovu, aby mohlo dosáhnout těchto cílů; vyzývá kosovskou vládu, aby investovala do diverzifikované skladby zdrojů energie, která by posílila bezpečnost dodávek; vybízí Kosovo, aby nepolevovalo v úsilí o začlenění svého trhu s elektřinou do evropských trhů s elektřinou, mimo jiné účinnou </w:t>
      </w:r>
      <w:r w:rsidRPr="004173B5">
        <w:t>reformou trhu s elektřinou a posílením přeshraniční spolupráce v elektroenergetice;</w:t>
      </w:r>
    </w:p>
    <w:p w:rsidR="00B17FBC" w:rsidRPr="004173B5" w:rsidP="004A16A4" w14:paraId="00C9C56B" w14:textId="77777777">
      <w:pPr>
        <w:pStyle w:val="NormalHanging12a"/>
      </w:pPr>
      <w:r w:rsidRPr="004173B5">
        <w:t>64.</w:t>
      </w:r>
      <w:r w:rsidRPr="004173B5">
        <w:tab/>
        <w:t>vybízí Kosovo, aby posílilo svou institucionální a administrativní kapacitu pro realizaci strategických infrastrukturních projektů, mimo jiné tím, že ve fázi plánování bude provádět komplexní posuzování vlivů na životní prostředí a přijímat opatření na podporu udržitelnosti, a aby pokračovalo v realizaci nedokončených projektů dopravního a energetického propojení; vyzývá Komisi a Kosovo, aby upřednostnily strategické projekty pro propojení zemí západního Balkánu s evropskými dopravními, energetickými a digitálními koridory a černomořskou oblastí, mimo jiné pomocí energetických propojení, opatření na podporu energetické účinnosti, investic do obnovitelných zdrojů energie, přistoupení k jednotné oblasti pro platby v eurech (SEPA) a lepšího přístupu malých a středních podniků k financování; zdůrazňuje, že tyto investice zvýší sociálně-ekonomickou konvergenci, geostrategickou odolnost a evropskou hospodářskou bezpečnost;</w:t>
      </w:r>
    </w:p>
    <w:p w:rsidR="00B17FBC" w:rsidRPr="004173B5" w:rsidP="004A16A4" w14:paraId="57A74FAB" w14:textId="77777777">
      <w:pPr>
        <w:pStyle w:val="NormalHanging12a"/>
      </w:pPr>
      <w:r w:rsidRPr="004173B5">
        <w:t>65.</w:t>
      </w:r>
      <w:r w:rsidRPr="004173B5">
        <w:tab/>
        <w:t xml:space="preserve">naléhavě vyzývá Kosovo, aby v zemi rozšířilo chráněné oblasti a zajistilo přijetí náležitých opatření pro jejich správu a správu kulturně a historicky významných míst s cílem chránit biologickou rozmanitost, včetně hlavních stanovišť kriticky ohroženého rysa balkánského; oceňuje pokračující spolupráci Kosova se Severní Makedonií a Albánií v souvislosti s přeshraničním národním parkem v pohoří </w:t>
      </w:r>
      <w:r w:rsidRPr="004173B5">
        <w:t>Šar</w:t>
      </w:r>
      <w:r w:rsidRPr="004173B5">
        <w:t xml:space="preserve"> Planina; vybízí Kosovo, aby ještě zintenzivnilo a urychlilo spolupráci se sousedními zeměmi na vyhlášení přeshraničních chráněných oblastí a vypracování koherentních přeshraničních plánů správy; naléhavě vyzývá Kosovo, aby změnilo právní předpisy o nakládání s odpady a provedlo právní předpisy přijaté v souvislosti se změnou klimatu;</w:t>
      </w:r>
    </w:p>
    <w:p w:rsidR="004A16A4" w:rsidRPr="004173B5" w:rsidP="004A16A4" w14:paraId="72F5EE29" w14:textId="77777777">
      <w:pPr>
        <w:pStyle w:val="NormalHanging12a"/>
        <w:widowControl/>
        <w:ind w:left="0" w:firstLine="0"/>
        <w:jc w:val="center"/>
      </w:pPr>
      <w:r w:rsidRPr="004173B5">
        <w:t>°</w:t>
      </w:r>
    </w:p>
    <w:p w:rsidR="004A16A4" w:rsidRPr="004173B5" w:rsidP="004A16A4" w14:paraId="6295A623" w14:textId="77777777">
      <w:pPr>
        <w:pStyle w:val="NormalHanging12a"/>
        <w:widowControl/>
        <w:ind w:left="0" w:firstLine="0"/>
        <w:jc w:val="center"/>
      </w:pPr>
      <w:r w:rsidRPr="004173B5">
        <w:t>°     °</w:t>
      </w:r>
    </w:p>
    <w:p w:rsidR="00C03CDE" w:rsidRPr="004173B5" w:rsidP="004A16A4" w14:paraId="152FC8D7" w14:textId="65649300">
      <w:pPr>
        <w:spacing w:after="240"/>
        <w:ind w:left="567" w:hanging="567"/>
      </w:pPr>
      <w:r w:rsidRPr="004173B5">
        <w:t>66.</w:t>
      </w:r>
      <w:r w:rsidRPr="004173B5">
        <w:tab/>
        <w:t>pověřuje svou předsedkyni, aby toto usnesení předala předsedovi Evropské rady, Komisi, místopředsedkyni Komise, vysoké představitelce Unie pro zahraniční věci a bezpečnostní politiku, vládám a parlamentům členských států a prezidentce, vládě a Národnímu shromáždění Kosova.</w:t>
      </w:r>
      <w:bookmarkEnd w:id="9"/>
    </w:p>
    <w:p w:rsidR="00E365E1" w:rsidRPr="004173B5" w:rsidP="004A16A4" w14:paraId="5DD63893" w14:textId="7BBF98C9">
      <w:pPr>
        <w:spacing w:after="240"/>
      </w:pPr>
    </w:p>
    <w:sectPr w:rsidSect="00C03CD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ropea">
    <w:panose1 w:val="00000000000000000000"/>
    <w:charset w:val="00"/>
    <w:family w:val="auto"/>
    <w:pitch w:val="variable"/>
    <w:sig w:usb0="A00002FF" w:usb1="5001E47B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03CDE" w14:paraId="496FBD67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03CDE" w14:paraId="51B9BCAC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03CDE" w14:paraId="70DDB6F4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3528D" w:rsidRPr="00C03CDE" w14:paraId="5A3C92C2" w14:textId="77777777">
      <w:r w:rsidRPr="00C03CDE">
        <w:separator/>
      </w:r>
    </w:p>
  </w:footnote>
  <w:footnote w:type="continuationSeparator" w:id="1">
    <w:p w:rsidR="00F3528D" w:rsidRPr="00C03CDE" w14:paraId="331E82CE" w14:textId="77777777">
      <w:r w:rsidRPr="00C03CDE">
        <w:continuationSeparator/>
      </w:r>
    </w:p>
  </w:footnote>
  <w:footnote w:id="2">
    <w:p w:rsidR="00B17FBC" w:rsidRPr="00C03CDE" w:rsidP="00C03CDE" w14:paraId="4887F586" w14:textId="057A0499">
      <w:pPr>
        <w:pStyle w:val="FootnoteText"/>
        <w:ind w:left="567" w:hanging="567"/>
        <w:rPr>
          <w:sz w:val="24"/>
          <w:u w:val="single" w:color="0000FF"/>
          <w:lang w:val="cs-CZ"/>
        </w:rPr>
      </w:pPr>
      <w:r w:rsidRPr="00C03CDE">
        <w:rPr>
          <w:rStyle w:val="FootnoteReference"/>
          <w:sz w:val="24"/>
          <w:lang w:val="cs-CZ"/>
        </w:rPr>
        <w:footnoteRef/>
      </w:r>
      <w:r w:rsidRPr="00C03CDE" w:rsidR="00C03CDE">
        <w:rPr>
          <w:sz w:val="24"/>
          <w:lang w:val="cs-CZ"/>
        </w:rPr>
        <w:t xml:space="preserve"> </w:t>
      </w:r>
      <w:r w:rsidRPr="00C03CDE" w:rsidR="00C03CDE">
        <w:rPr>
          <w:sz w:val="24"/>
          <w:lang w:val="cs-CZ"/>
        </w:rPr>
        <w:tab/>
      </w:r>
      <w:r w:rsidRPr="00C03CDE">
        <w:rPr>
          <w:sz w:val="24"/>
          <w:lang w:val="cs-CZ"/>
        </w:rPr>
        <w:t>Úř</w:t>
      </w:r>
      <w:r w:rsidRPr="00C03CDE">
        <w:rPr>
          <w:sz w:val="24"/>
          <w:lang w:val="cs-CZ"/>
        </w:rPr>
        <w:t xml:space="preserve">. </w:t>
      </w:r>
      <w:r w:rsidRPr="00C03CDE">
        <w:rPr>
          <w:sz w:val="24"/>
          <w:lang w:val="cs-CZ"/>
        </w:rPr>
        <w:t>věst</w:t>
      </w:r>
      <w:r w:rsidRPr="00C03CDE">
        <w:rPr>
          <w:sz w:val="24"/>
          <w:lang w:val="cs-CZ"/>
        </w:rPr>
        <w:t xml:space="preserve">. L 71, 16.3.2016, s. 3, ELI: </w:t>
      </w:r>
      <w:hyperlink r:id="rId1" w:history="1">
        <w:r w:rsidRPr="00C03CDE">
          <w:rPr>
            <w:rStyle w:val="Hyperlink"/>
            <w:sz w:val="24"/>
            <w:lang w:val="cs-CZ"/>
          </w:rPr>
          <w:t>http://data.europa.eu/eli/agree_internation/2016/342/oj</w:t>
        </w:r>
      </w:hyperlink>
      <w:r w:rsidRPr="00C03CDE">
        <w:rPr>
          <w:sz w:val="24"/>
          <w:lang w:val="cs-CZ"/>
        </w:rPr>
        <w:t>.</w:t>
      </w:r>
    </w:p>
  </w:footnote>
  <w:footnote w:id="3">
    <w:p w:rsidR="00B17FBC" w:rsidRPr="00C03CDE" w:rsidP="00C03CDE" w14:paraId="22E2E22F" w14:textId="20BE5A12">
      <w:pPr>
        <w:pStyle w:val="FootnoteText"/>
        <w:ind w:left="567" w:hanging="567"/>
        <w:rPr>
          <w:sz w:val="24"/>
          <w:u w:val="single" w:color="0000FF"/>
          <w:lang w:val="cs-CZ"/>
        </w:rPr>
      </w:pPr>
      <w:r w:rsidRPr="00C03CDE">
        <w:rPr>
          <w:rStyle w:val="FootnoteReference"/>
          <w:sz w:val="24"/>
          <w:lang w:val="cs-CZ"/>
        </w:rPr>
        <w:footnoteRef/>
      </w:r>
      <w:r w:rsidRPr="00C03CDE" w:rsidR="00C03CDE">
        <w:rPr>
          <w:sz w:val="24"/>
          <w:lang w:val="cs-CZ"/>
        </w:rPr>
        <w:t xml:space="preserve"> </w:t>
      </w:r>
      <w:r w:rsidRPr="00C03CDE" w:rsidR="00C03CDE">
        <w:rPr>
          <w:sz w:val="24"/>
          <w:lang w:val="cs-CZ"/>
        </w:rPr>
        <w:tab/>
      </w:r>
      <w:r w:rsidRPr="00C03CDE">
        <w:rPr>
          <w:sz w:val="24"/>
          <w:lang w:val="cs-CZ"/>
        </w:rPr>
        <w:t>Úř</w:t>
      </w:r>
      <w:r w:rsidRPr="00C03CDE">
        <w:rPr>
          <w:sz w:val="24"/>
          <w:lang w:val="cs-CZ"/>
        </w:rPr>
        <w:t xml:space="preserve">. </w:t>
      </w:r>
      <w:r w:rsidRPr="00C03CDE">
        <w:rPr>
          <w:sz w:val="24"/>
          <w:lang w:val="cs-CZ"/>
        </w:rPr>
        <w:t>věst</w:t>
      </w:r>
      <w:r w:rsidRPr="00C03CDE">
        <w:rPr>
          <w:sz w:val="24"/>
          <w:lang w:val="cs-CZ"/>
        </w:rPr>
        <w:t xml:space="preserve">. L 195, 27.7.2017, s. 3, ELI: </w:t>
      </w:r>
      <w:hyperlink r:id="rId2" w:history="1">
        <w:r w:rsidRPr="00C03CDE">
          <w:rPr>
            <w:rStyle w:val="Hyperlink"/>
            <w:sz w:val="24"/>
            <w:lang w:val="cs-CZ"/>
          </w:rPr>
          <w:t>http://data.europa.eu/eli/agree_internation/2017/1388/oj</w:t>
        </w:r>
      </w:hyperlink>
      <w:r w:rsidRPr="00C03CDE">
        <w:rPr>
          <w:sz w:val="24"/>
          <w:lang w:val="cs-CZ"/>
        </w:rPr>
        <w:t>.</w:t>
      </w:r>
    </w:p>
  </w:footnote>
  <w:footnote w:id="4">
    <w:p w:rsidR="00B17FBC" w:rsidRPr="00C03CDE" w:rsidP="00C03CDE" w14:paraId="750BEA01" w14:textId="1CBBA29C">
      <w:pPr>
        <w:pStyle w:val="FootnoteText"/>
        <w:ind w:left="567" w:hanging="567"/>
        <w:rPr>
          <w:sz w:val="24"/>
          <w:u w:val="single" w:color="0000FF"/>
          <w:lang w:val="cs-CZ"/>
        </w:rPr>
      </w:pPr>
      <w:r w:rsidRPr="00C03CDE">
        <w:rPr>
          <w:rStyle w:val="FootnoteReference"/>
          <w:sz w:val="24"/>
          <w:lang w:val="cs-CZ"/>
        </w:rPr>
        <w:footnoteRef/>
      </w:r>
      <w:r w:rsidRPr="00C03CDE" w:rsidR="00C03CDE">
        <w:rPr>
          <w:sz w:val="24"/>
          <w:lang w:val="cs-CZ"/>
        </w:rPr>
        <w:t xml:space="preserve"> </w:t>
      </w:r>
      <w:r w:rsidRPr="00C03CDE" w:rsidR="00C03CDE">
        <w:rPr>
          <w:sz w:val="24"/>
          <w:lang w:val="cs-CZ"/>
        </w:rPr>
        <w:tab/>
      </w:r>
      <w:r w:rsidRPr="00C03CDE">
        <w:rPr>
          <w:sz w:val="24"/>
          <w:lang w:val="cs-CZ"/>
        </w:rPr>
        <w:t>Úř</w:t>
      </w:r>
      <w:r w:rsidRPr="00C03CDE">
        <w:rPr>
          <w:sz w:val="24"/>
          <w:lang w:val="cs-CZ"/>
        </w:rPr>
        <w:t xml:space="preserve">. </w:t>
      </w:r>
      <w:r w:rsidRPr="00C03CDE">
        <w:rPr>
          <w:sz w:val="24"/>
          <w:lang w:val="cs-CZ"/>
        </w:rPr>
        <w:t>věst</w:t>
      </w:r>
      <w:r w:rsidRPr="00C03CDE">
        <w:rPr>
          <w:sz w:val="24"/>
          <w:lang w:val="cs-CZ"/>
        </w:rPr>
        <w:t xml:space="preserve">. L 330, 20.9.2021, s. 1, ELI: </w:t>
      </w:r>
      <w:hyperlink r:id="rId3" w:history="1">
        <w:r w:rsidRPr="00C03CDE">
          <w:rPr>
            <w:rStyle w:val="Hyperlink"/>
            <w:sz w:val="24"/>
            <w:lang w:val="cs-CZ"/>
          </w:rPr>
          <w:t>http://data.europa.eu/eli/reg/2021/1529/oj</w:t>
        </w:r>
      </w:hyperlink>
      <w:r w:rsidRPr="00C03CDE">
        <w:rPr>
          <w:sz w:val="24"/>
          <w:lang w:val="cs-CZ"/>
        </w:rPr>
        <w:t>.</w:t>
      </w:r>
    </w:p>
  </w:footnote>
  <w:footnote w:id="5">
    <w:p w:rsidR="00B17FBC" w:rsidRPr="00C03CDE" w:rsidP="00C03CDE" w14:paraId="651D2CC2" w14:textId="4948147D">
      <w:pPr>
        <w:pStyle w:val="FootnoteText"/>
        <w:ind w:left="567" w:hanging="567"/>
        <w:rPr>
          <w:sz w:val="24"/>
          <w:lang w:val="cs-CZ"/>
        </w:rPr>
      </w:pPr>
      <w:r w:rsidRPr="00C03CDE">
        <w:rPr>
          <w:rStyle w:val="FootnoteReference"/>
          <w:sz w:val="24"/>
          <w:lang w:val="cs-CZ"/>
        </w:rPr>
        <w:footnoteRef/>
      </w:r>
      <w:r w:rsidRPr="00C03CDE" w:rsidR="00C03CDE">
        <w:rPr>
          <w:sz w:val="24"/>
          <w:lang w:val="cs-CZ"/>
        </w:rPr>
        <w:t xml:space="preserve"> </w:t>
      </w:r>
      <w:r w:rsidRPr="00C03CDE" w:rsidR="00C03CDE">
        <w:rPr>
          <w:sz w:val="24"/>
          <w:lang w:val="cs-CZ"/>
        </w:rPr>
        <w:tab/>
      </w:r>
      <w:r w:rsidRPr="00C03CDE">
        <w:rPr>
          <w:sz w:val="24"/>
          <w:lang w:val="cs-CZ"/>
        </w:rPr>
        <w:t>Úř</w:t>
      </w:r>
      <w:r w:rsidRPr="00C03CDE">
        <w:rPr>
          <w:sz w:val="24"/>
          <w:lang w:val="cs-CZ"/>
        </w:rPr>
        <w:t xml:space="preserve">. </w:t>
      </w:r>
      <w:r w:rsidRPr="00C03CDE">
        <w:rPr>
          <w:sz w:val="24"/>
          <w:lang w:val="cs-CZ"/>
        </w:rPr>
        <w:t>věst</w:t>
      </w:r>
      <w:r w:rsidRPr="00C03CDE">
        <w:rPr>
          <w:sz w:val="24"/>
          <w:lang w:val="cs-CZ"/>
        </w:rPr>
        <w:t>. L 110, 25.4.2023, s. 1, ELI: </w:t>
      </w:r>
      <w:hyperlink r:id="rId4" w:tooltip="Umožňuje přístup k dokumentu prostřednictvím identifikátoru ELI URI." w:history="1">
        <w:r w:rsidRPr="00C03CDE">
          <w:rPr>
            <w:rStyle w:val="Hyperlink"/>
            <w:sz w:val="24"/>
            <w:lang w:val="cs-CZ"/>
          </w:rPr>
          <w:t>http://data.europa.eu/</w:t>
        </w:r>
        <w:r w:rsidRPr="00C03CDE">
          <w:rPr>
            <w:rStyle w:val="Hyperlink"/>
            <w:sz w:val="24"/>
            <w:lang w:val="cs-CZ"/>
          </w:rPr>
          <w:t>eli</w:t>
        </w:r>
        <w:r w:rsidRPr="00C03CDE">
          <w:rPr>
            <w:rStyle w:val="Hyperlink"/>
            <w:sz w:val="24"/>
            <w:lang w:val="cs-CZ"/>
          </w:rPr>
          <w:t>/</w:t>
        </w:r>
        <w:r w:rsidRPr="00C03CDE">
          <w:rPr>
            <w:rStyle w:val="Hyperlink"/>
            <w:sz w:val="24"/>
            <w:lang w:val="cs-CZ"/>
          </w:rPr>
          <w:t>reg</w:t>
        </w:r>
        <w:r w:rsidRPr="00C03CDE">
          <w:rPr>
            <w:rStyle w:val="Hyperlink"/>
            <w:sz w:val="24"/>
            <w:lang w:val="cs-CZ"/>
          </w:rPr>
          <w:t>/2023/850/oj</w:t>
        </w:r>
      </w:hyperlink>
      <w:r w:rsidRPr="00C03CDE">
        <w:rPr>
          <w:sz w:val="24"/>
          <w:lang w:val="cs-CZ"/>
        </w:rPr>
        <w:t>.</w:t>
      </w:r>
    </w:p>
  </w:footnote>
  <w:footnote w:id="6">
    <w:p w:rsidR="00B17FBC" w:rsidRPr="00C03CDE" w:rsidP="00C03CDE" w14:paraId="2B4B0D2F" w14:textId="53902C55">
      <w:pPr>
        <w:pStyle w:val="FootnoteText"/>
        <w:ind w:left="567" w:hanging="567"/>
        <w:rPr>
          <w:sz w:val="24"/>
          <w:lang w:val="cs-CZ"/>
        </w:rPr>
      </w:pPr>
      <w:r w:rsidRPr="00C03CDE">
        <w:rPr>
          <w:rStyle w:val="FootnoteReference"/>
          <w:sz w:val="24"/>
          <w:lang w:val="cs-CZ"/>
        </w:rPr>
        <w:footnoteRef/>
      </w:r>
      <w:r w:rsidRPr="00C03CDE" w:rsidR="00C03CDE">
        <w:rPr>
          <w:sz w:val="24"/>
          <w:lang w:val="cs-CZ"/>
        </w:rPr>
        <w:t xml:space="preserve"> </w:t>
      </w:r>
      <w:r w:rsidRPr="00C03CDE" w:rsidR="00C03CDE">
        <w:rPr>
          <w:sz w:val="24"/>
          <w:lang w:val="cs-CZ"/>
        </w:rPr>
        <w:tab/>
      </w:r>
      <w:r w:rsidRPr="00C03CDE">
        <w:rPr>
          <w:sz w:val="24"/>
          <w:lang w:val="cs-CZ"/>
        </w:rPr>
        <w:t>Úř</w:t>
      </w:r>
      <w:r w:rsidRPr="00C03CDE">
        <w:rPr>
          <w:sz w:val="24"/>
          <w:lang w:val="cs-CZ"/>
        </w:rPr>
        <w:t xml:space="preserve">. </w:t>
      </w:r>
      <w:r w:rsidRPr="00C03CDE">
        <w:rPr>
          <w:sz w:val="24"/>
          <w:lang w:val="cs-CZ"/>
        </w:rPr>
        <w:t>věst</w:t>
      </w:r>
      <w:r w:rsidRPr="00C03CDE">
        <w:rPr>
          <w:sz w:val="24"/>
          <w:lang w:val="cs-CZ"/>
        </w:rPr>
        <w:t xml:space="preserve">. L, 2024/1449, 24.5.2024, </w:t>
      </w:r>
      <w:r w:rsidRPr="00C03CDE">
        <w:rPr>
          <w:color w:val="333333"/>
          <w:sz w:val="24"/>
          <w:shd w:val="clear" w:color="auto" w:fill="FFFFFF"/>
          <w:lang w:val="cs-CZ"/>
        </w:rPr>
        <w:t>ELI: </w:t>
      </w:r>
      <w:hyperlink r:id="rId5" w:tooltip="Umožňuje přístup k dokumentu prostřednictvím identifikátoru ELI URI." w:history="1">
        <w:r w:rsidRPr="00C03CDE">
          <w:rPr>
            <w:rStyle w:val="Hyperlink"/>
            <w:color w:val="337AB7"/>
            <w:sz w:val="24"/>
            <w:shd w:val="clear" w:color="auto" w:fill="FFFFFF"/>
            <w:lang w:val="cs-CZ"/>
          </w:rPr>
          <w:t>http://data.europa.eu/</w:t>
        </w:r>
        <w:r w:rsidRPr="00C03CDE">
          <w:rPr>
            <w:rStyle w:val="Hyperlink"/>
            <w:color w:val="337AB7"/>
            <w:sz w:val="24"/>
            <w:shd w:val="clear" w:color="auto" w:fill="FFFFFF"/>
            <w:lang w:val="cs-CZ"/>
          </w:rPr>
          <w:t>eli</w:t>
        </w:r>
        <w:r w:rsidRPr="00C03CDE">
          <w:rPr>
            <w:rStyle w:val="Hyperlink"/>
            <w:color w:val="337AB7"/>
            <w:sz w:val="24"/>
            <w:shd w:val="clear" w:color="auto" w:fill="FFFFFF"/>
            <w:lang w:val="cs-CZ"/>
          </w:rPr>
          <w:t>/</w:t>
        </w:r>
        <w:r w:rsidRPr="00C03CDE">
          <w:rPr>
            <w:rStyle w:val="Hyperlink"/>
            <w:color w:val="337AB7"/>
            <w:sz w:val="24"/>
            <w:shd w:val="clear" w:color="auto" w:fill="FFFFFF"/>
            <w:lang w:val="cs-CZ"/>
          </w:rPr>
          <w:t>reg</w:t>
        </w:r>
        <w:r w:rsidRPr="00C03CDE">
          <w:rPr>
            <w:rStyle w:val="Hyperlink"/>
            <w:color w:val="337AB7"/>
            <w:sz w:val="24"/>
            <w:shd w:val="clear" w:color="auto" w:fill="FFFFFF"/>
            <w:lang w:val="cs-CZ"/>
          </w:rPr>
          <w:t>/2024/1449/oj</w:t>
        </w:r>
      </w:hyperlink>
      <w:r w:rsidRPr="00C03CDE">
        <w:rPr>
          <w:sz w:val="24"/>
          <w:lang w:val="cs-CZ"/>
        </w:rPr>
        <w:t>.</w:t>
      </w:r>
    </w:p>
  </w:footnote>
  <w:footnote w:id="7">
    <w:p w:rsidR="00B17FBC" w:rsidRPr="00C03CDE" w:rsidP="00C03CDE" w14:paraId="79457D77" w14:textId="2299D52B">
      <w:pPr>
        <w:pStyle w:val="FootnoteText"/>
        <w:ind w:left="567" w:hanging="567"/>
        <w:rPr>
          <w:sz w:val="24"/>
          <w:lang w:val="cs-CZ"/>
        </w:rPr>
      </w:pPr>
      <w:r w:rsidRPr="00C03CDE">
        <w:rPr>
          <w:rStyle w:val="FootnoteReference"/>
          <w:sz w:val="24"/>
          <w:lang w:val="cs-CZ"/>
        </w:rPr>
        <w:footnoteRef/>
      </w:r>
      <w:r w:rsidRPr="00C03CDE" w:rsidR="00C03CDE">
        <w:rPr>
          <w:sz w:val="24"/>
          <w:lang w:val="cs-CZ"/>
        </w:rPr>
        <w:t xml:space="preserve"> </w:t>
      </w:r>
      <w:r w:rsidRPr="00C03CDE" w:rsidR="00C03CDE">
        <w:rPr>
          <w:sz w:val="24"/>
          <w:lang w:val="cs-CZ"/>
        </w:rPr>
        <w:tab/>
      </w:r>
      <w:r w:rsidRPr="00C03CDE">
        <w:rPr>
          <w:sz w:val="24"/>
          <w:lang w:val="cs-CZ"/>
        </w:rPr>
        <w:t>Úř</w:t>
      </w:r>
      <w:r w:rsidRPr="00C03CDE">
        <w:rPr>
          <w:sz w:val="24"/>
          <w:lang w:val="cs-CZ"/>
        </w:rPr>
        <w:t xml:space="preserve">. </w:t>
      </w:r>
      <w:r w:rsidRPr="00C03CDE">
        <w:rPr>
          <w:sz w:val="24"/>
          <w:lang w:val="cs-CZ"/>
        </w:rPr>
        <w:t>věst</w:t>
      </w:r>
      <w:r w:rsidRPr="00C03CDE">
        <w:rPr>
          <w:sz w:val="24"/>
          <w:lang w:val="cs-CZ"/>
        </w:rPr>
        <w:t>. L, 2025/1161, 6.6.2025, ELI: </w:t>
      </w:r>
      <w:hyperlink r:id="rId6" w:tgtFrame="_blank" w:tooltip="Umožňuje přístup k dokumentu prostřednictvím identifikátoru ELI URI." w:history="1">
        <w:r w:rsidRPr="00C03CDE">
          <w:rPr>
            <w:rStyle w:val="Hyperlink"/>
            <w:sz w:val="24"/>
            <w:lang w:val="cs-CZ"/>
          </w:rPr>
          <w:t>http://data.europa.eu/</w:t>
        </w:r>
        <w:r w:rsidRPr="00C03CDE">
          <w:rPr>
            <w:rStyle w:val="Hyperlink"/>
            <w:sz w:val="24"/>
            <w:lang w:val="cs-CZ"/>
          </w:rPr>
          <w:t>eli</w:t>
        </w:r>
        <w:r w:rsidRPr="00C03CDE">
          <w:rPr>
            <w:rStyle w:val="Hyperlink"/>
            <w:sz w:val="24"/>
            <w:lang w:val="cs-CZ"/>
          </w:rPr>
          <w:t>/dec/2025/1161/oj</w:t>
        </w:r>
      </w:hyperlink>
      <w:r w:rsidRPr="00C03CDE">
        <w:rPr>
          <w:sz w:val="24"/>
          <w:lang w:val="cs-CZ"/>
        </w:rPr>
        <w:t>.</w:t>
      </w:r>
    </w:p>
  </w:footnote>
  <w:footnote w:id="8">
    <w:p w:rsidR="00B17FBC" w:rsidRPr="00C03CDE" w:rsidP="00C03CDE" w14:paraId="79EB43AD" w14:textId="75EA40EF">
      <w:pPr>
        <w:pStyle w:val="FootnoteText"/>
        <w:ind w:left="567" w:hanging="567"/>
        <w:rPr>
          <w:sz w:val="24"/>
          <w:lang w:val="cs-CZ"/>
        </w:rPr>
      </w:pPr>
      <w:r w:rsidRPr="00C03CDE">
        <w:rPr>
          <w:rStyle w:val="FootnoteReference"/>
          <w:sz w:val="24"/>
          <w:lang w:val="cs-CZ"/>
        </w:rPr>
        <w:footnoteRef/>
      </w:r>
      <w:r w:rsidRPr="00C03CDE" w:rsidR="00C03CDE">
        <w:rPr>
          <w:sz w:val="24"/>
          <w:lang w:val="cs-CZ"/>
        </w:rPr>
        <w:t xml:space="preserve"> </w:t>
      </w:r>
      <w:r w:rsidRPr="00C03CDE" w:rsidR="00C03CDE">
        <w:rPr>
          <w:sz w:val="24"/>
          <w:lang w:val="cs-CZ"/>
        </w:rPr>
        <w:tab/>
      </w:r>
      <w:r w:rsidRPr="00C03CDE">
        <w:rPr>
          <w:sz w:val="24"/>
          <w:lang w:val="cs-CZ"/>
        </w:rPr>
        <w:t>Nařízení Evropského parlamentu a Rady (EU) 2024/1083 ze dne 11. dubna 2024, kterým se stanoví společný rámec pro mediální služby na vnitřním trhu a mění směrnice 2010/13/EU (Evropský akt o svobodě médií) (</w:t>
      </w:r>
      <w:r w:rsidRPr="00C03CDE">
        <w:rPr>
          <w:sz w:val="24"/>
          <w:lang w:val="cs-CZ"/>
        </w:rPr>
        <w:t>Úř</w:t>
      </w:r>
      <w:r w:rsidRPr="00C03CDE">
        <w:rPr>
          <w:sz w:val="24"/>
          <w:lang w:val="cs-CZ"/>
        </w:rPr>
        <w:t xml:space="preserve">. </w:t>
      </w:r>
      <w:r w:rsidRPr="00C03CDE">
        <w:rPr>
          <w:sz w:val="24"/>
          <w:lang w:val="cs-CZ"/>
        </w:rPr>
        <w:t>věst</w:t>
      </w:r>
      <w:r w:rsidRPr="00C03CDE">
        <w:rPr>
          <w:sz w:val="24"/>
          <w:lang w:val="cs-CZ"/>
        </w:rPr>
        <w:t xml:space="preserve">. L, 2024/1083, 17.4.2024, ELI: </w:t>
      </w:r>
      <w:hyperlink r:id="rId7" w:history="1">
        <w:r w:rsidRPr="00C03CDE">
          <w:rPr>
            <w:rStyle w:val="Hyperlink"/>
            <w:sz w:val="24"/>
            <w:lang w:val="cs-CZ"/>
          </w:rPr>
          <w:t>http://data.europa.eu/eli/reg/2024/1083/oj</w:t>
        </w:r>
      </w:hyperlink>
      <w:r w:rsidRPr="00C03CDE">
        <w:rPr>
          <w:sz w:val="24"/>
          <w:lang w:val="cs-CZ"/>
        </w:rPr>
        <w:t>).</w:t>
      </w:r>
    </w:p>
  </w:footnote>
  <w:footnote w:id="9">
    <w:p w:rsidR="00B17FBC" w:rsidRPr="00C03CDE" w:rsidP="00C03CDE" w14:paraId="51903104" w14:textId="7EEB3A03">
      <w:pPr>
        <w:pStyle w:val="FootnoteText"/>
        <w:ind w:left="567" w:hanging="567"/>
        <w:rPr>
          <w:sz w:val="24"/>
          <w:lang w:val="cs-CZ"/>
        </w:rPr>
      </w:pPr>
      <w:r w:rsidRPr="00C03CDE">
        <w:rPr>
          <w:rStyle w:val="FootnoteReference"/>
          <w:sz w:val="24"/>
          <w:lang w:val="cs-CZ"/>
        </w:rPr>
        <w:footnoteRef/>
      </w:r>
      <w:r w:rsidRPr="00C03CDE" w:rsidR="00C03CDE">
        <w:rPr>
          <w:sz w:val="24"/>
          <w:lang w:val="cs-CZ"/>
        </w:rPr>
        <w:t xml:space="preserve"> </w:t>
      </w:r>
      <w:r w:rsidRPr="00C03CDE" w:rsidR="00C03CDE">
        <w:rPr>
          <w:sz w:val="24"/>
          <w:lang w:val="cs-CZ"/>
        </w:rPr>
        <w:tab/>
      </w:r>
      <w:r w:rsidRPr="00C03CDE">
        <w:rPr>
          <w:sz w:val="24"/>
          <w:lang w:val="cs-CZ"/>
        </w:rPr>
        <w:t xml:space="preserve">Směrnice Evropského parlamentu a Rady (EU) 2024/1069 ze dne 11. dubna 2024 o ochraně osob zapojených do účasti veřejnosti, před zjevně neopodstatněnými žalobními návrhy nebo zneužívajícími soudními řízeními („strategická soudní řízení proti účasti veřejnosti“) </w:t>
      </w:r>
      <w:r w:rsidRPr="00C03CDE">
        <w:rPr>
          <w:sz w:val="24"/>
          <w:lang w:val="cs-CZ"/>
        </w:rPr>
        <w:t xml:space="preserve">( </w:t>
      </w:r>
      <w:r w:rsidRPr="00C03CDE">
        <w:rPr>
          <w:sz w:val="24"/>
          <w:lang w:val="cs-CZ"/>
        </w:rPr>
        <w:t>Úř</w:t>
      </w:r>
      <w:r w:rsidRPr="00C03CDE">
        <w:rPr>
          <w:sz w:val="24"/>
          <w:lang w:val="cs-CZ"/>
        </w:rPr>
        <w:t>.</w:t>
      </w:r>
      <w:r w:rsidRPr="00C03CDE">
        <w:rPr>
          <w:sz w:val="24"/>
          <w:lang w:val="cs-CZ"/>
        </w:rPr>
        <w:t> </w:t>
      </w:r>
      <w:r w:rsidRPr="00C03CDE">
        <w:rPr>
          <w:sz w:val="24"/>
          <w:lang w:val="cs-CZ"/>
        </w:rPr>
        <w:t>věst</w:t>
      </w:r>
      <w:r w:rsidRPr="00C03CDE">
        <w:rPr>
          <w:sz w:val="24"/>
          <w:lang w:val="cs-CZ"/>
        </w:rPr>
        <w:t xml:space="preserve">. L, 2024/1069, 16.4.2024, ELI: </w:t>
      </w:r>
      <w:hyperlink r:id="rId8" w:history="1">
        <w:r w:rsidRPr="00C03CDE">
          <w:rPr>
            <w:rStyle w:val="Hyperlink"/>
            <w:sz w:val="24"/>
            <w:lang w:val="cs-CZ"/>
          </w:rPr>
          <w:t>http://data.europa.eu/eli/dir/2024/1069/oj</w:t>
        </w:r>
      </w:hyperlink>
      <w:r w:rsidRPr="00C03CDE">
        <w:rPr>
          <w:sz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03CDE" w14:paraId="34CC7D70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03CDE" w14:paraId="0904C006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03CDE" w14:paraId="457BBB8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22820346">
    <w:abstractNumId w:val="9"/>
  </w:num>
  <w:num w:numId="2" w16cid:durableId="561526178">
    <w:abstractNumId w:val="9"/>
  </w:num>
  <w:num w:numId="3" w16cid:durableId="446850187">
    <w:abstractNumId w:val="7"/>
  </w:num>
  <w:num w:numId="4" w16cid:durableId="1969971635">
    <w:abstractNumId w:val="7"/>
  </w:num>
  <w:num w:numId="5" w16cid:durableId="65420587">
    <w:abstractNumId w:val="6"/>
  </w:num>
  <w:num w:numId="6" w16cid:durableId="969899503">
    <w:abstractNumId w:val="6"/>
  </w:num>
  <w:num w:numId="7" w16cid:durableId="220797086">
    <w:abstractNumId w:val="5"/>
  </w:num>
  <w:num w:numId="8" w16cid:durableId="832451544">
    <w:abstractNumId w:val="5"/>
  </w:num>
  <w:num w:numId="9" w16cid:durableId="1363941644">
    <w:abstractNumId w:val="4"/>
  </w:num>
  <w:num w:numId="10" w16cid:durableId="1635914429">
    <w:abstractNumId w:val="4"/>
  </w:num>
  <w:num w:numId="11" w16cid:durableId="793250069">
    <w:abstractNumId w:val="8"/>
  </w:num>
  <w:num w:numId="12" w16cid:durableId="354039743">
    <w:abstractNumId w:val="8"/>
  </w:num>
  <w:num w:numId="13" w16cid:durableId="1543980121">
    <w:abstractNumId w:val="3"/>
  </w:num>
  <w:num w:numId="14" w16cid:durableId="1025717827">
    <w:abstractNumId w:val="3"/>
  </w:num>
  <w:num w:numId="15" w16cid:durableId="377750006">
    <w:abstractNumId w:val="2"/>
  </w:num>
  <w:num w:numId="16" w16cid:durableId="1595162948">
    <w:abstractNumId w:val="2"/>
  </w:num>
  <w:num w:numId="17" w16cid:durableId="1344628445">
    <w:abstractNumId w:val="1"/>
  </w:num>
  <w:num w:numId="18" w16cid:durableId="1266421759">
    <w:abstractNumId w:val="1"/>
  </w:num>
  <w:num w:numId="19" w16cid:durableId="703484387">
    <w:abstractNumId w:val="0"/>
  </w:num>
  <w:num w:numId="20" w16cid:durableId="92868809">
    <w:abstractNumId w:val="0"/>
  </w:num>
  <w:num w:numId="21" w16cid:durableId="1255935910">
    <w:abstractNumId w:val="9"/>
  </w:num>
  <w:num w:numId="22" w16cid:durableId="753086905">
    <w:abstractNumId w:val="7"/>
  </w:num>
  <w:num w:numId="23" w16cid:durableId="1162886730">
    <w:abstractNumId w:val="6"/>
  </w:num>
  <w:num w:numId="24" w16cid:durableId="97725272">
    <w:abstractNumId w:val="5"/>
  </w:num>
  <w:num w:numId="25" w16cid:durableId="518008044">
    <w:abstractNumId w:val="4"/>
  </w:num>
  <w:num w:numId="26" w16cid:durableId="462357180">
    <w:abstractNumId w:val="8"/>
  </w:num>
  <w:num w:numId="27" w16cid:durableId="42678567">
    <w:abstractNumId w:val="3"/>
  </w:num>
  <w:num w:numId="28" w16cid:durableId="1998221825">
    <w:abstractNumId w:val="2"/>
  </w:num>
  <w:num w:numId="29" w16cid:durableId="1064252867">
    <w:abstractNumId w:val="1"/>
  </w:num>
  <w:num w:numId="30" w16cid:durableId="73548435">
    <w:abstractNumId w:val="0"/>
  </w:num>
  <w:num w:numId="31" w16cid:durableId="52505099">
    <w:abstractNumId w:val="9"/>
  </w:num>
  <w:num w:numId="32" w16cid:durableId="1910923234">
    <w:abstractNumId w:val="7"/>
  </w:num>
  <w:num w:numId="33" w16cid:durableId="300693601">
    <w:abstractNumId w:val="6"/>
  </w:num>
  <w:num w:numId="34" w16cid:durableId="1599022380">
    <w:abstractNumId w:val="5"/>
  </w:num>
  <w:num w:numId="35" w16cid:durableId="1365445855">
    <w:abstractNumId w:val="4"/>
  </w:num>
  <w:num w:numId="36" w16cid:durableId="485244073">
    <w:abstractNumId w:val="8"/>
  </w:num>
  <w:num w:numId="37" w16cid:durableId="1662998640">
    <w:abstractNumId w:val="3"/>
  </w:num>
  <w:num w:numId="38" w16cid:durableId="1080564556">
    <w:abstractNumId w:val="2"/>
  </w:num>
  <w:num w:numId="39" w16cid:durableId="1164470601">
    <w:abstractNumId w:val="1"/>
  </w:num>
  <w:num w:numId="40" w16cid:durableId="2026007818">
    <w:abstractNumId w:val="0"/>
  </w:num>
  <w:num w:numId="41" w16cid:durableId="1037894121">
    <w:abstractNumId w:val="10"/>
  </w:num>
  <w:num w:numId="42" w16cid:durableId="2055932545">
    <w:abstractNumId w:val="10"/>
  </w:num>
  <w:num w:numId="43" w16cid:durableId="1660302395">
    <w:abstractNumId w:val="10"/>
  </w:num>
  <w:num w:numId="44" w16cid:durableId="1211222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28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54B6"/>
    <w:rsid w:val="00343214"/>
    <w:rsid w:val="00361C00"/>
    <w:rsid w:val="00395FA1"/>
    <w:rsid w:val="003E15D4"/>
    <w:rsid w:val="00411CCE"/>
    <w:rsid w:val="0041666E"/>
    <w:rsid w:val="004173B5"/>
    <w:rsid w:val="00421060"/>
    <w:rsid w:val="00471C19"/>
    <w:rsid w:val="004867E3"/>
    <w:rsid w:val="00494A28"/>
    <w:rsid w:val="004A16A4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06A1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46DE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7FBC"/>
    <w:rsid w:val="00B22876"/>
    <w:rsid w:val="00B558F0"/>
    <w:rsid w:val="00BD48FE"/>
    <w:rsid w:val="00BD7BD8"/>
    <w:rsid w:val="00BE6ADC"/>
    <w:rsid w:val="00C03CDE"/>
    <w:rsid w:val="00C05BFE"/>
    <w:rsid w:val="00C23CD4"/>
    <w:rsid w:val="00C61C0C"/>
    <w:rsid w:val="00C941CB"/>
    <w:rsid w:val="00CC2357"/>
    <w:rsid w:val="00CF071A"/>
    <w:rsid w:val="00CF700B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528D"/>
    <w:rsid w:val="00F5134D"/>
    <w:rsid w:val="00F74202"/>
    <w:rsid w:val="00F87713"/>
    <w:rsid w:val="00FB4360"/>
    <w:rsid w:val="00FD0C70"/>
  </w:rsids>
  <w:docVars>
    <w:docVar w:name="dvdocse" w:val="A10-0166/2026"/>
    <w:docVar w:name="dvlangue" w:val="CS"/>
    <w:docVar w:name="dvnumam" w:val="0"/>
    <w:docVar w:name="dvpe" w:val="784.231"/>
    <w:docVar w:name="dvrapporteur" w:val="Zpravodaj: "/>
    <w:docVar w:name="dvtitre" w:val="Usnesení Evropského parlamentu ze dne 17. června 2026 o zprávě Komise o Kosovu za rok 2025(2025/2252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DF70CCA"/>
  <w15:chartTrackingRefBased/>
  <w15:docId w15:val="{78023AB9-144F-4583-848A-3DF8D9C22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B17FBC"/>
    <w:pPr>
      <w:spacing w:after="240"/>
      <w:ind w:left="567" w:hanging="567"/>
    </w:pPr>
  </w:style>
  <w:style w:type="paragraph" w:customStyle="1" w:styleId="EPComma">
    <w:name w:val="EPComma"/>
    <w:basedOn w:val="Normal"/>
    <w:rsid w:val="00B17FBC"/>
    <w:pPr>
      <w:spacing w:before="480" w:after="240"/>
    </w:pPr>
  </w:style>
  <w:style w:type="character" w:styleId="Hyperlink">
    <w:name w:val="Hyperlink"/>
    <w:basedOn w:val="DefaultParagraphFont"/>
    <w:rsid w:val="00B17FBC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A16A4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yperlink" Target="https://eur-lex.europa.eu/legal-content/CS/ALL/?uri=CELEX:52020DC0641" TargetMode="External" /><Relationship Id="rId8" Type="http://schemas.openxmlformats.org/officeDocument/2006/relationships/hyperlink" Target="https://eur-lex.europa.eu/legal-content/CS/ALL/?uri=CELEX:52023DC0691" TargetMode="External" /><Relationship Id="rId9" Type="http://schemas.openxmlformats.org/officeDocument/2006/relationships/hyperlink" Target="https://eur-lex.europa.eu/legal-content/CS/ALL/?uri=CELEX:52024DC0146" TargetMode="Externa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nation/2016/342/oj" TargetMode="External" /><Relationship Id="rId2" Type="http://schemas.openxmlformats.org/officeDocument/2006/relationships/hyperlink" Target="http://data.europa.eu/eli/agree_internation/2017/1388/oj" TargetMode="External" /><Relationship Id="rId3" Type="http://schemas.openxmlformats.org/officeDocument/2006/relationships/hyperlink" Target="http://data.europa.eu/eli/reg/2021/1529/oj" TargetMode="External" /><Relationship Id="rId4" Type="http://schemas.openxmlformats.org/officeDocument/2006/relationships/hyperlink" Target="http://data.europa.eu/eli/reg/2023/850/oj" TargetMode="External" /><Relationship Id="rId5" Type="http://schemas.openxmlformats.org/officeDocument/2006/relationships/hyperlink" Target="http://data.europa.eu/eli/reg/2024/1449/oj" TargetMode="External" /><Relationship Id="rId6" Type="http://schemas.openxmlformats.org/officeDocument/2006/relationships/hyperlink" Target="http://data.europa.eu/eli/dec/2025/1161/oj" TargetMode="External" /><Relationship Id="rId7" Type="http://schemas.openxmlformats.org/officeDocument/2006/relationships/hyperlink" Target="http://data.europa.eu/eli/reg/2024/1083/oj" TargetMode="External" /><Relationship Id="rId8" Type="http://schemas.openxmlformats.org/officeDocument/2006/relationships/hyperlink" Target="http://data.europa.eu/eli/dir/2024/106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6485</Words>
  <Characters>39371</Characters>
  <Application>Microsoft Office Word</Application>
  <DocSecurity>0</DocSecurity>
  <Lines>328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2026-06-17T13:19:00Z</dcterms:created>
  <dcterms:modified xsi:type="dcterms:W3CDTF">2026-06-17T13:19:00Z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A10-0166/2026</vt:lpwstr>
  </property>
  <property fmtid="{D5CDD505-2E9C-101B-9397-08002B2CF9AE}" pid="4" name="&lt;Type&gt;">
    <vt:lpwstr>RR</vt:lpwstr>
  </property>
</Properties>
</file>