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22923F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3F75" w:rsidP="0010095E" w14:paraId="590E8084" w14:textId="77777777">
            <w:pPr>
              <w:pStyle w:val="EPName"/>
            </w:pPr>
            <w:r w:rsidRPr="00533F75">
              <w:t>Europski parlament</w:t>
            </w:r>
          </w:p>
          <w:p w:rsidR="00751A4A" w:rsidRPr="00533F75" w:rsidP="005F1B17" w14:paraId="1C651B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3F75">
              <w:t>2024</w:t>
            </w:r>
            <w:r w:rsidRPr="00533F75" w:rsidR="00817416">
              <w:t>-202</w:t>
            </w:r>
            <w:r w:rsidRPr="00533F7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33F75" w:rsidP="0010095E" w14:paraId="6DCE65ED" w14:textId="77777777">
            <w:pPr>
              <w:pStyle w:val="EPLogo"/>
            </w:pPr>
            <w:r w:rsidRPr="00533F7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3F75" w:rsidP="004C5D52" w14:paraId="1F569A85" w14:textId="77777777">
      <w:pPr>
        <w:pStyle w:val="LineTop"/>
      </w:pPr>
    </w:p>
    <w:p w:rsidR="00680577" w:rsidRPr="00533F75" w:rsidP="00680577" w14:paraId="5872B296" w14:textId="77777777">
      <w:pPr>
        <w:pStyle w:val="EPBodyTA1"/>
      </w:pPr>
      <w:r w:rsidRPr="00533F75">
        <w:t>USVOJENI TEKSTOVI</w:t>
      </w:r>
    </w:p>
    <w:p w:rsidR="00D058B8" w:rsidRPr="00533F75" w:rsidP="00D058B8" w14:paraId="433A0F44" w14:textId="77777777">
      <w:pPr>
        <w:pStyle w:val="LineBottom"/>
      </w:pPr>
    </w:p>
    <w:p w:rsidR="00EE64B8" w:rsidRPr="00533F75" w:rsidP="00EE64B8" w14:paraId="25687753" w14:textId="18F8B209">
      <w:pPr>
        <w:pStyle w:val="ATHeading1"/>
      </w:pPr>
      <w:bookmarkStart w:id="0" w:name="TANumber"/>
      <w:r w:rsidRPr="00533F75">
        <w:t>P10_TA(2026)0</w:t>
      </w:r>
      <w:r w:rsidR="00FD3D6B">
        <w:t>22</w:t>
      </w:r>
      <w:r w:rsidRPr="00533F75">
        <w:t>0</w:t>
      </w:r>
      <w:bookmarkEnd w:id="0"/>
    </w:p>
    <w:p w:rsidR="00EE64B8" w:rsidRPr="00533F75" w:rsidP="00EE64B8" w14:paraId="33B679E7" w14:textId="77777777">
      <w:pPr>
        <w:pStyle w:val="ATHeading2"/>
      </w:pPr>
      <w:bookmarkStart w:id="1" w:name="title"/>
      <w:r w:rsidRPr="00533F75">
        <w:t>Izvješće Komisije o Kosovu za 2025.</w:t>
      </w:r>
      <w:bookmarkEnd w:id="1"/>
    </w:p>
    <w:p w:rsidR="00EE64B8" w:rsidRPr="00533F75" w:rsidP="00EE64B8" w14:paraId="7A6F6915" w14:textId="77777777">
      <w:pPr>
        <w:rPr>
          <w:i/>
          <w:vanish/>
        </w:rPr>
      </w:pPr>
      <w:r>
        <w:rPr>
          <w:i/>
        </w:rPr>
        <w:fldChar w:fldCharType="begin"/>
      </w:r>
      <w:r w:rsidRPr="00533F75">
        <w:rPr>
          <w:i/>
        </w:rPr>
        <w:instrText xml:space="preserve"> TC"(</w:instrText>
      </w:r>
      <w:bookmarkStart w:id="2" w:name="DocNumber"/>
      <w:r w:rsidRPr="00533F75">
        <w:rPr>
          <w:i/>
        </w:rPr>
        <w:instrText>A10-0166/2026</w:instrText>
      </w:r>
      <w:bookmarkEnd w:id="2"/>
      <w:r w:rsidRPr="00533F75">
        <w:rPr>
          <w:i/>
        </w:rPr>
        <w:instrText xml:space="preserve"> - Izvjestitelj: </w:instrText>
      </w:r>
      <w:r w:rsidRPr="00533F75">
        <w:rPr>
          <w:i/>
        </w:rPr>
        <w:instrText>Riho</w:instrText>
      </w:r>
      <w:r w:rsidRPr="00533F75">
        <w:rPr>
          <w:i/>
        </w:rPr>
        <w:instrText xml:space="preserve"> </w:instrText>
      </w:r>
      <w:r w:rsidRPr="00533F75">
        <w:rPr>
          <w:i/>
        </w:rPr>
        <w:instrText>Terras</w:instrText>
      </w:r>
      <w:r w:rsidRPr="00533F7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E64B8" w:rsidRPr="00533F75" w:rsidP="00EE64B8" w14:paraId="1F1F467D" w14:textId="77777777">
      <w:pPr>
        <w:rPr>
          <w:vanish/>
        </w:rPr>
      </w:pPr>
      <w:bookmarkStart w:id="3" w:name="Commission"/>
      <w:r w:rsidRPr="00533F75">
        <w:rPr>
          <w:vanish/>
        </w:rPr>
        <w:t>Odbor za vanjske poslove</w:t>
      </w:r>
      <w:bookmarkEnd w:id="3"/>
    </w:p>
    <w:p w:rsidR="00EE64B8" w:rsidRPr="00533F75" w:rsidP="00EE64B8" w14:paraId="0DDFE6A1" w14:textId="77777777">
      <w:pPr>
        <w:rPr>
          <w:vanish/>
        </w:rPr>
      </w:pPr>
      <w:bookmarkStart w:id="4" w:name="PE"/>
      <w:r w:rsidRPr="00533F75">
        <w:rPr>
          <w:vanish/>
        </w:rPr>
        <w:t>PE784.231</w:t>
      </w:r>
      <w:bookmarkEnd w:id="4"/>
    </w:p>
    <w:p w:rsidR="00EE64B8" w:rsidRPr="00533F75" w:rsidP="00EE64B8" w14:paraId="619F7153" w14:textId="1A83F32F">
      <w:pPr>
        <w:pStyle w:val="ATHeading3"/>
      </w:pPr>
      <w:bookmarkStart w:id="5" w:name="Sujet"/>
      <w:r w:rsidRPr="00533F75">
        <w:t xml:space="preserve">Rezolucija Europskog parlamenta od </w:t>
      </w:r>
      <w:r w:rsidR="00533F75">
        <w:t>17</w:t>
      </w:r>
      <w:r w:rsidRPr="00533F75">
        <w:t xml:space="preserve">. </w:t>
      </w:r>
      <w:r w:rsidR="00533F75">
        <w:t xml:space="preserve">lipnja </w:t>
      </w:r>
      <w:r w:rsidRPr="00533F75">
        <w:t>2026. o Izvješću Komisije o Kosovu za 2025.</w:t>
      </w:r>
      <w:bookmarkEnd w:id="5"/>
      <w:r w:rsidRPr="00533F75">
        <w:t xml:space="preserve"> </w:t>
      </w:r>
      <w:bookmarkStart w:id="6" w:name="References"/>
      <w:r w:rsidRPr="00533F75">
        <w:t>(2025/2252(INI))</w:t>
      </w:r>
      <w:bookmarkEnd w:id="6"/>
    </w:p>
    <w:p w:rsidR="000C73FD" w:rsidRPr="00533F75" w:rsidP="000C73FD" w14:paraId="2A8D540C" w14:textId="77777777">
      <w:pPr>
        <w:pStyle w:val="EPComma"/>
      </w:pPr>
      <w:r w:rsidRPr="00533F75">
        <w:rPr>
          <w:i/>
        </w:rPr>
        <w:t>Europski parlament</w:t>
      </w:r>
      <w:r w:rsidRPr="00533F75">
        <w:t>,</w:t>
      </w:r>
    </w:p>
    <w:p w:rsidR="000C73FD" w:rsidRPr="00533F75" w:rsidP="000C73FD" w14:paraId="0ADE276E" w14:textId="77777777">
      <w:pPr>
        <w:pStyle w:val="NormalHanging12a"/>
      </w:pPr>
      <w:r w:rsidRPr="00533F75">
        <w:t>–</w:t>
      </w:r>
      <w:r w:rsidRPr="00533F75">
        <w:tab/>
        <w:t>uzimajući u obzir Sporazum o stabilizaciji i pridruživanju između Europske unije i Europske zajednice za atomsku energiju, s jedne strane, i Kosova, s druge strane</w:t>
      </w:r>
      <w:r>
        <w:rPr>
          <w:rStyle w:val="FootnoteReference"/>
        </w:rPr>
        <w:footnoteReference w:id="2"/>
      </w:r>
      <w:r w:rsidRPr="00533F75">
        <w:t>, koji je na snazi od 1. travnja 2016.,</w:t>
      </w:r>
    </w:p>
    <w:p w:rsidR="000C73FD" w:rsidRPr="00533F75" w:rsidP="000C73FD" w14:paraId="079B5CFD" w14:textId="77777777">
      <w:pPr>
        <w:pStyle w:val="NormalHanging12a"/>
      </w:pPr>
      <w:r w:rsidRPr="00533F75">
        <w:t>–</w:t>
      </w:r>
      <w:r w:rsidRPr="00533F75">
        <w:tab/>
        <w:t>uzimajući u obzir zahtjev Kosova za pristupanje Europskoj uniji od 15. prosinca 2022.,</w:t>
      </w:r>
    </w:p>
    <w:p w:rsidR="000C73FD" w:rsidRPr="00533F75" w:rsidP="000C73FD" w14:paraId="6E4B07F6" w14:textId="77777777">
      <w:pPr>
        <w:pStyle w:val="NormalHanging12a"/>
      </w:pPr>
      <w:r w:rsidRPr="00533F75">
        <w:t>–</w:t>
      </w:r>
      <w:r w:rsidRPr="00533F75">
        <w:tab/>
        <w:t>uzimajući u obzir zahtjev Kosova za članstvo u Vijeću Europe od 12. svibnja 2022.,</w:t>
      </w:r>
    </w:p>
    <w:p w:rsidR="000C73FD" w:rsidRPr="00533F75" w:rsidP="000C73FD" w14:paraId="4F7D4F18" w14:textId="77777777">
      <w:pPr>
        <w:pStyle w:val="NormalHanging12a"/>
      </w:pPr>
      <w:r w:rsidRPr="00533F75">
        <w:t>–</w:t>
      </w:r>
      <w:r w:rsidRPr="00533F75">
        <w:tab/>
        <w:t>uzimajući u obzir Okvirni sporazum između Europske unije i Kosova o općim načelima sudjelovanja Kosova u programima Unije</w:t>
      </w:r>
      <w:r>
        <w:rPr>
          <w:rStyle w:val="FootnoteReference"/>
        </w:rPr>
        <w:footnoteReference w:id="3"/>
      </w:r>
      <w:r w:rsidRPr="00533F75">
        <w:t>, koji je na snazi od 1. kolovoza 2017.,</w:t>
      </w:r>
    </w:p>
    <w:p w:rsidR="000C73FD" w:rsidRPr="00533F75" w:rsidP="000C73FD" w14:paraId="155026C2" w14:textId="77777777">
      <w:pPr>
        <w:pStyle w:val="NormalHanging12a"/>
      </w:pPr>
      <w:r w:rsidRPr="00533F75">
        <w:t>–</w:t>
      </w:r>
      <w:r w:rsidRPr="00533F75">
        <w:tab/>
        <w:t>uzimajući u obzir Uredbu (EU) 2021/1529 Europskog parlamenta i Vijeća od 15. rujna 2021. o uspostavi Instrumenta pretpristupne pomoći (IPA III)</w:t>
      </w:r>
      <w:r>
        <w:rPr>
          <w:rStyle w:val="FootnoteReference"/>
        </w:rPr>
        <w:footnoteReference w:id="4"/>
      </w:r>
      <w:r w:rsidRPr="00533F75">
        <w:t>,</w:t>
      </w:r>
    </w:p>
    <w:p w:rsidR="000C73FD" w:rsidRPr="00533F75" w:rsidP="000C73FD" w14:paraId="3EEBAE8D" w14:textId="77777777">
      <w:pPr>
        <w:pStyle w:val="NormalHanging12a"/>
      </w:pPr>
      <w:r w:rsidRPr="00533F75">
        <w:t>–</w:t>
      </w:r>
      <w:r w:rsidRPr="00533F75">
        <w:tab/>
        <w:t>uzimajući u obzir Uredbu (EU) 2023/850 Europskog parlamenta i Vijeća od 19. travnja 2023. o izmjeni Uredbe (EU) 2018/1806 o popisu trećih zemalja čiji državljani moraju imati vizu pri prelasku vanjskih granica i zemalja čiji su državljani izuzeti od tog zahtjeva</w:t>
      </w:r>
      <w:r>
        <w:rPr>
          <w:rStyle w:val="FootnoteReference"/>
        </w:rPr>
        <w:footnoteReference w:id="5"/>
      </w:r>
      <w:r w:rsidRPr="00533F75">
        <w:t>, u pogledu Kosova, kojom se od 1. siječnja 2024. omogućuje putovanje bez vize za nositelje biometrijskih putovnica Kosova,</w:t>
      </w:r>
    </w:p>
    <w:p w:rsidR="000C73FD" w:rsidRPr="00533F75" w:rsidP="000C73FD" w14:paraId="72943B66" w14:textId="77777777">
      <w:pPr>
        <w:pStyle w:val="NormalHanging12a"/>
      </w:pPr>
      <w:r w:rsidRPr="00533F75">
        <w:t>–</w:t>
      </w:r>
      <w:r w:rsidRPr="00533F75">
        <w:tab/>
        <w:t xml:space="preserve">uzimajući u obzir Uredbu (EU) 2024/1449 Europskog parlamenta i Vijeća od </w:t>
      </w:r>
      <w:r w:rsidRPr="00533F75">
        <w:t>14. svibnja 2024. o uspostavi Instrumenta za reforme i rast za zapadni Balkan</w:t>
      </w:r>
      <w:r>
        <w:rPr>
          <w:rStyle w:val="FootnoteReference"/>
        </w:rPr>
        <w:footnoteReference w:id="6"/>
      </w:r>
      <w:r w:rsidRPr="00533F75">
        <w:t>,</w:t>
      </w:r>
    </w:p>
    <w:p w:rsidR="000C73FD" w:rsidRPr="00533F75" w:rsidP="000C73FD" w14:paraId="3BB7B2A3" w14:textId="77777777">
      <w:pPr>
        <w:pStyle w:val="NormalHanging12a"/>
      </w:pPr>
      <w:r w:rsidRPr="00533F75">
        <w:t>–</w:t>
      </w:r>
      <w:r w:rsidRPr="00533F75">
        <w:tab/>
        <w:t>uzimajući u obzir zaključke predsjedništva sa sastanka Europskog vijeća održanog 19. i 20. lipnja 2003. u Solunu,</w:t>
      </w:r>
    </w:p>
    <w:p w:rsidR="000C73FD" w:rsidRPr="00533F75" w:rsidP="000C73FD" w14:paraId="114CF75A" w14:textId="77777777">
      <w:pPr>
        <w:pStyle w:val="NormalHanging12a"/>
      </w:pPr>
      <w:r w:rsidRPr="00533F75">
        <w:t>–</w:t>
      </w:r>
      <w:r w:rsidRPr="00533F75">
        <w:tab/>
        <w:t>uzimajući u obzir sastanke na vrhu EU-a i zemalja zapadnog Balkana koji su se održali u Sofiji, Zagrebu i Brdu pri Kranju 2018., 2020. i 2021. te izjave s tih sastanaka,</w:t>
      </w:r>
    </w:p>
    <w:p w:rsidR="000C73FD" w:rsidRPr="00533F75" w:rsidP="000C73FD" w14:paraId="50B9ECE5" w14:textId="77777777">
      <w:pPr>
        <w:pStyle w:val="NormalHanging12a"/>
      </w:pPr>
      <w:r w:rsidRPr="00533F75">
        <w:t>–</w:t>
      </w:r>
      <w:r w:rsidRPr="00533F75">
        <w:tab/>
        <w:t>uzimajući u obzir sastanak čelnika zemalja zapadnog Balkana održan 1. srpnja 2025. u Skopju (Sjeverna Makedonija) o planu rasta za zapadni Balkan,</w:t>
      </w:r>
    </w:p>
    <w:p w:rsidR="000C73FD" w:rsidRPr="00533F75" w:rsidP="000C73FD" w14:paraId="07C1E5AF" w14:textId="77777777">
      <w:pPr>
        <w:pStyle w:val="NormalHanging12a"/>
      </w:pPr>
      <w:r w:rsidRPr="00533F75">
        <w:t>–</w:t>
      </w:r>
      <w:r w:rsidRPr="00533F75">
        <w:tab/>
        <w:t>uzimajući u obzir Izjavu sa sastanka na vrhu EU-a i zemalja zapadnog Balkana održanog 17. prosinca 2025.,</w:t>
      </w:r>
    </w:p>
    <w:p w:rsidR="000C73FD" w:rsidRPr="00533F75" w:rsidP="000C73FD" w14:paraId="349531E8" w14:textId="77777777">
      <w:pPr>
        <w:pStyle w:val="NormalHanging12a"/>
      </w:pPr>
      <w:r w:rsidRPr="00533F75">
        <w:t>–</w:t>
      </w:r>
      <w:r w:rsidRPr="00533F75">
        <w:tab/>
        <w:t>uzimajući u obzir zaključke predsjedništva od 16. prosinca 2025. o proširenju,</w:t>
      </w:r>
    </w:p>
    <w:p w:rsidR="000C73FD" w:rsidRPr="00533F75" w:rsidP="000C73FD" w14:paraId="5AA8681F" w14:textId="77777777">
      <w:pPr>
        <w:pStyle w:val="NormalHanging12a"/>
      </w:pPr>
      <w:r w:rsidRPr="00533F75">
        <w:t>–</w:t>
      </w:r>
      <w:r w:rsidRPr="00533F75">
        <w:tab/>
        <w:t>uzimajući u obzir Berlinski proces, započet 28. kolovoza 2014.,</w:t>
      </w:r>
    </w:p>
    <w:p w:rsidR="000C73FD" w:rsidRPr="00533F75" w:rsidP="000C73FD" w14:paraId="09AF5B1C" w14:textId="77777777">
      <w:pPr>
        <w:pStyle w:val="NormalHanging12a"/>
      </w:pPr>
      <w:r w:rsidRPr="00533F75">
        <w:t>–</w:t>
      </w:r>
      <w:r w:rsidRPr="00533F75">
        <w:tab/>
        <w:t>uzimajući u obzir zaključke predsjedatelja sa sastanka na vrhu o Berlinskom procesu, održanog 22. listopada 2025.,</w:t>
      </w:r>
    </w:p>
    <w:p w:rsidR="000C73FD" w:rsidRPr="00533F75" w:rsidP="000C73FD" w14:paraId="2746FF97" w14:textId="77777777">
      <w:pPr>
        <w:pStyle w:val="NormalHanging12a"/>
      </w:pPr>
      <w:r w:rsidRPr="00533F75">
        <w:t>–</w:t>
      </w:r>
      <w:r w:rsidRPr="00533F75">
        <w:tab/>
        <w:t>uzimajući u obzir komunikaciju Komisije od 6. listopada 2020. naslovljenu „Gospodarski i investicijski plan za zapadni Balkan” (</w:t>
      </w:r>
      <w:hyperlink r:id="rId7" w:tgtFrame="https://eur-lex.europa.eu/legal-content/EN/ALL/?uri=CELEX:52020DC0641" w:history="1">
        <w:r w:rsidRPr="00533F75">
          <w:t>COM(2020)0641</w:t>
        </w:r>
      </w:hyperlink>
      <w:r w:rsidRPr="00533F75">
        <w:t>),</w:t>
      </w:r>
    </w:p>
    <w:p w:rsidR="000C73FD" w:rsidRPr="00533F75" w:rsidP="000C73FD" w14:paraId="69C80318" w14:textId="77777777">
      <w:pPr>
        <w:pStyle w:val="NormalHanging12a"/>
      </w:pPr>
      <w:r w:rsidRPr="00533F75">
        <w:t>–</w:t>
      </w:r>
      <w:r w:rsidRPr="00533F75">
        <w:tab/>
        <w:t>uzimajući u obzir komunikaciju Komisije od 8. studenoga 2023. naslovljenu „Novi plan rasta za zapadni Balkan” (</w:t>
      </w:r>
      <w:hyperlink r:id="rId8" w:tgtFrame="https://eur-lex.europa.eu/legal-content/EN/ALL/?uri=CELEX:52023DC0691" w:history="1">
        <w:r w:rsidRPr="00533F75">
          <w:t>COM(2023)0691</w:t>
        </w:r>
      </w:hyperlink>
      <w:r w:rsidRPr="00533F75">
        <w:t>),</w:t>
      </w:r>
    </w:p>
    <w:p w:rsidR="000C73FD" w:rsidRPr="00533F75" w:rsidP="000C73FD" w14:paraId="392B953F" w14:textId="77777777">
      <w:pPr>
        <w:pStyle w:val="NormalHanging12a"/>
      </w:pPr>
      <w:r w:rsidRPr="00533F75">
        <w:t>–</w:t>
      </w:r>
      <w:r w:rsidRPr="00533F75">
        <w:tab/>
        <w:t>uzimajući u obzir Komunikaciju Komisije od 20. ožujka 2024. o reformama i preispitivanjima politika prije proširenja (</w:t>
      </w:r>
      <w:hyperlink r:id="rId9" w:tgtFrame="https://eur-lex.europa.eu/legal-content/EN/ALL/?uri=CELEX:52024DC0146" w:history="1">
        <w:r w:rsidRPr="00533F75">
          <w:t>COM(2024)0146</w:t>
        </w:r>
      </w:hyperlink>
      <w:r w:rsidRPr="00533F75">
        <w:t>),</w:t>
      </w:r>
    </w:p>
    <w:p w:rsidR="000C73FD" w:rsidRPr="00533F75" w:rsidP="000C73FD" w14:paraId="58097072" w14:textId="77777777">
      <w:pPr>
        <w:pStyle w:val="NormalHanging12a"/>
      </w:pPr>
      <w:r w:rsidRPr="00533F75">
        <w:t>–</w:t>
      </w:r>
      <w:r w:rsidRPr="00533F75">
        <w:tab/>
        <w:t>uzimajući u obzir komunikaciju Komisije od 4. studenoga 2025. naslovljenu „Komunikacija o politici proširenja EU-a za 2025.” (COM(2025)0690) i popratni radni dokument službi Komisije naslovljen „Izvješće o Kosovu za 2025.” (SWD(2025)0752),</w:t>
      </w:r>
    </w:p>
    <w:p w:rsidR="000C73FD" w:rsidRPr="00533F75" w:rsidP="000C73FD" w14:paraId="7D2BA817" w14:textId="77777777">
      <w:pPr>
        <w:pStyle w:val="NormalHanging12a"/>
      </w:pPr>
      <w:r w:rsidRPr="00533F75">
        <w:t>–</w:t>
      </w:r>
      <w:r w:rsidRPr="00533F75">
        <w:tab/>
        <w:t>uzimajući u obzir Ugovor o osnivanju Energetske zajednice, potpisan u Ateni 25. listopada 2005., čiji je cilj proširivanje pravila unutarnjeg energetskog tržišta EU-a na jugoistočnu Europu,</w:t>
      </w:r>
    </w:p>
    <w:p w:rsidR="000C73FD" w:rsidRPr="00533F75" w:rsidP="000C73FD" w14:paraId="0EDC8307" w14:textId="77777777">
      <w:pPr>
        <w:pStyle w:val="NormalHanging12a"/>
      </w:pPr>
      <w:r w:rsidRPr="00533F75">
        <w:t>–</w:t>
      </w:r>
      <w:r w:rsidRPr="00533F75">
        <w:tab/>
        <w:t>uzimajući u obzir Rezoluciju Vijeća sigurnosti UN-a 1244 od 10. lipnja 1999., savjetodavno mišljenje Međunarodnog suda od 22. srpnja 2010. o sukladnosti jednostranog proglašenja neovisnosti Kosova s međunarodnim pravom te Rezoluciju Opće skupštine UN-a 64/298 od 9. rujna 2010., u kojoj je potvrđen sadržaj mišljenja Međunarodnog suda i pozdravljena spremnost EU-a da posreduje u dijalogu između Srbije i Kosova,</w:t>
      </w:r>
    </w:p>
    <w:p w:rsidR="000C73FD" w:rsidRPr="00533F75" w:rsidP="000C73FD" w14:paraId="3C9B6302" w14:textId="77777777">
      <w:pPr>
        <w:pStyle w:val="NormalHanging12a"/>
      </w:pPr>
      <w:r w:rsidRPr="00533F75">
        <w:t>–</w:t>
      </w:r>
      <w:r w:rsidRPr="00533F75">
        <w:tab/>
        <w:t>uzimajući u obzir kontinuiranu usklađenost Kosova sa zajedničkom vanjskom i sigurnosnom politikom EU-a,</w:t>
      </w:r>
    </w:p>
    <w:p w:rsidR="000C73FD" w:rsidRPr="00533F75" w:rsidP="000C73FD" w14:paraId="303217CC" w14:textId="77777777">
      <w:pPr>
        <w:pStyle w:val="NormalHanging12a"/>
      </w:pPr>
      <w:r w:rsidRPr="00533F75">
        <w:t>–</w:t>
      </w:r>
      <w:r w:rsidRPr="00533F75">
        <w:tab/>
        <w:t xml:space="preserve">uzimajući u obzir prvi sporazum o načelima kojima se uređuje normalizacija odnosa između Srbije i Kosova od 19. travnja 2013., sporazume od 25. kolovoza 2015. te </w:t>
      </w:r>
      <w:r w:rsidRPr="00533F75">
        <w:t>aktualni dijalog za normalizaciju odnosa uz posredovanje EU-a,</w:t>
      </w:r>
    </w:p>
    <w:p w:rsidR="000C73FD" w:rsidRPr="00533F75" w:rsidP="000C73FD" w14:paraId="0CC7BF4F" w14:textId="77777777">
      <w:pPr>
        <w:pStyle w:val="NormalHanging12a"/>
      </w:pPr>
      <w:r w:rsidRPr="00533F75">
        <w:t>–</w:t>
      </w:r>
      <w:r w:rsidRPr="00533F75">
        <w:tab/>
        <w:t>uzimajući u obzir Briselski sporazum od 27. veljače 2023. te Ohridski sporazum od 18. ožujka 2023. i njegov prilog o provedbi,</w:t>
      </w:r>
    </w:p>
    <w:p w:rsidR="000C73FD" w:rsidRPr="00533F75" w:rsidP="000C73FD" w14:paraId="6602F723" w14:textId="77777777">
      <w:pPr>
        <w:pStyle w:val="NormalHanging12a"/>
      </w:pPr>
      <w:r w:rsidRPr="00533F75">
        <w:t>–</w:t>
      </w:r>
      <w:r w:rsidRPr="00533F75">
        <w:tab/>
        <w:t>uzimajući u obzir stalnu prisutnost i mandat mirovnih snaga na Kosovu pod vodstvom NATO-a, koje i dalje pomažu u održavanju sigurnog i zaštićenog okružja i slobode kretanja na Kosovu,</w:t>
      </w:r>
    </w:p>
    <w:p w:rsidR="000C73FD" w:rsidRPr="00533F75" w:rsidP="000C73FD" w14:paraId="1ACFF7D2" w14:textId="77777777">
      <w:pPr>
        <w:pStyle w:val="NormalHanging12a"/>
      </w:pPr>
      <w:r w:rsidRPr="00533F75">
        <w:t>–</w:t>
      </w:r>
      <w:r w:rsidRPr="00533F75">
        <w:tab/>
        <w:t>uzimajući u obzir Odluku Vijeća (ZVSP) 2025/1161 od 5. lipnja 2025. o izmjeni Zajedničke akcije 2008/124/ZVSP o Misiji Europske unije za uspostavu vladavine prava u Kosovu, EULEX Kosovo</w:t>
      </w:r>
      <w:r>
        <w:rPr>
          <w:rStyle w:val="FootnoteReference"/>
        </w:rPr>
        <w:footnoteReference w:id="7"/>
      </w:r>
      <w:r w:rsidRPr="00533F75">
        <w:t>, kojom je trajanje misije produljeno do 14. lipnja 2027.,</w:t>
      </w:r>
    </w:p>
    <w:p w:rsidR="000C73FD" w:rsidRPr="00533F75" w:rsidP="000C73FD" w14:paraId="376301AA" w14:textId="77777777">
      <w:pPr>
        <w:pStyle w:val="NormalHanging12a"/>
      </w:pPr>
      <w:r w:rsidRPr="00533F75">
        <w:t>–</w:t>
      </w:r>
      <w:r w:rsidRPr="00533F75">
        <w:tab/>
        <w:t>uzimajući u obzir konačno izvješće misije Europske unije za promatranje izbora o parlamentarnim izborima na Kosovu održanima 2025.,</w:t>
      </w:r>
    </w:p>
    <w:p w:rsidR="000C73FD" w:rsidRPr="00533F75" w:rsidP="000C73FD" w14:paraId="6C43B072" w14:textId="77777777">
      <w:pPr>
        <w:pStyle w:val="NormalHanging12a"/>
      </w:pPr>
      <w:r w:rsidRPr="00533F75">
        <w:t>–</w:t>
      </w:r>
      <w:r w:rsidRPr="00533F75">
        <w:tab/>
        <w:t>uzimajući u obzir svoje prijašnje rezolucije o Kosovu,</w:t>
      </w:r>
    </w:p>
    <w:p w:rsidR="000C73FD" w:rsidRPr="00533F75" w:rsidP="000C73FD" w14:paraId="7BD4EF82" w14:textId="77777777">
      <w:pPr>
        <w:pStyle w:val="NormalHanging12a"/>
      </w:pPr>
      <w:r w:rsidRPr="00533F75">
        <w:t>–</w:t>
      </w:r>
      <w:r w:rsidRPr="00533F75">
        <w:tab/>
        <w:t xml:space="preserve">uzimajući u obzir zajedničke preporuke donesene na 12. sjednici Parlamentarnog odbora EU-a i Kosova za stabilizaciju i pridruživanje, održanoj 9. prosinca 2024., </w:t>
      </w:r>
    </w:p>
    <w:p w:rsidR="000C73FD" w:rsidRPr="00533F75" w:rsidP="000C73FD" w14:paraId="32F55639" w14:textId="77777777">
      <w:pPr>
        <w:pStyle w:val="NormalHanging12a"/>
      </w:pPr>
      <w:r w:rsidRPr="00533F75">
        <w:t>–</w:t>
      </w:r>
      <w:r w:rsidRPr="00533F75">
        <w:tab/>
        <w:t>uzimajući u obzir indeks percepcije korupcije za 2025. organizacije Transparency International,</w:t>
      </w:r>
    </w:p>
    <w:p w:rsidR="000C73FD" w:rsidRPr="00533F75" w:rsidP="000C73FD" w14:paraId="08F99643" w14:textId="77777777">
      <w:pPr>
        <w:pStyle w:val="NormalHanging12a"/>
      </w:pPr>
      <w:r w:rsidRPr="00533F75">
        <w:t>–</w:t>
      </w:r>
      <w:r w:rsidRPr="00533F75">
        <w:tab/>
        <w:t>uzimajući u obzir svjetski indeks slobode medija za 2025. organizacije Reporteri bez granica,</w:t>
      </w:r>
    </w:p>
    <w:p w:rsidR="000C73FD" w:rsidRPr="00533F75" w:rsidP="000C73FD" w14:paraId="6A063BBD" w14:textId="77777777">
      <w:pPr>
        <w:pStyle w:val="NormalHanging12a"/>
      </w:pPr>
      <w:r w:rsidRPr="00533F75">
        <w:rPr>
          <w:i/>
        </w:rPr>
        <w:t>–</w:t>
      </w:r>
      <w:r w:rsidRPr="00533F75">
        <w:rPr>
          <w:i/>
        </w:rPr>
        <w:tab/>
      </w:r>
      <w:r w:rsidRPr="00533F75">
        <w:t>uzimajući u obzir misiju za utvrđivanje činjenica Platforme Vijeća Europe za sigurnost novinara održanu u Prištini 24. i 25. ožujka 2026.,</w:t>
      </w:r>
    </w:p>
    <w:p w:rsidR="000C73FD" w:rsidRPr="00533F75" w:rsidP="000C73FD" w14:paraId="0C2EB2BB" w14:textId="77777777">
      <w:pPr>
        <w:pStyle w:val="NormalHanging12a"/>
      </w:pPr>
      <w:r w:rsidRPr="00533F75">
        <w:t>–</w:t>
      </w:r>
      <w:r w:rsidRPr="00533F75">
        <w:tab/>
        <w:t>uzimajući u obzir članak 55. Poslovnika,</w:t>
      </w:r>
    </w:p>
    <w:p w:rsidR="000C73FD" w:rsidRPr="00533F75" w:rsidP="000C73FD" w14:paraId="768B6714" w14:textId="77777777">
      <w:pPr>
        <w:pStyle w:val="NormalHanging12a"/>
      </w:pPr>
      <w:r w:rsidRPr="00533F75">
        <w:t>–</w:t>
      </w:r>
      <w:r w:rsidRPr="00533F75">
        <w:tab/>
        <w:t>uzimajući u obzir izvješće Odbora za vanjske poslove (A10</w:t>
      </w:r>
      <w:r w:rsidRPr="00533F75">
        <w:noBreakHyphen/>
        <w:t xml:space="preserve">0166/2026), </w:t>
      </w:r>
    </w:p>
    <w:p w:rsidR="000C73FD" w:rsidRPr="00533F75" w:rsidP="000C73FD" w14:paraId="5CFE5E7A" w14:textId="77777777">
      <w:pPr>
        <w:pStyle w:val="NormalHanging12a"/>
      </w:pPr>
      <w:bookmarkStart w:id="7" w:name="_Hlk222084676"/>
      <w:r w:rsidRPr="00533F75">
        <w:t>A.</w:t>
      </w:r>
      <w:r w:rsidRPr="00533F75">
        <w:tab/>
      </w:r>
      <w:bookmarkEnd w:id="7"/>
      <w:r w:rsidRPr="00533F75">
        <w:t>budući da je politika proširenja jedan od najučinkovitijih instrumenata vanjske politike EU-a i jedna od najuspješnijih politika EU-a za stimuliranje i poticanje temeljnih reformi u zemljama kandidatkinjama te strateško geopolitičko ulaganje u dugoročni mir, stabilnost i sigurnost na cijelom kontinentu;</w:t>
      </w:r>
    </w:p>
    <w:p w:rsidR="000C73FD" w:rsidRPr="00533F75" w:rsidP="000C73FD" w14:paraId="257B6409" w14:textId="77777777">
      <w:pPr>
        <w:pStyle w:val="NormalHanging12a"/>
      </w:pPr>
      <w:r w:rsidRPr="00533F75">
        <w:t>B.</w:t>
      </w:r>
      <w:r w:rsidRPr="00533F75">
        <w:tab/>
        <w:t>budući da su demokracija, ljudska prava i vladavina prava temeljne vrijednosti na kojima počiva EU; budući da se te temeljne vrijednosti ne mogu dovesti u pitanje u kontekstu procesa proširenja;</w:t>
      </w:r>
    </w:p>
    <w:p w:rsidR="000C73FD" w:rsidRPr="00533F75" w:rsidP="000C73FD" w14:paraId="09B96E76" w14:textId="77777777">
      <w:pPr>
        <w:pStyle w:val="NormalHanging12a"/>
        <w:rPr>
          <w:szCs w:val="24"/>
        </w:rPr>
      </w:pPr>
      <w:r w:rsidRPr="00533F75">
        <w:t>C.</w:t>
      </w:r>
      <w:r w:rsidRPr="00533F75">
        <w:tab/>
        <w:t>budući da je Ustav Republike Kosova jedan od najprogresivnijih ustava u pogledu prava manjina;</w:t>
      </w:r>
    </w:p>
    <w:p w:rsidR="000C73FD" w:rsidRPr="00533F75" w:rsidP="000C73FD" w14:paraId="29CF5965" w14:textId="77777777">
      <w:pPr>
        <w:pStyle w:val="NormalHanging12a"/>
        <w:rPr>
          <w:b/>
        </w:rPr>
      </w:pPr>
      <w:r w:rsidRPr="00533F75">
        <w:t>D.</w:t>
      </w:r>
      <w:r w:rsidRPr="00533F75">
        <w:tab/>
        <w:t>budući da se svaka država kandidatkinja ocjenjuje isključivo na temelju vlastitih postignuća; budući da raspored i napredak pristupanja ovise o provedbi potrebnih reformi te ispunjavanju skupa kriterija i poštovanju zajedničkih europskih vrijednosti;</w:t>
      </w:r>
      <w:r w:rsidRPr="00533F75">
        <w:rPr>
          <w:b/>
        </w:rPr>
        <w:t xml:space="preserve"> </w:t>
      </w:r>
      <w:r w:rsidRPr="00533F75">
        <w:t>budući da se proces pristupanja ne može nastaviti bez provedbe potrebnih reformi;</w:t>
      </w:r>
    </w:p>
    <w:p w:rsidR="000C73FD" w:rsidRPr="00533F75" w:rsidP="000C73FD" w14:paraId="12A537D5" w14:textId="77777777">
      <w:pPr>
        <w:pStyle w:val="NormalHanging12a"/>
      </w:pPr>
      <w:r w:rsidRPr="00533F75">
        <w:t>E.</w:t>
      </w:r>
      <w:r w:rsidRPr="00533F75">
        <w:tab/>
        <w:t>budući da put Kosova prema članstvu u EU-u ovisi i o normalizaciji odnosa sa Srbijom i dobrosusjedskim odnosima;</w:t>
      </w:r>
    </w:p>
    <w:p w:rsidR="000C73FD" w:rsidRPr="00533F75" w:rsidP="000C73FD" w14:paraId="675BAC6F" w14:textId="77777777">
      <w:pPr>
        <w:pStyle w:val="NormalHanging12a"/>
      </w:pPr>
      <w:r w:rsidRPr="00533F75">
        <w:t>F.</w:t>
      </w:r>
      <w:r w:rsidRPr="00533F75">
        <w:tab/>
        <w:t>budući da je zaštita integriteta demokratskih procesa postala središnje pitanje politike proširenja EU-a; budući da je Kosovo bilo izloženo inozemnom upletanju i kampanjama dezinformiranja, naročito iz Rusije, među ostalim putem srbijanskih nacionalističkih medija, u cilju destabilizacije demokratskih institucija, narušavanja društvene kohezije i sprječavanja europske integracije Kosova; budući da je jačanje demokratske otpornosti sastavni dio ispunjavanja političkih kriterija za pristupanje;</w:t>
      </w:r>
    </w:p>
    <w:p w:rsidR="000C73FD" w:rsidRPr="00533F75" w:rsidP="000C73FD" w14:paraId="42F31828" w14:textId="77777777">
      <w:pPr>
        <w:pStyle w:val="NormalHanging12a"/>
        <w:rPr>
          <w:bCs/>
        </w:rPr>
      </w:pPr>
      <w:r w:rsidRPr="00533F75">
        <w:t>G.</w:t>
      </w:r>
      <w:r w:rsidRPr="00533F75">
        <w:tab/>
        <w:t>budući da, za razliku od općeg europskog stajališta, Cipar, Grčka, Rumunjska, Slovačka i Španjolska još nisu priznali neovisnost Kosova;</w:t>
      </w:r>
    </w:p>
    <w:p w:rsidR="000C73FD" w:rsidRPr="00533F75" w:rsidP="000C73FD" w14:paraId="02F29DB6" w14:textId="77777777">
      <w:pPr>
        <w:pStyle w:val="NormalHanging12a"/>
        <w:rPr>
          <w:b/>
          <w:bCs/>
        </w:rPr>
      </w:pPr>
      <w:r w:rsidRPr="00533F75">
        <w:rPr>
          <w:b/>
          <w:i/>
        </w:rPr>
        <w:t>Predanost pristupanju EU-u</w:t>
      </w:r>
    </w:p>
    <w:p w:rsidR="000C73FD" w:rsidRPr="00533F75" w:rsidP="000C73FD" w14:paraId="3099072A" w14:textId="77777777">
      <w:pPr>
        <w:pStyle w:val="NormalHanging12a"/>
      </w:pPr>
      <w:r w:rsidRPr="00533F75">
        <w:t>1.</w:t>
      </w:r>
      <w:r w:rsidRPr="00533F75">
        <w:tab/>
        <w:t>pohvaljuje kontinuiranu predanost Kosova pristupanju EU-u, što odražava jasan strateški geopolitički izbor kojim se jača sigurnost, snažnu povezanost s Europom, opći međustranački konsenzus u pogledu europske integracije te visoku razinu potpore javnosti europskom putu Kosova, među ostalim razvojem bliskih i konkretnih odnosa s EU-om;</w:t>
      </w:r>
    </w:p>
    <w:p w:rsidR="000C73FD" w:rsidRPr="00533F75" w:rsidP="000C73FD" w14:paraId="79B4AB00" w14:textId="77777777">
      <w:pPr>
        <w:pStyle w:val="NormalHanging12a"/>
        <w:rPr>
          <w:color w:val="0070C0"/>
        </w:rPr>
      </w:pPr>
      <w:r w:rsidRPr="00533F75">
        <w:t>2.</w:t>
      </w:r>
      <w:r w:rsidRPr="00533F75">
        <w:tab/>
        <w:t>ponovno izražava čvrsto uvjerenje da je budućnost Kosova u EU-u, posebno s obzirom na trenutačnu geopolitičku dinamiku u regiji, brze velike promjene u svjetskoj politici i sve veće natjecanje s autoritarnim režimima; naglašava da je približavanje Kosova i EU-a dio procesa postupne integracije koji nadilazi formalno pristupanje; naglašava da su konkretni oblici suradnje i postupne integracije, među ostalim putem sektorskih partnerstava, sudjelovanje u programima EU-a kao što je Erasmus+ i uključivanje u određene politike EU-a ključne poluge za jačanje veza s Kosovom; ističe da ti instrumenti omogućuju konsolidaciju povezanosti Europe i Kosova i rješavanje geostrateških izazova u regiji, među ostalim sprečavanjem utjecaja vanjskih aktera, ne dovodeći u pitanje tempo ili ishod procesa proširenja;</w:t>
      </w:r>
    </w:p>
    <w:p w:rsidR="000C73FD" w:rsidRPr="00533F75" w:rsidP="000C73FD" w14:paraId="2311208E" w14:textId="77777777">
      <w:pPr>
        <w:pStyle w:val="NormalHanging12a"/>
        <w:rPr>
          <w:bCs/>
        </w:rPr>
      </w:pPr>
      <w:r w:rsidRPr="00533F75">
        <w:t>3.</w:t>
      </w:r>
      <w:r w:rsidRPr="00533F75">
        <w:tab/>
        <w:t>pozdravlja osnivanje nove Skupštine i Vlade Kosova 12. veljače 2026. nakon prijevremenih demokratskih parlamentarnih izbora održanih u prosincu 2025. i nakon više od jedne godine političkog zastoja i duboke političke polarizacije; međutim, žali zbog toga što je politički proces 2025. bio paraliziran, zbog čega je to za Kosovo bila „izgubljena godina”; nadalje, žali zbog toga što Skupština nije izabrala novog predsjednika u ustavnom roku; prima na znanje raspuštanje Skupštine predsjedničkim dekretom od 6. ožujka 2026. i naknadnu presudu Ustavnog suda Kosova kojom se ta odluka poništava i članovima Skupštine daje 34 dana za biranje novog predsjednika, nakon čega se u državi moraju održati novi izbori; prima na znanje neuspjele pokušaje izbora predsjednika do tog roka i posljedičnu najavu novih parlamentarnih izbora za 7. lipnja 2026.;</w:t>
      </w:r>
    </w:p>
    <w:p w:rsidR="000C73FD" w:rsidRPr="00533F75" w:rsidP="000C73FD" w14:paraId="631A9D4F" w14:textId="77777777">
      <w:pPr>
        <w:pStyle w:val="NormalHanging12a"/>
        <w:rPr>
          <w:i/>
        </w:rPr>
      </w:pPr>
      <w:r w:rsidRPr="00533F75">
        <w:t>4.</w:t>
      </w:r>
      <w:r w:rsidRPr="00533F75">
        <w:tab/>
        <w:t xml:space="preserve">nadalje, pozdravlja činjenicu da je Skupština Kosova 13. veljače 2026. ratificirala sporazume u okviru Instrumenta za reforme i rast; napominje da to otvara put Kosovu za pristup znatnim bespovratnim sredstvima i povlaštenim zajmovima usmjerenima na unapređenje ključnih reformi, ubrzavanje gospodarske konvergencije i ostvarivanje daljnjeg napretka na europskom putu; duboko žali zbog toga što zemlja zbog </w:t>
      </w:r>
      <w:r w:rsidRPr="00533F75">
        <w:t>„izgubljene godine” i potencijalno dodatno izgubljenih mjeseci zbog održavanja izborne kampanje možda neće moći provesti sve potrebne reforme u zadanim rokovima te bi mogla izgubiti znatne iznose financijske potpore u okviru Instrumenta za reforme i rast;</w:t>
      </w:r>
    </w:p>
    <w:p w:rsidR="000C73FD" w:rsidRPr="00533F75" w:rsidP="000C73FD" w14:paraId="0F11C29C" w14:textId="77777777">
      <w:pPr>
        <w:pStyle w:val="NormalHanging12a"/>
      </w:pPr>
      <w:r w:rsidRPr="00533F75">
        <w:t>5.</w:t>
      </w:r>
      <w:r w:rsidRPr="00533F75">
        <w:tab/>
        <w:t xml:space="preserve">naglašava da se vjerodostojno proširenje temelji na procesu utemeljenom na zaslugama koji zahtijeva trajan i nepovratan zamah reformi i njihovu strogu provedbu u skladu sa standardima EU-a, uključujući </w:t>
      </w:r>
      <w:r w:rsidRPr="00533F75">
        <w:t>Kopenhaške</w:t>
      </w:r>
      <w:r w:rsidRPr="00533F75">
        <w:t xml:space="preserve"> kriterije;</w:t>
      </w:r>
      <w:r w:rsidRPr="00533F75">
        <w:rPr>
          <w:i/>
        </w:rPr>
        <w:t xml:space="preserve"> </w:t>
      </w:r>
      <w:r w:rsidRPr="00533F75">
        <w:t>poziva Kosovo da ubrza svoj napredak u provedbi reformi povezanih s EU-om, osobito u područjima vladavine prava, temeljnih sloboda i borbe protiv korupcije, posebno korupcije na visokoj razini, te da nastavi ulagati napore jačanjem svoje predanosti europskim vrijednostima i standardima; naglašava da svaka pretpristupna pomoć i povezana financijska pomoć moraju i dalje biti strogo uvjetovane mjerljivim i provjerljivim rezultatima u tim područjima; u tom pogledu podsjeća na važnost poštovanja vladavine prava, jamčenja poštovanja mišljenja svih i učinkovite primjene zakona u praksi; naglašava da je potrebno ponovno odrediti prioritete tih reformi i postići njihov konkretan napredak kako bi Kosovo ojačalo svoju privrženost Europi i vratilo se na put prema pristupanju EU-u; naglašava da proširenje podrazumijeva i temeljitu pripremu institucija EU-a i država članica kako bi se osigurala uspješna integracija potencijalnih novih članica, uz poštovanje gospodarske stabilnosti unutarnjeg tržišta, socijalnih i ekoloških standarda te pravilnog funkcioniranja institucija EU-a;</w:t>
      </w:r>
    </w:p>
    <w:p w:rsidR="000C73FD" w:rsidRPr="00533F75" w:rsidP="000C73FD" w14:paraId="37638528" w14:textId="77777777">
      <w:pPr>
        <w:pStyle w:val="NormalHanging12a"/>
      </w:pPr>
      <w:r w:rsidRPr="00533F75">
        <w:t>6.</w:t>
      </w:r>
      <w:r w:rsidRPr="00533F75">
        <w:tab/>
        <w:t>podržava zahtjev Kosova za članstvo u EU-u podnesen u prosincu 2022.; ponavlja svoj poziv državama članicama u Vijeću da pozovu Komisiju da bez nepotrebne odgode predstavi svoj upitnik i da dostavi svoje mišljenje o osnovanosti zahtjeva te zemlje za članstvo i poziva Vijeće da zatim brzo djeluje, među ostalim da joj dodjeli status zemlje kandidatkinje nakon što se ispune relevantni kriteriji; traži od pet država članica koje još nisu priznale neovisnost Kosova da to učine bez odgode te mu tako omoguće da napreduje ravnopravno s ostalim zemljama kandidatkinjama; podsjeća na savjetodavno mišljenje Međunarodnog suda od 22. srpnja 2010., u kojem se navodi da Kosovo jednostranim proglašenjem neovisnosti nije prekršilo opće međunarodno pravo;</w:t>
      </w:r>
    </w:p>
    <w:p w:rsidR="000C73FD" w:rsidRPr="00533F75" w:rsidP="000C73FD" w14:paraId="7FF828FE" w14:textId="77777777">
      <w:pPr>
        <w:pStyle w:val="NormalHanging12a"/>
      </w:pPr>
      <w:r w:rsidRPr="00533F75">
        <w:t>7.</w:t>
      </w:r>
      <w:r w:rsidRPr="00533F75">
        <w:tab/>
        <w:t>ponovno izražava potporu za zahtjev Kosova za članstvo u Vijeću Europe i strateški orijentacijski plan te zemlje da se pridruži programu NATO-a Partnerstvo za mir i njezinim zahtjevima da se pridruži drugim međunarodnim organizacijama; poziva dotične organizacije i države članice da aktivno podupru te zahtjeve; napominje da se približavanjem Kosova NATO-u jača europska sigurnost; poziva Komisiju i Ured EU-a u Kosovu da pojačaju napore za povećanje vidljivosti i razumijevanja EU-a na Kosovu te konkretnih koristi od snažnijeg partnerstva između EU-a i Kosova; potiče Srbiju da se ne protivi članstvu Kosova u Vijeću Europe i drugim međunarodnim organizacijama, što bi bilo u suprotnosti sa Sporazumom o putu prema normalizaciji odnosa između Kosova i Srbije iz 2023.;</w:t>
      </w:r>
    </w:p>
    <w:p w:rsidR="000C73FD" w:rsidRPr="00533F75" w:rsidP="000C73FD" w14:paraId="6E4993D4" w14:textId="77777777">
      <w:pPr>
        <w:pStyle w:val="NormalHanging12a"/>
      </w:pPr>
      <w:r w:rsidRPr="00533F75">
        <w:t>8.</w:t>
      </w:r>
      <w:r w:rsidRPr="00533F75">
        <w:tab/>
        <w:t xml:space="preserve">pohvaljuje Kosovo kao pouzdanog partnera EU-a, što je vidljivo iz njegove kontinuirane dobrovoljne usklađenosti sa zajedničkom vanjskom i sigurnosnom politikom EU-a (ZVSP), uključujući njegovu kontinuiranu provedbu mjera ograničavanja EU-a protiv Rusije i </w:t>
      </w:r>
      <w:r w:rsidRPr="00533F75">
        <w:t>Bjelarusa</w:t>
      </w:r>
      <w:r w:rsidRPr="00533F75">
        <w:t>, njegovu jasnu osudu ruske ratne agresije na Ukrajinu i dosljedno visoku razinu javne potpore integraciji EU-a među njegovim građanima; očekuje od Kosova da zadrži tu usklađenost i nastavi ulagati napore u obuzdavanje ruske prijetnje;</w:t>
      </w:r>
    </w:p>
    <w:p w:rsidR="000C73FD" w:rsidRPr="00533F75" w:rsidP="000C73FD" w14:paraId="17B91A17" w14:textId="77777777">
      <w:pPr>
        <w:pStyle w:val="NormalHanging12a"/>
      </w:pPr>
      <w:r w:rsidRPr="00533F75">
        <w:t>9.</w:t>
      </w:r>
      <w:r w:rsidRPr="00533F75">
        <w:tab/>
        <w:t xml:space="preserve">pozdravlja trilateralnu deklaraciju o obrambenoj suradnji između Kosova, Albanije i </w:t>
      </w:r>
      <w:r w:rsidRPr="00533F75">
        <w:t>Hrvatske, potpisanu 18. ožujka 2025., s ciljem jačanja obrambenih sposobnosti i bolje suradnje na suzbijanju hibridnih prijetnji;</w:t>
      </w:r>
    </w:p>
    <w:p w:rsidR="000C73FD" w:rsidRPr="00533F75" w:rsidP="000C73FD" w14:paraId="332A9163" w14:textId="77777777">
      <w:pPr>
        <w:pStyle w:val="NormalHanging12a"/>
      </w:pPr>
      <w:r w:rsidRPr="00533F75">
        <w:t>10.</w:t>
      </w:r>
      <w:r w:rsidRPr="00533F75">
        <w:tab/>
        <w:t>pozdravlja dugo očekivanu odluku o ukidanju mjera EU-a protiv Kosova, uključujući 216 milijuna EUR za prioritetne ugovore i programe isplaćenih u prosincu 2025. te preostalih 205 milijuna EUR isplaćenih početkom 2026.; smatra da su te mjere bile u očitoj suprotnosti s dokazanom predanošću Kosova europskim vrijednostima i njegovim usklađivanjem s politikama EU-a te da više nisu bile opravdane s obzirom na to da su ispunjeni svi potrebni zahtjevi; primjećuje negativan učinak koji su te mjere imale na kosovsko društvo, posebno na lokalne zajednice, organizacije civilnog društva te mala i srednja poduzeća (MSP-ove); dovodi u pitanje manjak transparentnosti i predvidljivosti, nedostatak javne komunikacije i produljeno trajanje mjera unatoč usklađenosti Kosova sa zahtjevima EU-a;</w:t>
      </w:r>
    </w:p>
    <w:p w:rsidR="000C73FD" w:rsidRPr="00533F75" w:rsidP="000C73FD" w14:paraId="0318632D" w14:textId="77777777">
      <w:pPr>
        <w:pStyle w:val="NormalHanging12a"/>
        <w:rPr>
          <w:b/>
          <w:i/>
        </w:rPr>
      </w:pPr>
      <w:r w:rsidRPr="00533F75">
        <w:rPr>
          <w:b/>
          <w:i/>
        </w:rPr>
        <w:t>Demokracija i vladavina prava</w:t>
      </w:r>
    </w:p>
    <w:p w:rsidR="000C73FD" w:rsidRPr="00533F75" w:rsidP="000C73FD" w14:paraId="59A17184" w14:textId="77777777">
      <w:pPr>
        <w:pStyle w:val="NormalHanging12a"/>
      </w:pPr>
      <w:r w:rsidRPr="00533F75">
        <w:t>11.</w:t>
      </w:r>
      <w:r w:rsidRPr="00533F75">
        <w:tab/>
        <w:t>pozdravlja općenito pozitivnu ocjenu provedbe parlamentarnih i lokalnih izbora 2025., napominjući da su provedeni na miran, konkurentan i uključiv način u okviru revidiranog izbornog okvira usklađenog s prethodnim preporukama misije EU-a za promatranje izbora; pohvaljuje vlasti zbog uvođenja elektroničkog sustava glasovanja na Kosovu; međutim, prima na znanje da su utvrđeni određeni nedostaci u provedbi izbora i potiče kosovske vlasti da ih uzmu u obzir pri organizaciji budućih izbora;</w:t>
      </w:r>
    </w:p>
    <w:p w:rsidR="000C73FD" w:rsidRPr="00533F75" w:rsidP="000C73FD" w14:paraId="218CA954" w14:textId="77777777">
      <w:pPr>
        <w:pStyle w:val="NormalHanging12a"/>
      </w:pPr>
      <w:r w:rsidRPr="00533F75">
        <w:t>12.</w:t>
      </w:r>
      <w:r w:rsidRPr="00533F75">
        <w:tab/>
        <w:t>pozdravlja sudjelovanje kosovskih Srba na parlamentarnim i lokalnim izborima 2025. i činjenicu da su četiri novoizabrana srpska gradonačelnika preuzela dužnost od svojih albanskih prethodnika u općinama s većinskim srpskim stanovništvom na sjeveru Kosova; međutim, izražava zabrinutost zbog pritiska na glasače koji za socijalnu pomoć i zaposlenje ovise o Srbiji da na parlamentarnim izborima u veljači 2025. glasaju za predstavnike Srpske Liste;</w:t>
      </w:r>
    </w:p>
    <w:p w:rsidR="000C73FD" w:rsidRPr="00533F75" w:rsidP="000C73FD" w14:paraId="2C48B3DD" w14:textId="77777777">
      <w:pPr>
        <w:pStyle w:val="NormalHanging12a"/>
        <w:rPr>
          <w:bCs/>
        </w:rPr>
      </w:pPr>
      <w:r w:rsidRPr="00533F75">
        <w:t>13.</w:t>
      </w:r>
      <w:r w:rsidRPr="00533F75">
        <w:tab/>
        <w:t>žali zbog stalnih pokušaja politizacije neovisnih institucija, uključujući Središnje izborno povjerenstvo, te zbog nedostataka u upravljanju u okviru Nezavisne komisije za medije; poziva Kosovo na daljnje usklađivanje pravnog okvira kojim se uređuje neovisno medijsko povjerenstvo s preporukama Vijeća Europe i standardima EU-a kako bi se ojačali regulatorna neovisnost, pravna sigurnost i povjerenje javnosti u nadzor nad medijima; poziva vlasti da zajamče imenovanja koja se temelje na zaslugama, transparentnost u postupcima zapošljavanja i potpuno poštivanje neovisnosti tih institucija; naglašava da su otporne demokratske institucije prva linija obrane od manipulacije informacijskog okoliša, prikrivenih utjecaja i politički motiviranog narušavanja javne rasprave; poziva Kosovo da uvede institucionalizirani okvir demokratske otpornosti koji obuhvaća Skupštinu, Vladu, neovisne regulatore i izbornu administraciju, s jasno definiranim odgovornostima, redovitim procjenama rizika i javnim izvještavanjem;</w:t>
      </w:r>
    </w:p>
    <w:p w:rsidR="000C73FD" w:rsidRPr="00533F75" w:rsidP="000C73FD" w14:paraId="7C28EF89" w14:textId="77777777">
      <w:pPr>
        <w:pStyle w:val="NormalHanging12a"/>
      </w:pPr>
      <w:r w:rsidRPr="00533F75">
        <w:t>14.</w:t>
      </w:r>
      <w:r w:rsidRPr="00533F75">
        <w:tab/>
        <w:t>pozdravlja činjenicu da organizacije civilnog društva djeluju u okruženju koje je općenito poticajno i poziva vlasti da od rane faze istinski uključe civilno društvo u pripremu i provedbu reformi povezanih s EU-om; naglašava važnost povećanja odgovornosti i transparentnosti u pogledu javnog financiranja organizacija civilnog društva; ističe da je civilno društvo ključno za razvoj demokracije i pluralizma te promicanje dobrog upravljanja i društvenog napretka;</w:t>
      </w:r>
    </w:p>
    <w:p w:rsidR="000C73FD" w:rsidRPr="00533F75" w:rsidP="000C73FD" w14:paraId="497A5B32" w14:textId="77777777">
      <w:pPr>
        <w:pStyle w:val="NormalHanging12a"/>
        <w:rPr>
          <w:bCs/>
        </w:rPr>
      </w:pPr>
      <w:r w:rsidRPr="00533F75">
        <w:t>15.</w:t>
      </w:r>
      <w:r w:rsidRPr="00533F75">
        <w:tab/>
        <w:t>pohvaljuje vlasti na savjetovanju s Venecijanskom komisijom u pogledu paketa prijedloga zakona o pravosuđu, uključujući zakon o kosovskom tužiteljskom vijeću; međutim i dalje je zabrinut zbog vladine ograničene provedbe strategije vladavine prava i nedovoljnog praćenja reformi, nepotpunog broja članova u kosovskom sudbenom vijeću te kašnjenja u provedbi pravosudnih reformi; izražava zabrinutost zbog toga što vlada nije usvojila potrebni podzakonski akt kojim se definiraju organizacijska struktura i mehanizmi suradnje između Odjela za posebne istrage Policije Kosova i Ureda posebnog tužiteljstva; pozdravlja napredak postignut u pogledu imenovanja novog predsjednika Kosovskog tužiteljskog vijeća i očekuje da će novi sastav biti dovršen nakon što Skupština nastavi s radom; pozdravlja zapošljavanje 17 novih sudaca u kosovskom sudbenom vijeću u transparentnom postupku utemeljenom na zaslugama i potiče predsjednika Kosova da bez odgode potvrdi njihova imenovanja; potiče Kosovo da poduzme odlučne mjere kako bi se uklonili nedostaci i osiguralo da zakonodavstvo o integritetu i odgovornosti pravosuđa bude usklađeno s europskim standardima i relevantnim preporukama Venecijanske komisije;</w:t>
      </w:r>
    </w:p>
    <w:p w:rsidR="000C73FD" w:rsidRPr="00533F75" w:rsidP="000C73FD" w14:paraId="760973E3" w14:textId="77777777">
      <w:pPr>
        <w:pStyle w:val="NormalHanging12a"/>
      </w:pPr>
      <w:r w:rsidRPr="00533F75">
        <w:t>16.</w:t>
      </w:r>
      <w:r w:rsidRPr="00533F75">
        <w:tab/>
        <w:t>pozdravlja činjenicu da je Kosovo smanjilo administrativno opterećenje provedbom programa za sprječavanje i smanjivanje administrativnog opterećenja za razdoblje 2025. – 2028. i svojeg akcijskog plana za razdoblje 2025. – 2026.; pozdravlja ovo poboljšanje i usvajanje izmjena Zakona o javnim službenicima te poziva Kosovo da dodatno poboljša svoju javnu upravu i sustav javne službe utemeljen na zaslugama; napominje da je strateški okvir Kosova za javnu upravu uspostavljen, ali se ne provodi učinkovito;</w:t>
      </w:r>
    </w:p>
    <w:p w:rsidR="000C73FD" w:rsidRPr="00533F75" w:rsidP="000C73FD" w14:paraId="63AFCCCA" w14:textId="77777777">
      <w:pPr>
        <w:pStyle w:val="NormalHanging12a"/>
      </w:pPr>
      <w:r w:rsidRPr="00533F75">
        <w:t xml:space="preserve">17. </w:t>
      </w:r>
      <w:r w:rsidRPr="00533F75">
        <w:tab/>
      </w:r>
      <w:bookmarkStart w:id="8" w:name="_Hlk227243576"/>
      <w:r w:rsidRPr="00533F75">
        <w:t>izražava duboku zabrinutost zbog nedovoljnog napretka u borbi protiv korupcije općenito; žali zbog nedostatka konkretnog strukturnog napretka u tom području unatoč preuzetim obvezama te naglašava da je korupcija i dalje sustavni problem koji ugrožava funkcioniranje javnih institucija i povjerenje javnosti; sa zabrinutošću prima na znanje pad Kosova na globalnom indeksu percepcije korupcije za 2025., gdje se nalazi na 76. mjestu od 182 zemlje i područja, tri mjesta niže nego 2024., što je zabrinjavajuće nazadovanje u odnosu na prethodni trend postupnog poboljšanja, ali je i dalje bolje rangiran nego neke druge zemlje u regiji; poziva vlasti da bez odgode donesu i provedu konkretne, učinkovite i provjerljive mjere za jačanje sprečavanja, istraga i kaznenog progona u području korupcije; posebno poziva na brzo usvajanje nacionalne strategije i akcijskog plana za borbu protiv korupcije za razdoblje 2025. – 2028., bolje korištenje izjava o imovinskom stanju i planova za integritet te na učinkovitiju primjenu alata za oduzimanje imovine u sudskim postupcima zbog korupcije; naglašava potrebu za jačanjem neovisnosti i operativne sposobnosti tijela za borbu protiv korupcije i omogućivanjem učinkovite koordinacije među tužiteljima, policijom i financijsko-obavještajnim jedinicama; skreće pozornost na činjenicu da se prethodne preporuke Komisije o jačanju kapaciteta Agencije za sprečavanje korupcije i o provedbi antikorupcijskog zakonodavstva tek trebaju provesti; poziva na kontinuirano poboljšavanje kvalitete istraga u sudskim postupcima zbog korupcije na visokoj razini;</w:t>
      </w:r>
      <w:bookmarkEnd w:id="8"/>
    </w:p>
    <w:p w:rsidR="000C73FD" w:rsidRPr="00533F75" w:rsidP="000C73FD" w14:paraId="6A504F00" w14:textId="77777777">
      <w:pPr>
        <w:pStyle w:val="NormalHanging12a"/>
      </w:pPr>
      <w:r w:rsidRPr="00533F75">
        <w:t>18.</w:t>
      </w:r>
      <w:r w:rsidRPr="00533F75">
        <w:tab/>
        <w:t xml:space="preserve">zabrinut je zbog toga što je postignut ograničeni napredak u borbi protiv organiziranog kriminala; poziva na brzo donošenje nacionalne strategije i akcijskog plana za borbu protiv organiziranog kriminala; ističe da je važno suzbijati kriminalne mreže jačanjem međunarodne suradnje kroz razmjenu obavještajnih podataka te jačanjem suradnje između tijela za izvršavanje zakonodavstva i dionika kaznenog progona; poziva susjedne zemlje Kosova da omoguće Kosovu sudjelovanje u međunarodnoj suradnji na svim razinama kako bi se maksimizirao učinak borbe protiv organiziranog kriminala; ističe potrebu za produbljivanjem suradnje u području borbe protiv droga; poziva na </w:t>
      </w:r>
      <w:r w:rsidRPr="00533F75">
        <w:t>daljnje usklađivanje u pogledu borbe protiv terorizma;</w:t>
      </w:r>
    </w:p>
    <w:p w:rsidR="000C73FD" w:rsidRPr="00533F75" w:rsidP="000C73FD" w14:paraId="25F3A93D" w14:textId="77777777">
      <w:pPr>
        <w:pStyle w:val="NormalHanging12a"/>
      </w:pPr>
      <w:r w:rsidRPr="00533F75">
        <w:t>19.</w:t>
      </w:r>
      <w:r w:rsidRPr="00533F75">
        <w:tab/>
        <w:t>naglašava stalni rad EULEX-a u pomaganju kosovskim vlastima da uspostave održive i neovisne institucije u području vladavine prava; napominje da su dugotrajni izazovi, među ostalim ograničene izvršne ovlasti, ograničili učinak njegovog rada; poziva da se dodana vrijednost, opseg i strateški ciljevi misije kontinuirano preispituju kako bi je osiguralo da misija bude relevantna i učinkovita;</w:t>
      </w:r>
    </w:p>
    <w:p w:rsidR="000C73FD" w:rsidRPr="00533F75" w:rsidP="000C73FD" w14:paraId="0FB054C4" w14:textId="77777777">
      <w:pPr>
        <w:pStyle w:val="NormalHanging12a"/>
      </w:pPr>
      <w:r w:rsidRPr="00533F75">
        <w:t>20.</w:t>
      </w:r>
      <w:r w:rsidRPr="00533F75">
        <w:tab/>
        <w:t>zabrinut je zbog prijavljenih slučajeva primjene prekomjerne sile i protupravnog postupanja određenih službenika kosovske policije na sjeveru Kosova; poziva kosovsku policiju da osigura da se njezini službenici u potpunosti pridržavaju svih zahtjeva u pogledu vladavine prava i ljudskih prava; podsjeća da svi politički predstavnici i svi stanovnici Kosova imaju zajedničku odgovornost za očuvanje mira i vladavine prava;</w:t>
      </w:r>
    </w:p>
    <w:p w:rsidR="000C73FD" w:rsidRPr="00533F75" w:rsidP="000C73FD" w14:paraId="7AB0A13E" w14:textId="77777777">
      <w:pPr>
        <w:pStyle w:val="NormalHanging12a"/>
        <w:rPr>
          <w:b/>
          <w:i/>
        </w:rPr>
      </w:pPr>
      <w:r w:rsidRPr="00533F75">
        <w:rPr>
          <w:b/>
          <w:i/>
        </w:rPr>
        <w:t>Temeljne slobode i ljudska prava</w:t>
      </w:r>
    </w:p>
    <w:p w:rsidR="000C73FD" w:rsidRPr="00533F75" w:rsidP="000C73FD" w14:paraId="6526B0A5" w14:textId="77777777">
      <w:pPr>
        <w:pStyle w:val="NormalHanging12a"/>
        <w:rPr>
          <w:bCs/>
        </w:rPr>
      </w:pPr>
      <w:r w:rsidRPr="00533F75">
        <w:t>21.</w:t>
      </w:r>
      <w:r w:rsidRPr="00533F75">
        <w:tab/>
        <w:t>napominje da, iako je pravni i institucionalni okvir za ljudska prava uvelike uspostavljen, njegova je provedba i dalje nedostatna;</w:t>
      </w:r>
      <w:r w:rsidRPr="00533F75">
        <w:rPr>
          <w:i/>
        </w:rPr>
        <w:t xml:space="preserve"> </w:t>
      </w:r>
      <w:r w:rsidRPr="00533F75">
        <w:t xml:space="preserve">pozdravlja donošenje Strategije za zaštitu i promicanje prava zajednica; pozdravlja činjenicu da je Kosovo provelo presudu Ustavnog suda o vlasništvu nad samostanom </w:t>
      </w:r>
      <w:r w:rsidRPr="00533F75">
        <w:t>Dečani</w:t>
      </w:r>
      <w:r w:rsidRPr="00533F75">
        <w:t>; poziva Kosovo da ulaže u učinkovitiju provedbu okvira za ljudska prava;</w:t>
      </w:r>
    </w:p>
    <w:p w:rsidR="000C73FD" w:rsidRPr="00533F75" w:rsidP="000C73FD" w14:paraId="1853A427" w14:textId="77777777">
      <w:pPr>
        <w:pStyle w:val="NormalHanging12a"/>
      </w:pPr>
      <w:r w:rsidRPr="00533F75">
        <w:t>22.</w:t>
      </w:r>
      <w:r w:rsidRPr="00533F75">
        <w:tab/>
        <w:t>potvrđuje da je kosovski Ustav vrlo progresivan u pogledu prava manjina; u tom pogledu sa žaljenjem napominje da predstavka koju je potpisalo gotovo 500 osoba, koje se tradicionalno identificiraju kao Bugari, a koja je u siječnju 2023. zaprimljena u kosovskoj Skupštini, još uvijek nije razmotrena te preporučuje da se njihova prava uvrste u zakon i osiguraju u praksi kako bi se zaštitio povijesni, kulturni i politički identitet bugarske manjine; poziva Kosovo da osigura da sve manjine priznate u skladu sa zakonom o zaštiti i promicanju prava zajednica i njihovih članova budu u potpunosti uključene u Ustav te zemlje;</w:t>
      </w:r>
    </w:p>
    <w:p w:rsidR="000C73FD" w:rsidRPr="00533F75" w:rsidP="000C73FD" w14:paraId="5BCD2975" w14:textId="77777777">
      <w:pPr>
        <w:pStyle w:val="NormalHanging12a"/>
      </w:pPr>
      <w:r w:rsidRPr="00533F75">
        <w:t>23.</w:t>
      </w:r>
      <w:r w:rsidRPr="00533F75">
        <w:tab/>
        <w:t>prima na znanje usklađenost, u velikoj mjeri, zatvorskog sustava u Kosovu sa Standardnim minimalnim pravilima Ujedinjenih naroda i Vijeća Europe; poziva na bolju zaštitu prava zatvorenika, posebno zatvorenica, zatvorenika pripadnika manjina i zatvorenika s problemima s mentalnim zdravljem;</w:t>
      </w:r>
    </w:p>
    <w:p w:rsidR="000C73FD" w:rsidRPr="00533F75" w:rsidP="000C73FD" w14:paraId="68BC5DAB" w14:textId="77777777">
      <w:pPr>
        <w:pStyle w:val="NormalHanging12a"/>
        <w:rPr>
          <w:bCs/>
        </w:rPr>
      </w:pPr>
      <w:r w:rsidRPr="00533F75">
        <w:t>24.</w:t>
      </w:r>
      <w:r w:rsidRPr="00533F75">
        <w:tab/>
      </w:r>
      <w:bookmarkStart w:id="9" w:name="_Hlk227248502"/>
      <w:r w:rsidRPr="00533F75">
        <w:t>naglašava potrebu za jačanjem provedbe zakonodavstva kojim se štite prava ranjivih skupina i osoba koje pripadaju manjinskim zajednicama, posebno u pogledu njihove zastupljenosti u javnim institucijama i upotrebe jezika, među ostalim osiguravanjem jednakog i učinkovitog pristupa državnom obrazovanju na njihovu materinskom jeziku, kao i pristupa zdravstvenoj skrbi i javnim uslugama, poštovanja jezičnih i imovinskih prava, odgovarajuće zastupljenosti u središnjoj i lokalnoj upravi te zaštite materijalne i nematerijalne vjerske, tradicionalne i kulturne baštine; poziva Kosovo da poveća svoje napore kako bi se manjinskim skupinama osigurale jednake mogućnosti i primjerena zastupljenost u političkom i kulturnom životu, javnim medijima, upravi i sudstvu; poziva na zaštitu vjerskih manjina na Kosovu i na osiguravanje pristupa mjestima bogoslužja</w:t>
      </w:r>
      <w:bookmarkEnd w:id="9"/>
      <w:r w:rsidRPr="00533F75">
        <w:t>;</w:t>
      </w:r>
    </w:p>
    <w:p w:rsidR="000C73FD" w:rsidRPr="00533F75" w:rsidP="000C73FD" w14:paraId="1D62661B" w14:textId="77777777">
      <w:pPr>
        <w:pStyle w:val="NormalHanging12a"/>
      </w:pPr>
      <w:r w:rsidRPr="00533F75">
        <w:t>25.</w:t>
      </w:r>
      <w:r w:rsidRPr="00533F75">
        <w:tab/>
        <w:t xml:space="preserve">žali zbog toga što se žene iz manjinskih skupina, posebno one iz romske, </w:t>
      </w:r>
      <w:r w:rsidRPr="00533F75">
        <w:t>aškalijske</w:t>
      </w:r>
      <w:r w:rsidRPr="00533F75">
        <w:t xml:space="preserve"> i egipatske zajednice, suočavaju s brojnim oblicima diskriminacije, posebno u obrazovanju, zapošljavanju i pristupu zdravstvenoj skrbi; izražava zabrinutost zbog toga </w:t>
      </w:r>
      <w:r w:rsidRPr="00533F75">
        <w:t>što u kosovskoj upravi nisu na odgovarajući način zastupljene manjinske zajednice i što je broj žena na višim položajima i dalje nizak;</w:t>
      </w:r>
    </w:p>
    <w:p w:rsidR="000C73FD" w:rsidRPr="00533F75" w:rsidP="000C73FD" w14:paraId="62F3CC62" w14:textId="77777777">
      <w:pPr>
        <w:pStyle w:val="NormalHanging12a"/>
      </w:pPr>
      <w:r w:rsidRPr="00533F75">
        <w:t>26.</w:t>
      </w:r>
      <w:r w:rsidRPr="00533F75">
        <w:tab/>
        <w:t xml:space="preserve">poziva Kosovo da poboljša provedbu postojećih mehanizama za zaštitu prava </w:t>
      </w:r>
      <w:r w:rsidRPr="00533F75">
        <w:t>nevećinskih</w:t>
      </w:r>
      <w:r w:rsidRPr="00533F75">
        <w:t xml:space="preserve"> zajednica, vjerskih zajednica i LGBTIQ+ zajednice dovršetkom novog građanskog zakonika, čije je donošenje još u tijeku; i dalje je zabrinut zbog toga što je i dalje prisutan diskriminacijski govor usmjeren protiv žena i LGBTIQ+ osoba;</w:t>
      </w:r>
    </w:p>
    <w:p w:rsidR="000C73FD" w:rsidRPr="00533F75" w:rsidP="000C73FD" w14:paraId="3DF4BCBE" w14:textId="77777777">
      <w:pPr>
        <w:pStyle w:val="NormalHanging12a"/>
      </w:pPr>
      <w:r w:rsidRPr="00533F75">
        <w:t>27.</w:t>
      </w:r>
      <w:r w:rsidRPr="00533F75">
        <w:tab/>
        <w:t>naglašava potrebu za jačanjem rodne ravnopravnosti i prava žena na Kosovu; prima na znanje da je pravni i institucijski okvir za rodnu ravnopravnost i borbu protiv rodno uvjetovanog nasilja u najvećoj mjeri uspostavljen; pozdravlja povećanje sredstava za specijalizirane službe za potporu, uključujući skloništa za žrtve rodno uvjetovanog nasilja, potpuno funkcionalnu bazu podataka u kojoj se bilježe slučajevi nasilja u obitelji i stalne napore za podizanje razine osviještenosti; međutim, izražava zabrinutost zbog toga što je rodno uvjetovano nasilje i dalje prisutno te zbog toga što su provedba i izvršenje i dalje nedostatni, posebno s obzirom na to da se žene, osobito one iz manjinskih zajednica, i dalje suočavaju s višestrukim oblicima diskriminacije;</w:t>
      </w:r>
    </w:p>
    <w:p w:rsidR="000C73FD" w:rsidRPr="00533F75" w:rsidP="000C73FD" w14:paraId="70F9A980" w14:textId="77777777">
      <w:pPr>
        <w:pStyle w:val="NormalHanging12a"/>
      </w:pPr>
      <w:r w:rsidRPr="00533F75">
        <w:t>28.</w:t>
      </w:r>
      <w:r w:rsidRPr="00533F75">
        <w:tab/>
        <w:t>ponavlja svoj poziv vlastima da poboljšaju unutarnji dijalog te istinsku i izravnu suradnju s neovisnim organizacijama civilnog društva kosovskih Srba, posebno na sjeveru zemlje, radi izgradnje povjerenja, poboljšanja svakodnevnog života kosovskih Srba i njihove uspješne integracije;</w:t>
      </w:r>
    </w:p>
    <w:p w:rsidR="000C73FD" w:rsidRPr="00533F75" w:rsidP="000C73FD" w14:paraId="34E88398" w14:textId="77777777">
      <w:pPr>
        <w:pStyle w:val="NormalHanging12a"/>
      </w:pPr>
      <w:r w:rsidRPr="00533F75">
        <w:t>29.</w:t>
      </w:r>
      <w:r w:rsidRPr="00533F75">
        <w:tab/>
        <w:t>pohvaljuje vladu na odobrenju strategije za prava osoba s invaliditetom za razdoblje 2025. – 2030. te povezanog akcijskog plana za razdoblje 2025. – 2027.; međutim, žali zbog činjenice da Kosovo još nije usvojilo Konvenciju UN-a o pravima osoba s invaliditetom; izražava zabrinutost zbog nedovoljne usklađenosti Kosova s pravnom stečevinom EU-a u tom području te zbog diskriminacije i prepreka s kojima se osobe s invaliditetom, uključujući djecu, suočavaju u pristupu obrazovanju, zdravstvenoj skrbi i socijalnim uslugama; poziva vlasti da ojačaju zaštitu njihovih prava i usvoje nacrt zakona o priznavanju statusa, uslugama i naknadama;</w:t>
      </w:r>
    </w:p>
    <w:p w:rsidR="000C73FD" w:rsidRPr="00533F75" w:rsidP="000C73FD" w14:paraId="570D2DDE" w14:textId="77777777">
      <w:pPr>
        <w:pStyle w:val="NormalHanging12a"/>
        <w:rPr>
          <w:bCs/>
        </w:rPr>
      </w:pPr>
      <w:r w:rsidRPr="00533F75">
        <w:t>30.</w:t>
      </w:r>
      <w:r w:rsidRPr="00533F75">
        <w:tab/>
        <w:t>naglašava važnost zaštite multikulturne baštine Kosova, uključujući baštinu hrvatske zajednice, uz istodobno podržavanje održivog lokalnog razvoja i sudjelovanja zajednice; pozdravlja projekt koji je proveden u okviru Programa UN-a za razvoj i koji je financirala Unija za očuvanje i revitalizaciju kulturne baštine Janjeva;</w:t>
      </w:r>
    </w:p>
    <w:p w:rsidR="000C73FD" w:rsidRPr="00533F75" w:rsidP="000C73FD" w14:paraId="2FA57AB6" w14:textId="77777777">
      <w:pPr>
        <w:pStyle w:val="NormalHanging12a"/>
        <w:rPr>
          <w:bCs/>
        </w:rPr>
      </w:pPr>
      <w:r w:rsidRPr="00533F75">
        <w:t>31.</w:t>
      </w:r>
      <w:r w:rsidRPr="00533F75">
        <w:tab/>
        <w:t>žali zbog činjenice da Skupština Kosova još nije usvojila novi nacrt zakona o udžbenicima; zabrinut je zbog kašnjenja u provedbi obrazovne strategije Kosova za razdoblje 2022. – 2026. i zbog nastavka smanjivanja sredstava za osnovno javno obrazovanje; poziva Kosovo da dovrši usvajanje nacrta zakona o udžbenicima i reviziju trenutačnih udžbenika te da učiteljima i nastavnicima osigura održivo i sustavno osposobljavanje;</w:t>
      </w:r>
    </w:p>
    <w:p w:rsidR="000C73FD" w:rsidRPr="00533F75" w:rsidP="000C73FD" w14:paraId="7A616285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533F75">
        <w:t>32.</w:t>
      </w:r>
      <w:r w:rsidRPr="00533F75">
        <w:tab/>
        <w:t>konstatira pluralističko medijsko okružje Kosova, ali ističe da je ono i dalje krhko i izloženo različitim pritiscima; duboko žali zbog nedostatka napretka u osiguravanju slobode izražavanja i učinkovite zaštite novinara; žali zbog činjenice da je Kosovo na svjetskom indeksu slobode medija za 2025. palo za 24 mjesta, odnosno na 99. mjesto, što je znatan i zabrinjavajući pad; napominje da je sloboda tiska jedna od temeljnih europskih vrijednosti i da Kosovo za njezinu zaštitu treba poduzeti mjere učinkovitije od dosadašnjih;</w:t>
      </w:r>
    </w:p>
    <w:p w:rsidR="000C73FD" w:rsidRPr="00533F75" w:rsidP="000C73FD" w14:paraId="050D7052" w14:textId="77777777">
      <w:pPr>
        <w:pStyle w:val="NormalHanging12a"/>
      </w:pPr>
      <w:r w:rsidRPr="00533F75">
        <w:t>33.</w:t>
      </w:r>
      <w:r w:rsidRPr="00533F75">
        <w:tab/>
        <w:t>ponovno izražava duboku zabrinutost zbog pogoršanja situacije u medijskom okruženju i klime u kojoj rade novinari, a osobito zbog napada na novinare i medijske djelatnike te zbog prijetnji kojima su izloženi, uključujući uvrede koje su visoki kosovski dužnosnici tijekom izborne kampanje upućivali protiv medija; žali zbog činjenice da se još čeka usvajanje nacrta zakona o zaštiti novinarskih izvora, zbog čega novinari nisu adekvatno pravno zaštićeni; naglašava da mora postojati nulta razina tolerancije za fizičke napade na novinare i poziva na jače istraživanje i kazneni progon svih prijetnji protiv djelatnika u medijima te na usklađivanje zakonodavstva povezanog s medijima s pravnom stečevinom EU-a, konkretno s Europskim aktom o slobodi medija</w:t>
      </w:r>
      <w:r>
        <w:rPr>
          <w:rStyle w:val="FootnoteReference"/>
        </w:rPr>
        <w:footnoteReference w:id="8"/>
      </w:r>
      <w:r w:rsidRPr="00533F75">
        <w:t xml:space="preserve"> i Direktivom EU-a o strateškim tužbama usmjerenima protiv javnog djelovanja</w:t>
      </w:r>
      <w:r>
        <w:rPr>
          <w:rStyle w:val="FootnoteReference"/>
        </w:rPr>
        <w:footnoteReference w:id="9"/>
      </w:r>
      <w:r w:rsidRPr="00533F75">
        <w:t>, te s drugim relevantnim međunarodnim obvezama u području ljudskih prava; u tom pogledu poziva vlasti da poduzmu hitne i konkretne mjere kako bi se zajamčila neovisnost medija, suzbilo zastrašivanje i osiguralo okruženje koje potiče slobodno i pluralističko novinarstvo;</w:t>
      </w:r>
    </w:p>
    <w:p w:rsidR="000C73FD" w:rsidRPr="00533F75" w:rsidP="000C73FD" w14:paraId="6F9AB1C2" w14:textId="77777777">
      <w:pPr>
        <w:pStyle w:val="NormalHanging12a"/>
      </w:pPr>
      <w:r w:rsidRPr="00533F75">
        <w:t>34.</w:t>
      </w:r>
      <w:r w:rsidRPr="00533F75">
        <w:tab/>
        <w:t>izražava duboku zabrinutost zbog izvještaja o tome da politički dionici i organizirane kriminalne skupine vrše pritisak na novinare, što je dovelo do slučajeva autocenzure; konstatira da bi se novinari mogli suzdržati od kritičnog istraživačkog novinarstva jer su zabrinuti za svoju fizičku sigurnost ili sigurnost zaposlenja; nadalje, naglašava navode da bi javna tijela mogla prestati oglašavati u medijskim kućama koje objavljuju kritični sadržaj, čime se izvršava neizravan ekonomski pritisak;</w:t>
      </w:r>
    </w:p>
    <w:p w:rsidR="000C73FD" w:rsidRPr="00533F75" w:rsidP="000C73FD" w14:paraId="1CA2539E" w14:textId="77777777">
      <w:pPr>
        <w:pStyle w:val="NormalHanging12a"/>
        <w:rPr>
          <w:bCs/>
        </w:rPr>
      </w:pPr>
      <w:bookmarkStart w:id="10" w:name="_Hlk231922376"/>
      <w:r w:rsidRPr="00533F75">
        <w:t>35.</w:t>
      </w:r>
      <w:r w:rsidRPr="00533F75">
        <w:rPr>
          <w:i/>
        </w:rPr>
        <w:tab/>
      </w:r>
      <w:r w:rsidRPr="00533F75">
        <w:t xml:space="preserve">izražava zabrinutost zbog toga što se i dalje čeka usvajanje nacrta zakona o Radioteleviziji Kosova (RTK), javnom radiotelevizijskom servisu Kosova, te stoga poziva na njegovo brzo donošenje; </w:t>
      </w:r>
      <w:bookmarkEnd w:id="10"/>
      <w:r w:rsidRPr="00533F75">
        <w:t>naglašava da je potrebno osigurati održivo financiranje i neovisnost javne radiotelevizije; žali zbog činjenice da je mjesto glavnog direktora RTK nepopunjeno od rujna 2024. i zbog nedostatka kvoruma u Odboru RTK od prosinca 2024., što je u praksi uzrokovalo poremećaj u funkcioniranju javne radiotelevizije i njezinu nemogućnost da izvršava svoju ulogu; poziva na ujednačen, reprezentativan i politički neovisan nadzor nad RTK-om; poziva kosovska tijela da imenuju članove Odbora RTK i glavnog direktora RTK u okviru transparentnog postupka utemeljenog na zaslugama kako bi se osigurao učinkovit rad javne radiotelevizije u Kosovu; naglašava da sve reforme javne radiotelevizije moraju štititi uredničku neovisnost, izbjeći politički utjecaj te zajamčiti održivo i transparentno financiranje;</w:t>
      </w:r>
    </w:p>
    <w:p w:rsidR="000C73FD" w:rsidRPr="00533F75" w:rsidP="000C73FD" w14:paraId="1A6E9CDB" w14:textId="77777777">
      <w:pPr>
        <w:pStyle w:val="NormalHanging12a"/>
        <w:rPr>
          <w:bCs/>
        </w:rPr>
      </w:pPr>
      <w:r w:rsidRPr="00533F75">
        <w:t>36.</w:t>
      </w:r>
      <w:r w:rsidRPr="00533F75">
        <w:tab/>
        <w:t>sa zabrinutošću napominje da Izvješće o trgovini ljudima za 2025. naglašava da relevantna tijela u Kosovu nisu potpuno ispunila minimalne standarde za suzbijanje trgovine ljudima unatoč ulaganju pojačanih napora, uključujući poboljšane stope kaznenog progona i unaprijeđene pomoći žrtvama;</w:t>
      </w:r>
    </w:p>
    <w:p w:rsidR="000C73FD" w:rsidRPr="00533F75" w:rsidP="000C73FD" w14:paraId="208449D6" w14:textId="77777777">
      <w:pPr>
        <w:pStyle w:val="NormalHanging12a"/>
        <w:rPr>
          <w:i/>
        </w:rPr>
      </w:pPr>
      <w:r w:rsidRPr="00533F75">
        <w:t>37.</w:t>
      </w:r>
      <w:r w:rsidRPr="00533F75">
        <w:tab/>
        <w:t xml:space="preserve">izražava zabrinutost zbog porasta dezinformacija koje šire strani akteri iz zemalja regije, među ostalim o međuetničkim napetostima, naročito izvori povezani s Rusijom i </w:t>
      </w:r>
      <w:r w:rsidRPr="00533F75">
        <w:t>Srbijom te posebno tijekom izbornih razdoblja, što doprinosi političkoj polarizaciji; i dalje je ozbiljno zabrinut zbog zlonamjernog inozemnog upletanja, destabilizacijskih djelovanja i hibridnih prijetnji, uključujući dezinformacije generirane umjetnom inteligencijom i koordinirane internetske kampanje s ciljem utjecanja na političke postupke i javno mnijenje; poziva na snažniju reakciju institucija i bolju medijsku pismenost, što bi se ostvarilo kvalitetnijim osposobljavanjem učitelja i nastavnika i suvremenim nastavnim materijalima, te na poboljšanu suradnju s neovisnim medijima, organizacijama za provjeravanje činjenica i relevantnim programima EU-a kako bi se promicalo kritičko mišljenje i odgovoran rad s digitalnim tehnologijama; poziva Kosovo i njegove regionalne partnere da ostanu ujedinjeni te da dodatno ojačaju regionalnu suradnju u borbi protiv vanjskih prijetnji, dezinformiranja, inozemnog upletanja te kibernetičkih i hibridnih prijetnji kojima se nastoji ugroziti europska perspektiva te zemlje i regije;</w:t>
      </w:r>
    </w:p>
    <w:p w:rsidR="000C73FD" w:rsidRPr="00533F75" w:rsidP="000C73FD" w14:paraId="0E116D23" w14:textId="77777777">
      <w:pPr>
        <w:pStyle w:val="NormalHanging12a"/>
        <w:rPr>
          <w:bCs/>
        </w:rPr>
      </w:pPr>
      <w:r w:rsidRPr="00533F75">
        <w:t>38.</w:t>
      </w:r>
      <w:r w:rsidRPr="00533F75">
        <w:tab/>
        <w:t>pohvaljuje Kosovo na aktivnom sudjelovanju u nizu inicijativa za regionalnu suradnju, kao što je Srednjoeuropski ugovor o slobodnoj trgovini, Energetska zajednica, Prometna zajednica, Proces suradnje u jugoistočnoj Europi i Vijeće za regionalnu suradnju;</w:t>
      </w:r>
    </w:p>
    <w:p w:rsidR="000C73FD" w:rsidRPr="00533F75" w:rsidP="000C73FD" w14:paraId="4D949BC0" w14:textId="77777777">
      <w:pPr>
        <w:pStyle w:val="NormalHanging12a"/>
      </w:pPr>
      <w:r w:rsidRPr="00533F75">
        <w:t>39.</w:t>
      </w:r>
      <w:r w:rsidRPr="00533F75">
        <w:tab/>
        <w:t>pohvaljuje vlasti Kosova na uspješnoj provedbi plana za održivo rješavanje problema nezakonitog posjedovanja i zlouporabe malog i lakog oružja i eksploziva te trgovanja njima; pozdravlja visoku razinu usklađenosti s pravilima iz Protokola UN-a o vatrenom oružju;</w:t>
      </w:r>
    </w:p>
    <w:p w:rsidR="000C73FD" w:rsidRPr="00533F75" w:rsidP="000C73FD" w14:paraId="5927EBE4" w14:textId="77777777">
      <w:pPr>
        <w:pStyle w:val="NormalHanging12a"/>
        <w:rPr>
          <w:b/>
        </w:rPr>
      </w:pPr>
      <w:r w:rsidRPr="00533F75">
        <w:rPr>
          <w:b/>
          <w:i/>
        </w:rPr>
        <w:t>Pomirenje i dobrosusjedski odnosi</w:t>
      </w:r>
    </w:p>
    <w:p w:rsidR="000C73FD" w:rsidRPr="00533F75" w:rsidP="000C73FD" w14:paraId="6B916D2E" w14:textId="77777777">
      <w:pPr>
        <w:pStyle w:val="NormalHanging12a"/>
      </w:pPr>
      <w:r w:rsidRPr="00533F75">
        <w:t>40.</w:t>
      </w:r>
      <w:r w:rsidRPr="00533F75">
        <w:tab/>
        <w:t>podsjeća na to da su normalizacija odnosa sa Srbijom i provedba svih dogovora postignutih u okviru dijaloga Beograda i Prištine i dalje temeljni i neophodni elementi europske perspektive Kosova; naglašava da je konkretan, održiv i provjerljiv napredak u tom području ključan za jačanje regionalne stabilnosti i neizbježan za ostvarivanje europske perspektive Kosova; ustraje u tome da se normalizacija ne može smatrati sekundarnim zadatkom, već mora ostati glavni politički prioritet; naglašava važnost daljnjeg jačanja napora EU-a u posredovanju između tih strana kako bi se prevladao trenutačni zastoj;</w:t>
      </w:r>
    </w:p>
    <w:p w:rsidR="000C73FD" w:rsidRPr="00533F75" w:rsidP="000C73FD" w14:paraId="4516785E" w14:textId="77777777">
      <w:pPr>
        <w:pStyle w:val="NormalHanging12a"/>
      </w:pPr>
      <w:r w:rsidRPr="00533F75">
        <w:t>41.</w:t>
      </w:r>
      <w:r w:rsidRPr="00533F75">
        <w:tab/>
        <w:t xml:space="preserve">ponovno izražava punu potporu za dijalog uz posredovanje EU-a te pozdravlja produljenje mandata Petera </w:t>
      </w:r>
      <w:r w:rsidRPr="00533F75">
        <w:t>Sørensena</w:t>
      </w:r>
      <w:r w:rsidRPr="00533F75">
        <w:t xml:space="preserve"> kao posebnog predstavnika EU-a za dijalog između Beograda i Prištine do 29. veljače 2028.;</w:t>
      </w:r>
    </w:p>
    <w:p w:rsidR="000C73FD" w:rsidRPr="00533F75" w:rsidP="000C73FD" w14:paraId="0A149554" w14:textId="77777777">
      <w:pPr>
        <w:pStyle w:val="NormalHanging12a"/>
      </w:pPr>
      <w:r w:rsidRPr="00533F75">
        <w:t>42.</w:t>
      </w:r>
      <w:r w:rsidRPr="00533F75">
        <w:tab/>
        <w:t>ponavlja svoj poziv na poboljšanje kvalitete procesa dijaloga sudjelovanjem žena, većom transparentnošću prema javnosti i smislenim uključivanjem civilnog društva;</w:t>
      </w:r>
    </w:p>
    <w:p w:rsidR="000C73FD" w:rsidRPr="00533F75" w:rsidP="000C73FD" w14:paraId="52B16F90" w14:textId="77777777">
      <w:pPr>
        <w:pStyle w:val="NormalHanging12a"/>
        <w:rPr>
          <w:rFonts w:eastAsiaTheme="minorHAnsi"/>
        </w:rPr>
      </w:pPr>
      <w:r w:rsidRPr="00533F75">
        <w:t>43.</w:t>
      </w:r>
      <w:r w:rsidRPr="00533F75">
        <w:tab/>
        <w:t>ponovno ističe važnost konstruktivnog angažmana kosovskih i srbijanskih vlasti kako bi se postigao napredak u provedbi Sporazuma o putu prema normalizaciji odnosa između Kosova i Srbije te njegova provedbenog priloga, koji ostaje valjan i pravno obvezujući sporazum za obje strane; poziva i Kosovo i Srbiju da u potpunosti provedu sporazume iz Bruxellesa i Ohrida, uključujući osnivanje Udruženja/Zajednice općina s većinskim srpskim stanovništvom i zaustavljanje srpskog protivljenja članstvu Kosova u regionalnim i međunarodnim organizacijama, te da izbjegavaju jednostrane mjere zbog kojih bi moglo doći do ugrožavanja procesa dijaloga;</w:t>
      </w:r>
    </w:p>
    <w:p w:rsidR="000C73FD" w:rsidRPr="00533F75" w:rsidP="000C73FD" w14:paraId="7C11BC0E" w14:textId="77777777">
      <w:pPr>
        <w:pStyle w:val="NormalHanging12a"/>
      </w:pPr>
      <w:r w:rsidRPr="00533F75">
        <w:t>44.</w:t>
      </w:r>
      <w:r w:rsidRPr="00533F75">
        <w:tab/>
        <w:t xml:space="preserve">pozdravlja sporazum postignut 14. ožujka 2026. o provedbi zakonodavstva Kosova o </w:t>
      </w:r>
      <w:r w:rsidRPr="00533F75">
        <w:t xml:space="preserve">stranim državljanima, kojim se uvode mjere ublažavanja za članove srpske zajednice; napominje da taj aranžman pomaže u ostvarivanju kontinuiteta u pristupu javnim uslugama te da se njime izbjegava rizik od </w:t>
      </w:r>
      <w:r w:rsidRPr="00533F75">
        <w:rPr>
          <w:i/>
          <w:iCs/>
        </w:rPr>
        <w:t>de facto</w:t>
      </w:r>
      <w:r w:rsidRPr="00533F75">
        <w:t xml:space="preserve"> isključenja kosovskih Srba; ističe da ta rješenja doprinose izgradnji povjerenja i predstavljaju pozitivan korak prema normalizaciji odnosa između Beograda i Prištine te promicanju dobrosusjedskih odnosa;</w:t>
      </w:r>
    </w:p>
    <w:p w:rsidR="000C73FD" w:rsidRPr="00533F75" w:rsidP="000C73FD" w14:paraId="4F684FA2" w14:textId="77777777">
      <w:pPr>
        <w:pStyle w:val="NormalHanging12a"/>
      </w:pPr>
      <w:r w:rsidRPr="00533F75">
        <w:t>45.</w:t>
      </w:r>
      <w:r w:rsidRPr="00533F75">
        <w:tab/>
        <w:t>prima na znanje nekoordinirano zatvaranje desetaka ustanova koje podupire Srbija na sjeveru Kosova;</w:t>
      </w:r>
    </w:p>
    <w:p w:rsidR="000C73FD" w:rsidRPr="00533F75" w:rsidP="000C73FD" w14:paraId="6FC3DF14" w14:textId="77777777">
      <w:pPr>
        <w:pStyle w:val="NormalHanging12a"/>
      </w:pPr>
      <w:r w:rsidRPr="00533F75">
        <w:t>46.</w:t>
      </w:r>
      <w:r w:rsidRPr="00533F75">
        <w:tab/>
        <w:t xml:space="preserve">očekuje od Srbije da u potpunosti surađuje s Kosovom kako bi se počinitelji terorističkog napada u Banjskoj 2023. napokon priveli pravdi; osuđuje činjenicu da Srbija još uvijek kazneno ne progoni krivce, osobito Milana </w:t>
      </w:r>
      <w:r w:rsidRPr="00533F75">
        <w:t>Radoičića</w:t>
      </w:r>
      <w:r w:rsidRPr="00533F75">
        <w:t>, bivšeg potpredsjednika Srpske liste; ponavlja da svi pojedinci odgovorni za nasilna djela bez odgode moraju odgovarati i biti privedeni pravdi, u skladu s vladavinom prava i zakonitim postupanjem; oštro osuđuje napad na kanalu Ibar-</w:t>
      </w:r>
      <w:r w:rsidRPr="00533F75">
        <w:t>Lepenac</w:t>
      </w:r>
      <w:r w:rsidRPr="00533F75">
        <w:t xml:space="preserve"> na sjeveru Kosova u studenome 2024. te poziva da se počinitelji brzo uhite i privedu pravdi; poziva Srbiju da bez dodatne odgode odgovori na zahtjev Kosova iz siječnja 2025. za uzajamnom pravnom pomoći u vezi s tim napadom te da u cijelosti surađuje u istrazi;</w:t>
      </w:r>
    </w:p>
    <w:p w:rsidR="000C73FD" w:rsidRPr="00533F75" w:rsidP="000C73FD" w14:paraId="4851EB51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533F75">
        <w:t>47.</w:t>
      </w:r>
      <w:r w:rsidRPr="00533F75">
        <w:tab/>
      </w:r>
      <w:bookmarkStart w:id="11" w:name="_Hlk227242454"/>
      <w:r w:rsidRPr="00533F75">
        <w:t xml:space="preserve">napominje činjenicu da i dalje nije razjašnjena sudbina do 1590 nestalih osoba te da je od travnja 2024. do kraja izvještajnog razdoblja u rujnu 2025. utvrđena sudbina samo 26 nestalih osoba; poziva i Kosovo i Srbiju da konstruktivno i u dobroj vjeri sudjeluju u svim tehničkim raspravama s ciljem razjašnjavanja sudbine preostalih nestalih osoba, među ostalim u okviru radne podskupine za forenzička pitanja, te da se suzdrže od svih oblika politizacije; pozdravlja prvi sastanak Zajedničkog povjerenstva za nestale osobe, koji su glavni pregovarači Kosova i Srbije sazvali u siječnju 2026. u okviru dijaloga uz posredovanje EU-a, te poziva na daljnju suradnju kako bi se ubrzalo identificiranje masovnih grobnica i razmjena informacija; </w:t>
      </w:r>
      <w:bookmarkEnd w:id="11"/>
    </w:p>
    <w:p w:rsidR="000C73FD" w:rsidRPr="00533F75" w:rsidP="000C73FD" w14:paraId="09BD4F61" w14:textId="77777777">
      <w:pPr>
        <w:pStyle w:val="NormalHanging12a"/>
      </w:pPr>
      <w:r w:rsidRPr="00533F75">
        <w:t>48.</w:t>
      </w:r>
      <w:r w:rsidRPr="00533F75">
        <w:tab/>
        <w:t>poziva Srbiju da otvori i podijeli svu relevantnu policijsku, vojnu i arhivsku dokumentaciju u vezi s ratom na Kosovu 1998. – 1999. kako bi se podržale istina, pravda i preuzimanje odgovornosti, među ostalim u slučajevima seksualnog nasilja povezanog sa sukobima; napominje da opći sporazum o dijeljenju takvih informacija još nije proveden te izražava zabrinutost zbog proširenja klasifikacije tajnosti, što bi moglo dovesti do daljnje odgode pravde i priznanja za preživjele;</w:t>
      </w:r>
    </w:p>
    <w:p w:rsidR="000C73FD" w:rsidRPr="00533F75" w:rsidP="000C73FD" w14:paraId="3E9B049F" w14:textId="77777777">
      <w:pPr>
        <w:pStyle w:val="NormalHanging12a"/>
      </w:pPr>
      <w:r w:rsidRPr="00533F75">
        <w:t xml:space="preserve">49. </w:t>
      </w:r>
      <w:r w:rsidRPr="00533F75">
        <w:tab/>
        <w:t xml:space="preserve">podsjeća da je važno osigurati potpun pristup arhivu bivše jugoslavenske tajne službe (UDBA) i tajne službe Jugoslavenske narodne armije (KOS-a), uključujući one u Prištini i Beogradu, kako bi se temeljito istražili i razriješili zločini i kriminalne organizacije iz doba komunizma; naglašava da bi otvaranje tih arhiva u cijeloj regiji doprinijelo utvrđivanju istine, postizanju pravde za žrtve, pomirenju i konsolidaciji demokratskog upravljanja; </w:t>
      </w:r>
    </w:p>
    <w:p w:rsidR="000C73FD" w:rsidRPr="00533F75" w:rsidP="000C73FD" w14:paraId="5C0D0D12" w14:textId="77777777">
      <w:pPr>
        <w:pStyle w:val="NormalHanging12a"/>
      </w:pPr>
      <w:r w:rsidRPr="00533F75">
        <w:t>50.</w:t>
      </w:r>
      <w:r w:rsidRPr="00533F75">
        <w:tab/>
        <w:t>poziva Kosovo da nastavi sudjelovati u nizu inicijativa za regionalnu suradnju; ponovno ističe važnost mirovnih snaga NATO-a na Kosovu za širu sigurnost te pohvaljuje njegove stalne napore da izgradi i održi sigurno i zaštićeno okružje na Kosovu i općenito u regiji zapadnog Balkana; podsjeća na važnost misije za aktualni razvoj Kosovskih sigurnosnih snaga pružanjem savjeta, osposobljavanjem i izgradnjom kapaciteta; poziva države članice koje doprinose mirovnim snagama na Kosovu da se suzdrže od smanjenja svoje prisutnosti;</w:t>
      </w:r>
    </w:p>
    <w:p w:rsidR="000C73FD" w:rsidRPr="00533F75" w:rsidP="000C73FD" w14:paraId="7BBB460D" w14:textId="77777777">
      <w:pPr>
        <w:pStyle w:val="NormalHanging12a"/>
        <w:rPr>
          <w:szCs w:val="24"/>
        </w:rPr>
      </w:pPr>
      <w:r w:rsidRPr="00533F75">
        <w:t>51.</w:t>
      </w:r>
      <w:r w:rsidRPr="00533F75">
        <w:tab/>
        <w:t>poziva na ponovno nastojanje da se zaštiti vjerska i kulturna baština u Kosovu, uključujuću pravoslavnu, muslimansku, katoličku i drugu, u okviru šire predanosti pluralizmu, pomirenju i poštivanju europskog zajedničkog kulturnog naslijeđa;</w:t>
      </w:r>
    </w:p>
    <w:p w:rsidR="000C73FD" w:rsidRPr="00533F75" w:rsidP="000C73FD" w14:paraId="5A7B4ABF" w14:textId="77777777">
      <w:pPr>
        <w:pStyle w:val="NormalHanging12a"/>
        <w:rPr>
          <w:b/>
          <w:bCs/>
          <w:i/>
        </w:rPr>
      </w:pPr>
      <w:r w:rsidRPr="00533F75">
        <w:rPr>
          <w:b/>
          <w:i/>
        </w:rPr>
        <w:t>Socioekonomske reforme</w:t>
      </w:r>
    </w:p>
    <w:p w:rsidR="000C73FD" w:rsidRPr="00533F75" w:rsidP="000C73FD" w14:paraId="46EF5C20" w14:textId="77777777">
      <w:pPr>
        <w:pStyle w:val="NormalHanging12a"/>
      </w:pPr>
      <w:r w:rsidRPr="00533F75">
        <w:t>52.</w:t>
      </w:r>
      <w:r w:rsidRPr="00533F75">
        <w:tab/>
        <w:t>konstatira da je Kosovo umjereno spremno u područjima gospodarske i monetarne politike i konkurentnosti; ističe da Kosovo mora uskladiti svoj fiskalni okvir s pravnom stečevinom EU-a i ukloniti strukturne slabosti, prije svega usku proizvodnu bazu i težak pristup financiranju za MSP-ove; naglašava važnost održivoga gospodarskog rasta, smanjenja nezaposlenosti i jačanja sustava socijalne zaštite te zemlje u skladu s pravnom stečevinom EU-a u području socijalnih pitanja; naglašava da je za rješavanje preostalih strukturnih nedostataka potrebno provesti opsežnije reforme;</w:t>
      </w:r>
    </w:p>
    <w:p w:rsidR="000C73FD" w:rsidRPr="00533F75" w:rsidP="000C73FD" w14:paraId="67AE1030" w14:textId="77777777">
      <w:pPr>
        <w:pStyle w:val="NormalHanging12a"/>
        <w:rPr>
          <w:bCs/>
        </w:rPr>
      </w:pPr>
      <w:r w:rsidRPr="00533F75">
        <w:t>53.</w:t>
      </w:r>
      <w:r w:rsidRPr="00533F75">
        <w:tab/>
        <w:t>pozdravlja zaključak Komisije da je Kosovo ostvarilo određeni napredak u razvoju funkcionalnog tržišnoga gospodarstva, prvenstveno putem jačeg rasta, stabilnog i otpornog bankarskog sektora, smanjenja neformalnog sektora i bržeg rješavanja trgovinskih sporova; primjećuje trajnu prisutnost sive ekonomije i poziva vlasti da inspektoratu rada osiguraju potrebna sredstva kako bi mogao u potpunosti obavljati svoje funkcije;</w:t>
      </w:r>
    </w:p>
    <w:p w:rsidR="000C73FD" w:rsidRPr="00533F75" w:rsidP="000C73FD" w14:paraId="1BAFF61A" w14:textId="77777777">
      <w:pPr>
        <w:pStyle w:val="NormalHanging12a"/>
        <w:rPr>
          <w:bCs/>
        </w:rPr>
      </w:pPr>
      <w:r w:rsidRPr="00533F75">
        <w:t>54.</w:t>
      </w:r>
      <w:r w:rsidRPr="00533F75">
        <w:tab/>
        <w:t>pozdravlja činjenicu da Trgovački sud Kosova djelotvorno postupa sa slučajevima koji uključuju prava intelektualnog vlasništva; poziva Trgovački sud da nastavi surađivati s Uredom Europske unije za intelektualno vlasništvo;</w:t>
      </w:r>
    </w:p>
    <w:p w:rsidR="000C73FD" w:rsidRPr="00533F75" w:rsidP="000C73FD" w14:paraId="4881162A" w14:textId="77777777">
      <w:pPr>
        <w:pStyle w:val="NormalHanging12a"/>
        <w:rPr>
          <w:rFonts w:eastAsiaTheme="minorHAnsi"/>
          <w:color w:val="000000" w:themeColor="text1"/>
          <w:kern w:val="2"/>
          <w:szCs w:val="24"/>
          <w14:ligatures w14:val="standardContextual"/>
        </w:rPr>
      </w:pPr>
      <w:r w:rsidRPr="00533F75">
        <w:t>55.</w:t>
      </w:r>
      <w:r w:rsidRPr="00533F75">
        <w:tab/>
        <w:t>poziva da se u skladu sa standardima EU-a osigura odgovarajuća zaštita radnika, pravedne plaće i primjena zakona o radu; žali zbog činjenice da je socijalni dijalog u Kosovu i dalje ograničen; poziva na ciljanu potporu jačanju kapaciteta socijalnih partnera; poziva vlasti da zajamče neovisnost i legitimnu ulogu priznatih sindikata i temeljna prava radnika, uključujući pravo na kolektivno pregovaranje, kako u zakonodavstvu tako i u praksi, u javnom i privatnom sektoru; poziva kosovske vlasti da obnove mandat Socioekonomskog vijeća, da promiču socijalni dijalog te da iskoriste Instrument za reforme i rast za zapadni Balkan kako bi se potaknulo jačanje kapaciteta socijalnih partnera;</w:t>
      </w:r>
    </w:p>
    <w:p w:rsidR="000C73FD" w:rsidRPr="00533F75" w:rsidP="000C73FD" w14:paraId="1B3C377B" w14:textId="77777777">
      <w:pPr>
        <w:pStyle w:val="NormalHanging12a"/>
      </w:pPr>
      <w:r w:rsidRPr="00533F75">
        <w:rPr>
          <w:color w:val="000000" w:themeColor="text1"/>
        </w:rPr>
        <w:t>56.</w:t>
      </w:r>
      <w:r w:rsidRPr="00533F75">
        <w:rPr>
          <w:color w:val="000000" w:themeColor="text1"/>
        </w:rPr>
        <w:tab/>
      </w:r>
      <w:r w:rsidRPr="00533F75">
        <w:t>pozdravlja konsolidaciju sustava naknada u okviru Zakona o plaćama u javnom sektoru; međutim, žali zbog činjenice da i dalje nije riješeno pitanje klasifikacije poslova, sistematizacije radnih mjesta i presude Ustavnog suda o neustavnim odredbama; poziva vlasti da usvoje nacrt zakona o upravljanju javnim financijama te da u zakonodavstvo uključe procjenu fiskalnog rizika i metodologiju za javna ulaganja;</w:t>
      </w:r>
    </w:p>
    <w:p w:rsidR="000C73FD" w:rsidRPr="00533F75" w:rsidP="000C73FD" w14:paraId="70292493" w14:textId="77777777">
      <w:pPr>
        <w:pStyle w:val="NormalHanging12a"/>
      </w:pPr>
      <w:r w:rsidRPr="00533F75">
        <w:t>57.</w:t>
      </w:r>
      <w:r w:rsidRPr="00533F75">
        <w:tab/>
        <w:t>izražava zabrinutost zbog toga što je očekivani životni vijek pri rođenju i dalje niži od prosjeka EU-a i što je smrtnost djece i dalje najviša u regiji te znatno viša od prosjeka EU-a; žali zbog činjenice da je napredak prema univerzalnom zdravstvenom osiguranju i dalje vrlo ograničen te da su i dalje prisutni ozbiljni nedostaci; poziva vlasti da zajamče bolji pristup zdravstvenim uslugama za sve građane;</w:t>
      </w:r>
    </w:p>
    <w:p w:rsidR="000C73FD" w:rsidRPr="00533F75" w:rsidP="000C73FD" w14:paraId="756D12C3" w14:textId="77777777">
      <w:pPr>
        <w:pStyle w:val="NormalHanging12a"/>
      </w:pPr>
      <w:r w:rsidRPr="00533F75">
        <w:t>58.</w:t>
      </w:r>
      <w:r w:rsidRPr="00533F75">
        <w:tab/>
        <w:t>poziva Kosovo da prednost da visokokvalitetnom strukovnom obrazovanju, jačim vezama između obrazovanja i potreba na tržištu rada te ciljanoj potpori za mlade poduzetnike i istraživače kako bi stvorile vjerodostojne prilike za mlade u zemlji;</w:t>
      </w:r>
    </w:p>
    <w:p w:rsidR="000C73FD" w:rsidRPr="00533F75" w:rsidP="000C73FD" w14:paraId="7475AA50" w14:textId="77777777">
      <w:pPr>
        <w:pStyle w:val="NormalHanging12a"/>
      </w:pPr>
      <w:r w:rsidRPr="00533F75">
        <w:t>59.</w:t>
      </w:r>
      <w:r w:rsidRPr="00533F75">
        <w:tab/>
        <w:t>potiče Kosovo da nastavi sklapati sporazume o koordinaciji sustava socijalne sigurnosti s državama članicama EU-a;</w:t>
      </w:r>
    </w:p>
    <w:p w:rsidR="000C73FD" w:rsidRPr="00533F75" w:rsidP="000C73FD" w14:paraId="6113B96B" w14:textId="77777777">
      <w:pPr>
        <w:pStyle w:val="NormalHanging12a"/>
      </w:pPr>
      <w:r w:rsidRPr="00533F75">
        <w:t>60.</w:t>
      </w:r>
      <w:r w:rsidRPr="00533F75">
        <w:tab/>
        <w:t>napominje da je Kosovo ostvarilo određeni napredak u pripremi za digitalnu transformaciju, među ostalim u širenju internetskih usluga i pokrivenosti mrežom 5G; žali zbog činjenice da se trenutačno samo 10 % javnih usluga nudi na internetu te da je digitalizacija i dalje rascjepkana; naglašava da se Kosovo treba uskladiti s relevantnim zakonodavstvom EU-a o digitalnim tehnologijama, uključujući Europski zakonik elektroničkih komunikacija, Direktivu NIS 2, paket instrumenata EU-a za sigurnost 5G tehnologije, Akt o digitalnim uslugama, Akt o digitalnim tržištima i Uredbu o europskom digitalnom identitetu; žali zbog činjenice da je Kosovo usvojilo samo osam od 14 sekundarnih zakonodavnih akata koji proizlaze iz Zakona o kibernetičkoj sigurnosti te da ni Agencija za kibernetičku sigurnost ni Nacionalno vijeće za kibernetičku sigurnost još nisu potpuno u funkciji; poziva na usvajanje sveobuhvatne strategije e-uprave koja je usklađena sa standardima EU-a te na bolju interoperabilnost sustava javne uprave; poziva Kosovo da intenzivnije promiče digitalizaciju i da dodatno razvija sigurne digitalne javne usluge;</w:t>
      </w:r>
    </w:p>
    <w:p w:rsidR="000C73FD" w:rsidRPr="00533F75" w:rsidP="000C73FD" w14:paraId="4CBD2F89" w14:textId="77777777">
      <w:pPr>
        <w:pStyle w:val="NormalHanging12a"/>
      </w:pPr>
      <w:r w:rsidRPr="00533F75">
        <w:t>61.</w:t>
      </w:r>
      <w:r w:rsidRPr="00533F75">
        <w:tab/>
        <w:t>pozdravlja prve korake koje je Kosovo poduzelo prema strateški usmjerenijem pristupu istraživanju i inovacijama, među ostalim početak financiranja za mjere potpore inovacijama i sudjelovanje Kosova u Mreži europskih centara za digitalne inovacije;</w:t>
      </w:r>
    </w:p>
    <w:p w:rsidR="000C73FD" w:rsidRPr="00533F75" w:rsidP="000C73FD" w14:paraId="10D589AB" w14:textId="77777777">
      <w:pPr>
        <w:pStyle w:val="NormalHanging12a"/>
      </w:pPr>
      <w:r w:rsidRPr="00533F75">
        <w:t>62.</w:t>
      </w:r>
      <w:r w:rsidRPr="00533F75">
        <w:tab/>
        <w:t>pozdravlja prijedlog Komisije za otvaranje pregovora o proširenju programa EU-a „u roamingu kao kod kuće” na zapadni Balkan, uključujući Kosovo, kako bi se ostvarile konkretne koristi za građane i poduzeća te ojačala regionalna povezanost; napominje da se ta inicijativa temelji na postojećim dogovorima o regionalnom roamingu; poziva na brzo donošenje pregovaračkih mandata i pravodobno sklapanje sporazuma kako bi se osigurala brza i uspješna integracija u EU-ovo područje „u roamingu kao kod kuće”;</w:t>
      </w:r>
    </w:p>
    <w:p w:rsidR="000C73FD" w:rsidRPr="00533F75" w:rsidP="000C73FD" w14:paraId="6B0F1200" w14:textId="77777777">
      <w:pPr>
        <w:pStyle w:val="NormalHanging12a"/>
        <w:rPr>
          <w:b/>
          <w:bCs/>
        </w:rPr>
      </w:pPr>
      <w:r w:rsidRPr="00533F75">
        <w:rPr>
          <w:b/>
          <w:i/>
        </w:rPr>
        <w:t xml:space="preserve">Energetika, okoliš, održivi razvoj i </w:t>
      </w:r>
      <w:r w:rsidRPr="00533F75">
        <w:rPr>
          <w:b/>
          <w:i/>
        </w:rPr>
        <w:t>povezivost</w:t>
      </w:r>
    </w:p>
    <w:p w:rsidR="000C73FD" w:rsidRPr="00533F75" w:rsidP="000C73FD" w14:paraId="3C3282A3" w14:textId="77777777">
      <w:pPr>
        <w:pStyle w:val="NormalHanging12a"/>
        <w:rPr>
          <w:bCs/>
        </w:rPr>
      </w:pPr>
      <w:r w:rsidRPr="00533F75">
        <w:t>63.</w:t>
      </w:r>
      <w:r w:rsidRPr="00533F75">
        <w:tab/>
        <w:t>napominje da se Kosovo i dalje u velikoj mjeri oslanja na zastarjele elektrane na ugljen te da treba ubrzati ulaganja u energetsku učinkovitost; pozdravlja činjenicu da je postignut određeni napredak u energetskom sektoru, posebno pokretanjem dražbe za energiju vjetra od 100 MW; potiče Kosovo da ubrza zelenu tranziciju i u velikoj mjeri smanji svoju ovisnost o fosilnim gorivima i elektranama na ugljen; poziva EU da pojača svoje napore za pomoć Kosovu u ostvarivanju tih ciljeva; poziva kosovsku vladu da ulaže u kombinaciju raznolikih izvora energije koja čini opskrbu sigurnijom; potiče Kosovo da nastavi raditi na integraciji svojeg tržišta električne energije s europskim tržištima električne energije, uključujući učinkovitu provedbu reformi tržišta električne energije i jaču prekograničnu suradnju u sektoru električne energije;</w:t>
      </w:r>
    </w:p>
    <w:p w:rsidR="000C73FD" w:rsidRPr="00533F75" w:rsidP="000C73FD" w14:paraId="78CA6BC5" w14:textId="77777777">
      <w:pPr>
        <w:pStyle w:val="NormalHanging12a"/>
      </w:pPr>
      <w:r w:rsidRPr="00533F75">
        <w:t>64.</w:t>
      </w:r>
      <w:r w:rsidRPr="00533F75">
        <w:tab/>
        <w:t xml:space="preserve">potiče Kosovo da ojača svoje institucijske i administrativne kapacitete za provedbu strateških infrastrukturnih projekata, uključujući primjenom sveobuhvatnih procjena utjecaja na okoliš i mjera održivosti u fazi planiranja, te da nastavi provoditi projekte koji su u tijeku u području prometne i energetske </w:t>
      </w:r>
      <w:r w:rsidRPr="00533F75">
        <w:t>povezivosti</w:t>
      </w:r>
      <w:r w:rsidRPr="00533F75">
        <w:t xml:space="preserve">; poziva Komisiju i Kosovo da daju prednost projektima strateške </w:t>
      </w:r>
      <w:r w:rsidRPr="00533F75">
        <w:t>povezivosti</w:t>
      </w:r>
      <w:r w:rsidRPr="00533F75">
        <w:t xml:space="preserve"> koji povezuju zapadni Balkan s europskim prometnim, energetskim i digitalnim koridorima i područjem Crnog mora, među ostalim putem energetskih </w:t>
      </w:r>
      <w:r w:rsidRPr="00533F75">
        <w:t>interkonekcija</w:t>
      </w:r>
      <w:r w:rsidRPr="00533F75">
        <w:t xml:space="preserve">, mjera energetske učinkovitosti, ulaganja u obnovljive izvore energije, integracije u jedinstveno područje plaćanja u eurima (SEPA) te boljeg pristupa financiranju za MSP-ove; ističe da ta ulaganja </w:t>
      </w:r>
      <w:r w:rsidRPr="00533F75">
        <w:t>povećavaju socioekonomsku konvergenciju, geostratešku otpornost i europsku gospodarsku sigurnost;</w:t>
      </w:r>
    </w:p>
    <w:p w:rsidR="000C73FD" w:rsidRPr="00533F75" w:rsidP="000C73FD" w14:paraId="08956C7D" w14:textId="77777777">
      <w:pPr>
        <w:pStyle w:val="NormalHanging12a"/>
      </w:pPr>
      <w:r w:rsidRPr="00533F75">
        <w:t>65.</w:t>
      </w:r>
      <w:r w:rsidRPr="00533F75">
        <w:tab/>
        <w:t xml:space="preserve">potiče Kosovo da poveća zaštićena područja u državi i da osigura poduzimanje odgovarajućih mjera za upravljanje zaštićenim područjima te kulturnom i povijesnom baštinom s ciljem zaštite bioraznolikosti, uključujući ključna staništa kritično ugroženog balkanskog risa; pozdravlja kontinuiranu suradnju Kosova sa Sjevernom Makedonijom i Albanijom u pogledu prekograničnog Nacionalnog parka </w:t>
      </w:r>
      <w:r w:rsidRPr="00533F75">
        <w:t>Šar</w:t>
      </w:r>
      <w:r w:rsidRPr="00533F75">
        <w:t>-planina; potiče Kosovo da dodatno pojača i ubrza suradnju sa susjednim zemljama kako bi se odredila prekogranična zaštićena područja i uspostavili usklađeni prekogranični planovi upravljanja; potiče Kosovo da izmijeni zakon o gospodarenju otpadom i provede zakon o klimatskim promjenama;</w:t>
      </w:r>
    </w:p>
    <w:p w:rsidR="000C73FD" w:rsidRPr="00533F75" w:rsidP="000C73FD" w14:paraId="676FBE11" w14:textId="77777777">
      <w:pPr>
        <w:pStyle w:val="NormalHanging12a"/>
        <w:jc w:val="center"/>
      </w:pPr>
      <w:r w:rsidRPr="00533F75">
        <w:t>°</w:t>
      </w:r>
    </w:p>
    <w:p w:rsidR="000C73FD" w:rsidRPr="00533F75" w:rsidP="000C73FD" w14:paraId="44DB7707" w14:textId="77777777">
      <w:pPr>
        <w:pStyle w:val="NormalHanging12a"/>
        <w:jc w:val="center"/>
      </w:pPr>
      <w:r w:rsidRPr="00533F75">
        <w:t>°</w:t>
      </w:r>
      <w:r w:rsidRPr="00533F75">
        <w:tab/>
        <w:t>°</w:t>
      </w:r>
    </w:p>
    <w:p w:rsidR="00AB1FF9" w:rsidRPr="00533F75" w:rsidP="00AB1FF9" w14:paraId="3272341D" w14:textId="113E3ACF">
      <w:pPr>
        <w:pStyle w:val="NormalHanging12a"/>
      </w:pPr>
      <w:r w:rsidRPr="00533F75">
        <w:t>66.</w:t>
      </w:r>
      <w:r w:rsidRPr="00533F75">
        <w:tab/>
        <w:t>nalaže svojoj predsjednici da ovu Rezoluciju proslijedi predsjedniku Europskog vijeća, Komisiji, potpredsjednici Komisije / visokoj predstavnici Unije za vanjske poslove i sigurnosnu politiku, vladama i parlamentima država članica te predsjednici, Vladi i Skupštini Republike Kosova.</w:t>
      </w:r>
    </w:p>
    <w:p w:rsidR="00E365E1" w:rsidRPr="00533F75" w:rsidP="00EE64B8" w14:paraId="398456FE" w14:textId="2D769D7E"/>
    <w:sectPr w:rsidSect="00AB1F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1FF9" w14:paraId="07E4564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1FF9" w14:paraId="680DDF4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1FF9" w14:paraId="23A3085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E64B8" w:rsidRPr="00AB1FF9" w14:paraId="2B536AFF" w14:textId="77777777">
      <w:r w:rsidRPr="00AB1FF9">
        <w:separator/>
      </w:r>
    </w:p>
  </w:footnote>
  <w:footnote w:type="continuationSeparator" w:id="1">
    <w:p w:rsidR="00EE64B8" w:rsidRPr="00AB1FF9" w14:paraId="40FD01CB" w14:textId="77777777">
      <w:r w:rsidRPr="00AB1FF9">
        <w:continuationSeparator/>
      </w:r>
    </w:p>
  </w:footnote>
  <w:footnote w:id="2">
    <w:p w:rsidR="000C73FD" w:rsidRPr="00AB1FF9" w:rsidP="00AB1FF9" w14:paraId="50C8C535" w14:textId="3530AE6B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 xml:space="preserve">SL L 71, 16.3.2016., str. 3., ELI: </w:t>
      </w:r>
      <w:hyperlink r:id="rId1" w:history="1">
        <w:r w:rsidRPr="00AB1FF9">
          <w:rPr>
            <w:rStyle w:val="Hyperlink"/>
            <w:sz w:val="24"/>
            <w:lang w:val="hr-HR"/>
          </w:rPr>
          <w:t>http://data.europa.eu/eli/agree_internation/2016/342/oj</w:t>
        </w:r>
      </w:hyperlink>
      <w:r w:rsidRPr="00AB1FF9">
        <w:rPr>
          <w:sz w:val="24"/>
          <w:lang w:val="hr-HR"/>
        </w:rPr>
        <w:t>.</w:t>
      </w:r>
    </w:p>
  </w:footnote>
  <w:footnote w:id="3">
    <w:p w:rsidR="000C73FD" w:rsidRPr="00AB1FF9" w:rsidP="00AB1FF9" w14:paraId="41424FF4" w14:textId="405478A8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>SL L 195, 27.7.2017., str. </w:t>
      </w:r>
      <w:r w:rsidRPr="00AB1FF9">
        <w:rPr>
          <w:sz w:val="24"/>
          <w:lang w:val="hr-HR"/>
        </w:rPr>
        <w:t xml:space="preserve">3., ELI: </w:t>
      </w:r>
      <w:hyperlink r:id="rId2" w:history="1">
        <w:r w:rsidRPr="00AB1FF9">
          <w:rPr>
            <w:rStyle w:val="Hyperlink"/>
            <w:sz w:val="24"/>
            <w:lang w:val="hr-HR"/>
          </w:rPr>
          <w:t>http://data.europa.eu/eli/agree_internation/2017/1388/oj</w:t>
        </w:r>
      </w:hyperlink>
      <w:r w:rsidRPr="00AB1FF9">
        <w:rPr>
          <w:sz w:val="24"/>
          <w:lang w:val="hr-HR"/>
        </w:rPr>
        <w:t>.</w:t>
      </w:r>
    </w:p>
  </w:footnote>
  <w:footnote w:id="4">
    <w:p w:rsidR="000C73FD" w:rsidRPr="00AB1FF9" w:rsidP="00AB1FF9" w14:paraId="28022B58" w14:textId="036AE716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>SL L 330, 20.9.2021., str. </w:t>
      </w:r>
      <w:r w:rsidRPr="00AB1FF9">
        <w:rPr>
          <w:sz w:val="24"/>
          <w:lang w:val="hr-HR"/>
        </w:rPr>
        <w:t xml:space="preserve">1., ELI: </w:t>
      </w:r>
      <w:hyperlink r:id="rId3" w:history="1">
        <w:r w:rsidRPr="00AB1FF9">
          <w:rPr>
            <w:rStyle w:val="Hyperlink"/>
            <w:sz w:val="24"/>
            <w:lang w:val="hr-HR"/>
          </w:rPr>
          <w:t>http://data.europa.eu/eli/reg/2021/1529/oj</w:t>
        </w:r>
      </w:hyperlink>
      <w:r w:rsidRPr="00AB1FF9">
        <w:rPr>
          <w:sz w:val="24"/>
          <w:lang w:val="hr-HR"/>
        </w:rPr>
        <w:t>.</w:t>
      </w:r>
    </w:p>
  </w:footnote>
  <w:footnote w:id="5">
    <w:p w:rsidR="000C73FD" w:rsidRPr="00AB1FF9" w:rsidP="00AB1FF9" w14:paraId="7645916D" w14:textId="4231E710">
      <w:pPr>
        <w:pStyle w:val="FootnoteText"/>
        <w:ind w:left="567" w:hanging="567"/>
        <w:rPr>
          <w:sz w:val="24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>SL L 110, 25.4.2023., str. </w:t>
      </w:r>
      <w:r w:rsidRPr="00AB1FF9">
        <w:rPr>
          <w:sz w:val="24"/>
          <w:lang w:val="hr-HR"/>
        </w:rPr>
        <w:t>1., ELI: </w:t>
      </w:r>
      <w:hyperlink r:id="rId4" w:tooltip="ELI URI za pristup dokumentu." w:history="1">
        <w:r w:rsidRPr="00AB1FF9">
          <w:rPr>
            <w:rStyle w:val="Hyperlink"/>
            <w:sz w:val="24"/>
            <w:lang w:val="hr-HR"/>
          </w:rPr>
          <w:t>http://data.europa.eu/eli/reg/2023/850/oj</w:t>
        </w:r>
      </w:hyperlink>
      <w:r w:rsidRPr="00AB1FF9">
        <w:rPr>
          <w:sz w:val="24"/>
          <w:lang w:val="hr-HR"/>
        </w:rPr>
        <w:t>.</w:t>
      </w:r>
    </w:p>
  </w:footnote>
  <w:footnote w:id="6">
    <w:p w:rsidR="000C73FD" w:rsidRPr="00AB1FF9" w:rsidP="00AB1FF9" w14:paraId="65E90738" w14:textId="5B58EAA2">
      <w:pPr>
        <w:pStyle w:val="FootnoteText"/>
        <w:ind w:left="567" w:hanging="567"/>
        <w:rPr>
          <w:sz w:val="24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 xml:space="preserve">SL L, 2024/1449, 24.5.2024., </w:t>
      </w:r>
      <w:r w:rsidRPr="00AB1FF9">
        <w:rPr>
          <w:color w:val="333333"/>
          <w:sz w:val="24"/>
          <w:shd w:val="clear" w:color="auto" w:fill="FFFFFF"/>
          <w:lang w:val="hr-HR"/>
        </w:rPr>
        <w:t>ELI: </w:t>
      </w:r>
      <w:hyperlink r:id="rId5" w:tooltip="ELI URI za pristup dokumentu." w:history="1">
        <w:r w:rsidRPr="00AB1FF9">
          <w:rPr>
            <w:rStyle w:val="Hyperlink"/>
            <w:color w:val="337AB7"/>
            <w:sz w:val="24"/>
            <w:shd w:val="clear" w:color="auto" w:fill="FFFFFF"/>
            <w:lang w:val="hr-HR"/>
          </w:rPr>
          <w:t>http://data.europa.eu/eli/reg/2024/1449/oj</w:t>
        </w:r>
      </w:hyperlink>
      <w:r w:rsidRPr="00AB1FF9">
        <w:rPr>
          <w:sz w:val="24"/>
          <w:lang w:val="hr-HR"/>
        </w:rPr>
        <w:t>.</w:t>
      </w:r>
    </w:p>
  </w:footnote>
  <w:footnote w:id="7">
    <w:p w:rsidR="000C73FD" w:rsidRPr="00AB1FF9" w:rsidP="00AB1FF9" w14:paraId="37C6DCAA" w14:textId="70F80F50">
      <w:pPr>
        <w:pStyle w:val="FootnoteText"/>
        <w:ind w:left="567" w:hanging="567"/>
        <w:rPr>
          <w:sz w:val="24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>SL L, 2025/1161, 6.6.2025., ELI: </w:t>
      </w:r>
      <w:hyperlink r:id="rId6" w:tgtFrame="_blank" w:tooltip="ELI URI za pristup dokumentu." w:history="1">
        <w:r w:rsidRPr="00AB1FF9">
          <w:rPr>
            <w:rStyle w:val="Hyperlink"/>
            <w:sz w:val="24"/>
            <w:lang w:val="hr-HR"/>
          </w:rPr>
          <w:t>http://data.europa.eu/eli/dec/2025/1161/oj</w:t>
        </w:r>
      </w:hyperlink>
      <w:r w:rsidRPr="00AB1FF9">
        <w:rPr>
          <w:sz w:val="24"/>
          <w:lang w:val="hr-HR"/>
        </w:rPr>
        <w:t>.</w:t>
      </w:r>
    </w:p>
  </w:footnote>
  <w:footnote w:id="8">
    <w:p w:rsidR="000C73FD" w:rsidRPr="00AB1FF9" w:rsidP="00AB1FF9" w14:paraId="630C401F" w14:textId="2AFAE737">
      <w:pPr>
        <w:pStyle w:val="FootnoteText"/>
        <w:ind w:left="567" w:hanging="567"/>
        <w:rPr>
          <w:sz w:val="24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 xml:space="preserve">Uredba (EU) 2024/1083 Europskog parlamenta i Vijeća od 11. travnja 2024. </w:t>
      </w:r>
      <w:r w:rsidRPr="00AB1FF9">
        <w:rPr>
          <w:sz w:val="24"/>
          <w:lang w:val="hr-HR"/>
        </w:rPr>
        <w:t xml:space="preserve">o uspostavi zajedničkog okvira za medijske usluge na unutarnjem tržištu i izmjeni Direktive 2010/13/EU (Europski akt o slobodi medija) (SL L, 2024/1083, 17.4.2024., ELI: </w:t>
      </w:r>
      <w:hyperlink r:id="rId7" w:history="1">
        <w:r w:rsidRPr="00AB1FF9">
          <w:rPr>
            <w:rStyle w:val="Hyperlink"/>
            <w:sz w:val="24"/>
            <w:lang w:val="hr-HR"/>
          </w:rPr>
          <w:t>http://data.europa.eu/eli/reg/2024/1083/oj</w:t>
        </w:r>
      </w:hyperlink>
      <w:r w:rsidRPr="00AB1FF9">
        <w:rPr>
          <w:sz w:val="24"/>
          <w:lang w:val="hr-HR"/>
        </w:rPr>
        <w:t>).</w:t>
      </w:r>
    </w:p>
  </w:footnote>
  <w:footnote w:id="9">
    <w:p w:rsidR="000C73FD" w:rsidRPr="00AB1FF9" w:rsidP="00AB1FF9" w14:paraId="6804C159" w14:textId="67CA03F5">
      <w:pPr>
        <w:pStyle w:val="FootnoteText"/>
        <w:ind w:left="567" w:hanging="567"/>
        <w:rPr>
          <w:sz w:val="24"/>
          <w:lang w:val="hr-HR"/>
        </w:rPr>
      </w:pPr>
      <w:r w:rsidRPr="00AB1FF9">
        <w:rPr>
          <w:rStyle w:val="FootnoteReference"/>
          <w:sz w:val="24"/>
          <w:lang w:val="hr-HR"/>
        </w:rPr>
        <w:footnoteRef/>
      </w:r>
      <w:r w:rsidRPr="00AB1FF9" w:rsidR="00AB1FF9">
        <w:rPr>
          <w:sz w:val="24"/>
          <w:lang w:val="hr-HR"/>
        </w:rPr>
        <w:t xml:space="preserve"> </w:t>
      </w:r>
      <w:r w:rsidRPr="00AB1FF9" w:rsidR="00AB1FF9">
        <w:rPr>
          <w:sz w:val="24"/>
          <w:lang w:val="hr-HR"/>
        </w:rPr>
        <w:tab/>
      </w:r>
      <w:r w:rsidRPr="00AB1FF9">
        <w:rPr>
          <w:sz w:val="24"/>
          <w:lang w:val="hr-HR"/>
        </w:rPr>
        <w:t xml:space="preserve">Direktiva (EU) 2024/1069 Europskog parlamenta i Vijeća od 11. travnja 2024. </w:t>
      </w:r>
      <w:r w:rsidRPr="00AB1FF9">
        <w:rPr>
          <w:sz w:val="24"/>
          <w:lang w:val="hr-HR"/>
        </w:rPr>
        <w:t xml:space="preserve">o zaštiti osoba uključenih u javno djelovanje od očito neosnovanih tužbi ili zlonamjernih sudskih postupaka („strateške tužbe usmjerene protiv javnog djelovanja”) (SL L, 2024/1069, 16.4.2024., ELI: </w:t>
      </w:r>
      <w:hyperlink r:id="rId8" w:history="1">
        <w:r w:rsidRPr="00AB1FF9">
          <w:rPr>
            <w:rStyle w:val="Hyperlink"/>
            <w:sz w:val="24"/>
            <w:lang w:val="hr-HR"/>
          </w:rPr>
          <w:t>http://data.europa.eu/eli/dir/2024/1069/oj</w:t>
        </w:r>
      </w:hyperlink>
      <w:r w:rsidRPr="00AB1FF9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1FF9" w14:paraId="152932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1FF9" w14:paraId="4A4D2E8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1FF9" w14:paraId="4E97F93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5784738">
    <w:abstractNumId w:val="9"/>
  </w:num>
  <w:num w:numId="2" w16cid:durableId="1606767197">
    <w:abstractNumId w:val="9"/>
  </w:num>
  <w:num w:numId="3" w16cid:durableId="1293172217">
    <w:abstractNumId w:val="7"/>
  </w:num>
  <w:num w:numId="4" w16cid:durableId="777025814">
    <w:abstractNumId w:val="7"/>
  </w:num>
  <w:num w:numId="5" w16cid:durableId="557935335">
    <w:abstractNumId w:val="6"/>
  </w:num>
  <w:num w:numId="6" w16cid:durableId="1346901393">
    <w:abstractNumId w:val="6"/>
  </w:num>
  <w:num w:numId="7" w16cid:durableId="1343119030">
    <w:abstractNumId w:val="5"/>
  </w:num>
  <w:num w:numId="8" w16cid:durableId="1425221025">
    <w:abstractNumId w:val="5"/>
  </w:num>
  <w:num w:numId="9" w16cid:durableId="1551647298">
    <w:abstractNumId w:val="4"/>
  </w:num>
  <w:num w:numId="10" w16cid:durableId="875701200">
    <w:abstractNumId w:val="4"/>
  </w:num>
  <w:num w:numId="11" w16cid:durableId="195626082">
    <w:abstractNumId w:val="8"/>
  </w:num>
  <w:num w:numId="12" w16cid:durableId="199436437">
    <w:abstractNumId w:val="8"/>
  </w:num>
  <w:num w:numId="13" w16cid:durableId="736173706">
    <w:abstractNumId w:val="3"/>
  </w:num>
  <w:num w:numId="14" w16cid:durableId="1389912472">
    <w:abstractNumId w:val="3"/>
  </w:num>
  <w:num w:numId="15" w16cid:durableId="319575119">
    <w:abstractNumId w:val="2"/>
  </w:num>
  <w:num w:numId="16" w16cid:durableId="85543011">
    <w:abstractNumId w:val="2"/>
  </w:num>
  <w:num w:numId="17" w16cid:durableId="703753302">
    <w:abstractNumId w:val="1"/>
  </w:num>
  <w:num w:numId="18" w16cid:durableId="1518693721">
    <w:abstractNumId w:val="1"/>
  </w:num>
  <w:num w:numId="19" w16cid:durableId="1474905622">
    <w:abstractNumId w:val="0"/>
  </w:num>
  <w:num w:numId="20" w16cid:durableId="893470009">
    <w:abstractNumId w:val="0"/>
  </w:num>
  <w:num w:numId="21" w16cid:durableId="1218472441">
    <w:abstractNumId w:val="9"/>
  </w:num>
  <w:num w:numId="22" w16cid:durableId="756563136">
    <w:abstractNumId w:val="7"/>
  </w:num>
  <w:num w:numId="23" w16cid:durableId="1037894659">
    <w:abstractNumId w:val="6"/>
  </w:num>
  <w:num w:numId="24" w16cid:durableId="1134713544">
    <w:abstractNumId w:val="5"/>
  </w:num>
  <w:num w:numId="25" w16cid:durableId="1213150154">
    <w:abstractNumId w:val="4"/>
  </w:num>
  <w:num w:numId="26" w16cid:durableId="622686558">
    <w:abstractNumId w:val="8"/>
  </w:num>
  <w:num w:numId="27" w16cid:durableId="1143427522">
    <w:abstractNumId w:val="3"/>
  </w:num>
  <w:num w:numId="28" w16cid:durableId="2130928009">
    <w:abstractNumId w:val="2"/>
  </w:num>
  <w:num w:numId="29" w16cid:durableId="673918167">
    <w:abstractNumId w:val="1"/>
  </w:num>
  <w:num w:numId="30" w16cid:durableId="411582292">
    <w:abstractNumId w:val="0"/>
  </w:num>
  <w:num w:numId="31" w16cid:durableId="412357924">
    <w:abstractNumId w:val="9"/>
  </w:num>
  <w:num w:numId="32" w16cid:durableId="1109592983">
    <w:abstractNumId w:val="7"/>
  </w:num>
  <w:num w:numId="33" w16cid:durableId="745879059">
    <w:abstractNumId w:val="6"/>
  </w:num>
  <w:num w:numId="34" w16cid:durableId="1918711155">
    <w:abstractNumId w:val="5"/>
  </w:num>
  <w:num w:numId="35" w16cid:durableId="966350486">
    <w:abstractNumId w:val="4"/>
  </w:num>
  <w:num w:numId="36" w16cid:durableId="591472048">
    <w:abstractNumId w:val="8"/>
  </w:num>
  <w:num w:numId="37" w16cid:durableId="637566717">
    <w:abstractNumId w:val="3"/>
  </w:num>
  <w:num w:numId="38" w16cid:durableId="238559865">
    <w:abstractNumId w:val="2"/>
  </w:num>
  <w:num w:numId="39" w16cid:durableId="1432313570">
    <w:abstractNumId w:val="1"/>
  </w:num>
  <w:num w:numId="40" w16cid:durableId="1588155627">
    <w:abstractNumId w:val="0"/>
  </w:num>
  <w:num w:numId="41" w16cid:durableId="163473052">
    <w:abstractNumId w:val="10"/>
  </w:num>
  <w:num w:numId="42" w16cid:durableId="519395752">
    <w:abstractNumId w:val="10"/>
  </w:num>
  <w:num w:numId="43" w16cid:durableId="240599005">
    <w:abstractNumId w:val="10"/>
  </w:num>
  <w:num w:numId="44" w16cid:durableId="5066009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B8"/>
    <w:rsid w:val="00002272"/>
    <w:rsid w:val="00064002"/>
    <w:rsid w:val="000677B9"/>
    <w:rsid w:val="000831BA"/>
    <w:rsid w:val="000A42CC"/>
    <w:rsid w:val="000C73FD"/>
    <w:rsid w:val="000E7DD9"/>
    <w:rsid w:val="0010095E"/>
    <w:rsid w:val="00125B37"/>
    <w:rsid w:val="001414E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F7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7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FF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4B8"/>
    <w:rsid w:val="00F04346"/>
    <w:rsid w:val="00F075DC"/>
    <w:rsid w:val="00F149E9"/>
    <w:rsid w:val="00F5134D"/>
    <w:rsid w:val="00F74202"/>
    <w:rsid w:val="00F87713"/>
    <w:rsid w:val="00FB4360"/>
    <w:rsid w:val="00FD0C70"/>
    <w:rsid w:val="00FD3D6B"/>
  </w:rsids>
  <w:docVars>
    <w:docVar w:name="dvdocse" w:val="A10-0166/2026"/>
    <w:docVar w:name="dvlangue" w:val="HR"/>
    <w:docVar w:name="dvnumam" w:val="0"/>
    <w:docVar w:name="dvpe" w:val="784.231"/>
    <w:docVar w:name="dvrapporteur" w:val="Izvjestitelj: "/>
    <w:docVar w:name="dvtitre" w:val="Rezolucija Europskog parlamenta od .... 2026. o Izvješću Komisije o Kosovu za 2025.(2025/225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8FA17D"/>
  <w15:chartTrackingRefBased/>
  <w15:docId w15:val="{CBEF25A4-269A-4B6E-BFD3-57FADFB0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C73FD"/>
    <w:pPr>
      <w:spacing w:after="240"/>
      <w:ind w:left="567" w:hanging="567"/>
    </w:pPr>
  </w:style>
  <w:style w:type="paragraph" w:customStyle="1" w:styleId="EPComma">
    <w:name w:val="EPComma"/>
    <w:basedOn w:val="Normal"/>
    <w:rsid w:val="000C73FD"/>
    <w:pPr>
      <w:spacing w:before="480" w:after="240"/>
    </w:pPr>
  </w:style>
  <w:style w:type="character" w:styleId="Hyperlink">
    <w:name w:val="Hyperlink"/>
    <w:basedOn w:val="DefaultParagraphFont"/>
    <w:rsid w:val="000C73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HR/ALL/?uri=CELEX%3A52020DC0641" TargetMode="External" /><Relationship Id="rId8" Type="http://schemas.openxmlformats.org/officeDocument/2006/relationships/hyperlink" Target="https://eur-lex.europa.eu/legal-content/HR/ALL/?uri=CELEX%3A52023DC0691" TargetMode="External" /><Relationship Id="rId9" Type="http://schemas.openxmlformats.org/officeDocument/2006/relationships/hyperlink" Target="https://eur-lex.europa.eu/legal-content/HR/ALL/?uri=CELEX%3A52024DC0146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6/342/oj" TargetMode="External" /><Relationship Id="rId2" Type="http://schemas.openxmlformats.org/officeDocument/2006/relationships/hyperlink" Target="http://data.europa.eu/eli/agree_internation/2017/1388/oj" TargetMode="External" /><Relationship Id="rId3" Type="http://schemas.openxmlformats.org/officeDocument/2006/relationships/hyperlink" Target="http://data.europa.eu/eli/reg/2021/1529/oj" TargetMode="External" /><Relationship Id="rId4" Type="http://schemas.openxmlformats.org/officeDocument/2006/relationships/hyperlink" Target="http://data.europa.eu/eli/reg/2023/850/oj" TargetMode="External" /><Relationship Id="rId5" Type="http://schemas.openxmlformats.org/officeDocument/2006/relationships/hyperlink" Target="http://data.europa.eu/eli/reg/2024/1449/oj" TargetMode="External" /><Relationship Id="rId6" Type="http://schemas.openxmlformats.org/officeDocument/2006/relationships/hyperlink" Target="http://data.europa.eu/eli/dec/2025/1161/oj" TargetMode="External" /><Relationship Id="rId7" Type="http://schemas.openxmlformats.org/officeDocument/2006/relationships/hyperlink" Target="http://data.europa.eu/eli/reg/2024/1083/oj" TargetMode="External" /><Relationship Id="rId8" Type="http://schemas.openxmlformats.org/officeDocument/2006/relationships/hyperlink" Target="http://data.europa.eu/eli/dir/2024/10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6278</Words>
  <Characters>39333</Characters>
  <Application>Microsoft Office Word</Application>
  <DocSecurity>0</DocSecurity>
  <Lines>327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2026-06-17T13:02:00Z</dcterms:created>
  <dcterms:modified xsi:type="dcterms:W3CDTF">2026-06-17T13:02:00Z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A10-0166/2026</vt:lpwstr>
  </property>
  <property fmtid="{D5CDD505-2E9C-101B-9397-08002B2CF9AE}" pid="4" name="&lt;Type&gt;">
    <vt:lpwstr>RR</vt:lpwstr>
  </property>
</Properties>
</file>