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28BE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1B50" w:rsidP="0010095E" w14:paraId="2C37B374" w14:textId="77777777">
            <w:pPr>
              <w:pStyle w:val="EPName"/>
            </w:pPr>
            <w:r w:rsidRPr="00E61B50">
              <w:t>Európai Parlament</w:t>
            </w:r>
          </w:p>
          <w:p w:rsidR="00751A4A" w:rsidRPr="00E61B50" w:rsidP="005F1B17" w14:paraId="6FEC29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1B50">
              <w:t>2024</w:t>
            </w:r>
            <w:r w:rsidRPr="00E61B50" w:rsidR="00817416">
              <w:t>-202</w:t>
            </w:r>
            <w:r w:rsidRPr="00E61B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1B50" w:rsidP="0010095E" w14:paraId="51F2B579" w14:textId="77777777">
            <w:pPr>
              <w:pStyle w:val="EPLogo"/>
            </w:pPr>
            <w:r w:rsidRPr="00E61B5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1B50" w:rsidP="004C5D52" w14:paraId="212A6C6C" w14:textId="77777777">
      <w:pPr>
        <w:pStyle w:val="LineTop"/>
      </w:pPr>
    </w:p>
    <w:p w:rsidR="00680577" w:rsidRPr="00E61B50" w:rsidP="00680577" w14:paraId="738E2633" w14:textId="77777777">
      <w:pPr>
        <w:pStyle w:val="EPBodyTA1"/>
      </w:pPr>
      <w:r w:rsidRPr="00E61B50">
        <w:t>ELFOGADOTT SZÖVEGEK</w:t>
      </w:r>
    </w:p>
    <w:p w:rsidR="00D058B8" w:rsidRPr="00E61B50" w:rsidP="00D058B8" w14:paraId="2F5C70DC" w14:textId="77777777">
      <w:pPr>
        <w:pStyle w:val="LineBottom"/>
      </w:pPr>
    </w:p>
    <w:p w:rsidR="00FC1775" w:rsidRPr="00E61B50" w:rsidP="00FC1775" w14:paraId="086264FE" w14:textId="7A3A11B9">
      <w:pPr>
        <w:pStyle w:val="ATHeading1"/>
      </w:pPr>
      <w:bookmarkStart w:id="0" w:name="TANumber"/>
      <w:r w:rsidRPr="00B102C9">
        <w:t>P10_</w:t>
      </w:r>
      <w:r w:rsidRPr="00B102C9">
        <w:t>TA(</w:t>
      </w:r>
      <w:r w:rsidRPr="00B102C9">
        <w:t>2026)0</w:t>
      </w:r>
      <w:r w:rsidRPr="00B102C9" w:rsidR="00E61B50">
        <w:t>22</w:t>
      </w:r>
      <w:r w:rsidRPr="00B102C9">
        <w:t>0</w:t>
      </w:r>
      <w:bookmarkEnd w:id="0"/>
    </w:p>
    <w:p w:rsidR="00FC1775" w:rsidRPr="00E61B50" w:rsidP="00FC1775" w14:paraId="41C9192C" w14:textId="17A58CDD">
      <w:pPr>
        <w:pStyle w:val="ATHeading2"/>
      </w:pPr>
      <w:r w:rsidRPr="00E61B50">
        <w:t>A Bizottság Koszovóról szóló 2025. évi jelentése</w:t>
      </w:r>
    </w:p>
    <w:p w:rsidR="00FC1775" w:rsidRPr="00E61B50" w:rsidP="00FC1775" w14:paraId="5AD78FF7" w14:textId="77777777">
      <w:pPr>
        <w:rPr>
          <w:i/>
          <w:vanish/>
        </w:rPr>
      </w:pPr>
      <w:r>
        <w:rPr>
          <w:i/>
        </w:rPr>
        <w:fldChar w:fldCharType="begin"/>
      </w:r>
      <w:r w:rsidRPr="00E61B50">
        <w:rPr>
          <w:i/>
        </w:rPr>
        <w:instrText xml:space="preserve"> TC"(</w:instrText>
      </w:r>
      <w:bookmarkStart w:id="1" w:name="DocNumber"/>
      <w:r w:rsidRPr="00E61B50">
        <w:rPr>
          <w:i/>
        </w:rPr>
        <w:instrText>A10-0166/2026</w:instrText>
      </w:r>
      <w:bookmarkEnd w:id="1"/>
      <w:r w:rsidRPr="00E61B50">
        <w:rPr>
          <w:i/>
        </w:rPr>
        <w:instrText xml:space="preserve"> - Előadó: </w:instrText>
      </w:r>
      <w:r w:rsidRPr="00E61B50">
        <w:rPr>
          <w:i/>
        </w:rPr>
        <w:instrText>Riho</w:instrText>
      </w:r>
      <w:r w:rsidRPr="00E61B50">
        <w:rPr>
          <w:i/>
        </w:rPr>
        <w:instrText xml:space="preserve"> </w:instrText>
      </w:r>
      <w:r w:rsidRPr="00E61B50">
        <w:rPr>
          <w:i/>
        </w:rPr>
        <w:instrText>Terras</w:instrText>
      </w:r>
      <w:r w:rsidRPr="00E61B5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C1775" w:rsidRPr="00E61B50" w:rsidP="00FC1775" w14:paraId="1ABACE8D" w14:textId="77777777">
      <w:pPr>
        <w:rPr>
          <w:vanish/>
        </w:rPr>
      </w:pPr>
      <w:bookmarkStart w:id="2" w:name="Commission"/>
      <w:r w:rsidRPr="00E61B50">
        <w:rPr>
          <w:vanish/>
        </w:rPr>
        <w:t>Külügyi Bizottság</w:t>
      </w:r>
      <w:bookmarkEnd w:id="2"/>
    </w:p>
    <w:p w:rsidR="00FC1775" w:rsidRPr="00E61B50" w:rsidP="00FC1775" w14:paraId="0B92A635" w14:textId="77777777">
      <w:pPr>
        <w:rPr>
          <w:vanish/>
        </w:rPr>
      </w:pPr>
      <w:bookmarkStart w:id="3" w:name="PE"/>
      <w:r w:rsidRPr="00E61B50">
        <w:rPr>
          <w:vanish/>
        </w:rPr>
        <w:t>PE784.231</w:t>
      </w:r>
      <w:bookmarkEnd w:id="3"/>
    </w:p>
    <w:p w:rsidR="00FC1775" w:rsidRPr="00E61B50" w:rsidP="00FC1775" w14:paraId="13FEEE76" w14:textId="4519A704">
      <w:pPr>
        <w:pStyle w:val="ATHeading3"/>
      </w:pPr>
      <w:bookmarkStart w:id="4" w:name="Sujet"/>
      <w:r w:rsidRPr="00E61B50">
        <w:t xml:space="preserve">Az Európai Parlament 2026. </w:t>
      </w:r>
      <w:r w:rsidRPr="00E61B50" w:rsidR="00AB5E0B">
        <w:t>június 17</w:t>
      </w:r>
      <w:r w:rsidRPr="00E61B50">
        <w:t>-i állásfoglalása a Bizottság Koszovóról szóló, 2025. évi jelentéséről</w:t>
      </w:r>
      <w:bookmarkEnd w:id="4"/>
      <w:r w:rsidRPr="00E61B50">
        <w:t xml:space="preserve"> </w:t>
      </w:r>
      <w:bookmarkStart w:id="5" w:name="References"/>
      <w:r w:rsidRPr="00E61B50">
        <w:t>(2025/2252(INI))</w:t>
      </w:r>
      <w:bookmarkEnd w:id="5"/>
    </w:p>
    <w:p w:rsidR="00932A6A" w:rsidRPr="00E61B50" w:rsidP="00932A6A" w14:paraId="46C7CE8D" w14:textId="77777777">
      <w:pPr>
        <w:pStyle w:val="EPComma"/>
      </w:pPr>
      <w:r w:rsidRPr="00E61B50">
        <w:rPr>
          <w:i/>
        </w:rPr>
        <w:t>Az Európai Parlament</w:t>
      </w:r>
      <w:r w:rsidRPr="00E61B50">
        <w:t>,</w:t>
      </w:r>
    </w:p>
    <w:p w:rsidR="00932A6A" w:rsidRPr="00E61B50" w:rsidP="00AB5E0B" w14:paraId="7A4BDF5F" w14:textId="77777777">
      <w:pPr>
        <w:pStyle w:val="NormalHanging12a"/>
        <w:widowControl/>
      </w:pPr>
      <w:r w:rsidRPr="00E61B50">
        <w:t>–</w:t>
      </w:r>
      <w:r w:rsidRPr="00E61B50">
        <w:tab/>
        <w:t>tekintettel az egyrészről az Európai Unió és az Európai Atomenergia-közösség, másrészről Koszovó közötti, 2016. április 1-jén hatályba lépett stabilizációs és társulási megállapodásra</w:t>
      </w:r>
      <w:r>
        <w:rPr>
          <w:rStyle w:val="FootnoteReference"/>
        </w:rPr>
        <w:footnoteReference w:id="2"/>
      </w:r>
      <w:r w:rsidRPr="00E61B50">
        <w:t>,</w:t>
      </w:r>
    </w:p>
    <w:p w:rsidR="00932A6A" w:rsidRPr="00E61B50" w:rsidP="00AB5E0B" w14:paraId="4BC52BC8" w14:textId="77777777">
      <w:pPr>
        <w:pStyle w:val="NormalHanging12a"/>
        <w:widowControl/>
      </w:pPr>
      <w:r w:rsidRPr="00E61B50">
        <w:t>–</w:t>
      </w:r>
      <w:r w:rsidRPr="00E61B50">
        <w:tab/>
        <w:t>tekintettel Koszovó európai uniós tagságra irányuló, 2022. december 15-i kérelmére,</w:t>
      </w:r>
    </w:p>
    <w:p w:rsidR="00932A6A" w:rsidRPr="00E61B50" w:rsidP="00AB5E0B" w14:paraId="662D83A0" w14:textId="77777777">
      <w:pPr>
        <w:pStyle w:val="NormalHanging12a"/>
        <w:widowControl/>
      </w:pPr>
      <w:r w:rsidRPr="00E61B50">
        <w:t>–</w:t>
      </w:r>
      <w:r w:rsidRPr="00E61B50">
        <w:tab/>
        <w:t>tekintettel Koszovó Európa tanácsi tagságra irányuló, 2022. május 12-i kérelmére,</w:t>
      </w:r>
    </w:p>
    <w:p w:rsidR="00932A6A" w:rsidRPr="00E61B50" w:rsidP="00AB5E0B" w14:paraId="7B1F8782" w14:textId="77777777">
      <w:pPr>
        <w:pStyle w:val="NormalHanging12a"/>
        <w:widowControl/>
      </w:pPr>
      <w:r w:rsidRPr="00E61B50">
        <w:t>–</w:t>
      </w:r>
      <w:r w:rsidRPr="00E61B50">
        <w:tab/>
        <w:t>tekintettel az Európai Unió és Koszovó közötti, Koszovó uniós programokban való részvételére vonatkozó általános alapelvekről szóló, 2017. augusztus 1-jén hatályba lépett keretmegállapodásra</w:t>
      </w:r>
      <w:r>
        <w:rPr>
          <w:rStyle w:val="FootnoteReference"/>
        </w:rPr>
        <w:footnoteReference w:id="3"/>
      </w:r>
      <w:r w:rsidRPr="00E61B50">
        <w:t>,</w:t>
      </w:r>
    </w:p>
    <w:p w:rsidR="00932A6A" w:rsidRPr="00E61B50" w:rsidP="00AB5E0B" w14:paraId="039E8622" w14:textId="77777777">
      <w:pPr>
        <w:pStyle w:val="NormalHanging12a"/>
        <w:widowControl/>
      </w:pPr>
      <w:r w:rsidRPr="00E61B50">
        <w:t>–</w:t>
      </w:r>
      <w:r w:rsidRPr="00E61B50">
        <w:tab/>
        <w:t>tekintettel az Előcsatlakozási Támogatási Eszköz (IPA III) létrehozásáról szóló, 2021. szeptember 15-i (EU) 2021/1529 európai parlamenti és tanácsi rendeletre</w:t>
      </w:r>
      <w:r>
        <w:rPr>
          <w:rStyle w:val="FootnoteReference"/>
        </w:rPr>
        <w:footnoteReference w:id="4"/>
      </w:r>
      <w:r w:rsidRPr="00E61B50">
        <w:t>,</w:t>
      </w:r>
    </w:p>
    <w:p w:rsidR="00932A6A" w:rsidRPr="00E61B50" w:rsidP="00AB5E0B" w14:paraId="738C7C39" w14:textId="77777777">
      <w:pPr>
        <w:pStyle w:val="NormalHanging12a"/>
        <w:widowControl/>
      </w:pPr>
      <w:r w:rsidRPr="00E61B50">
        <w:t>–</w:t>
      </w:r>
      <w:r w:rsidRPr="00E61B50">
        <w:tab/>
        <w:t>tekintettel a külső határok átlépésekor vízumkötelezettség alá eső, illetve az e kötelezettség alól mentes harmadik országbeli állampolgárok országainak felsorolásáról szóló (EU) 2018/1806 rendelet Koszovó tekintetében történő módosításáról szóló, 2023. április 19-i (EU) 2023/850 európai parlamenti és tanácsi rendeletre</w:t>
      </w:r>
      <w:r>
        <w:rPr>
          <w:rStyle w:val="FootnoteReference"/>
        </w:rPr>
        <w:footnoteReference w:id="5"/>
      </w:r>
      <w:r w:rsidRPr="00E61B50">
        <w:t xml:space="preserve">, amely 2024. január </w:t>
      </w:r>
      <w:r w:rsidRPr="00E61B50">
        <w:t xml:space="preserve">1-jétől vízummentes utazást tesz lehetővé a koszovói </w:t>
      </w:r>
      <w:r w:rsidRPr="00E61B50">
        <w:t>biometrikus</w:t>
      </w:r>
      <w:r w:rsidRPr="00E61B50">
        <w:t xml:space="preserve"> útlevéllel rendelkezők számára,</w:t>
      </w:r>
    </w:p>
    <w:p w:rsidR="00932A6A" w:rsidRPr="00E61B50" w:rsidP="00AB5E0B" w14:paraId="6F86878C" w14:textId="77777777">
      <w:pPr>
        <w:pStyle w:val="NormalHanging12a"/>
        <w:widowControl/>
      </w:pPr>
      <w:r w:rsidRPr="00E61B50">
        <w:t>–</w:t>
      </w:r>
      <w:r w:rsidRPr="00E61B50">
        <w:tab/>
        <w:t>tekintettel a Nyugat-balkáni Reform- és Növekedéstámogató Eszköz létrehozásáról szóló, 2024. május 14-i (EU) 2024/1449 európai parlamenti és tanácsi rendeletre</w:t>
      </w:r>
      <w:r>
        <w:rPr>
          <w:rStyle w:val="FootnoteReference"/>
        </w:rPr>
        <w:footnoteReference w:id="6"/>
      </w:r>
      <w:r w:rsidRPr="00E61B50">
        <w:t>,</w:t>
      </w:r>
    </w:p>
    <w:p w:rsidR="00932A6A" w:rsidRPr="00E61B50" w:rsidP="00AB5E0B" w14:paraId="170AF4FB" w14:textId="77777777">
      <w:pPr>
        <w:pStyle w:val="NormalHanging12a"/>
        <w:widowControl/>
      </w:pPr>
      <w:r w:rsidRPr="00E61B50">
        <w:t>–</w:t>
      </w:r>
      <w:r w:rsidRPr="00E61B50">
        <w:tab/>
        <w:t>tekintettel az Európai Tanács 2003. június 19–20-án, Szalonikiben tartott ülésének elnökségi következtetéseire,</w:t>
      </w:r>
    </w:p>
    <w:p w:rsidR="00932A6A" w:rsidRPr="00E61B50" w:rsidP="00AB5E0B" w14:paraId="1A65030C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a 2018-ban, 2020-ban és 2021-ben rendre Szófiában, Zágrábban és </w:t>
      </w:r>
      <w:r w:rsidRPr="00E61B50">
        <w:t>Brdo</w:t>
      </w:r>
      <w:r w:rsidRPr="00E61B50">
        <w:t xml:space="preserve"> </w:t>
      </w:r>
      <w:r w:rsidRPr="00E61B50">
        <w:t>pri</w:t>
      </w:r>
      <w:r w:rsidRPr="00E61B50">
        <w:t xml:space="preserve"> </w:t>
      </w:r>
      <w:r w:rsidRPr="00E61B50">
        <w:t>Kranjuban</w:t>
      </w:r>
      <w:r w:rsidRPr="00E61B50">
        <w:t xml:space="preserve"> tartott EU–Nyugat-Balkán-csúcstalálkozókra és azok nyilatkozataira,</w:t>
      </w:r>
    </w:p>
    <w:p w:rsidR="00932A6A" w:rsidRPr="00E61B50" w:rsidP="00AB5E0B" w14:paraId="3032B03D" w14:textId="77777777">
      <w:pPr>
        <w:pStyle w:val="NormalHanging12a"/>
        <w:widowControl/>
      </w:pPr>
      <w:r w:rsidRPr="00E61B50">
        <w:t>–</w:t>
      </w:r>
      <w:r w:rsidRPr="00E61B50">
        <w:tab/>
        <w:t>tekintettel a nyugat-balkáni vezetőknek a Nyugat-Balkánra vonatkozó növekedési tervről szóló, 2025. július 1-jei szkopjei (Észak-Macedónia) találkozójára,</w:t>
      </w:r>
    </w:p>
    <w:p w:rsidR="00932A6A" w:rsidRPr="00E61B50" w:rsidP="00AB5E0B" w14:paraId="239FD593" w14:textId="77777777">
      <w:pPr>
        <w:pStyle w:val="NormalHanging12a"/>
        <w:widowControl/>
      </w:pPr>
      <w:r w:rsidRPr="00E61B50">
        <w:t>–</w:t>
      </w:r>
      <w:r w:rsidRPr="00E61B50">
        <w:tab/>
        <w:t>tekintettel a 2025. december 17-i EU–Nyugat-Balkán csúcstalálkozón elfogadott nyilatkozatra,</w:t>
      </w:r>
    </w:p>
    <w:p w:rsidR="00932A6A" w:rsidRPr="00E61B50" w:rsidP="00AB5E0B" w14:paraId="45D131D5" w14:textId="77777777">
      <w:pPr>
        <w:pStyle w:val="NormalHanging12a"/>
        <w:widowControl/>
      </w:pPr>
      <w:r w:rsidRPr="00E61B50">
        <w:t>–</w:t>
      </w:r>
      <w:r w:rsidRPr="00E61B50">
        <w:tab/>
        <w:t>tekintettel az Európai Tanács 2025. december 16-i elnökségi következtetéseire a bővítésről,</w:t>
      </w:r>
    </w:p>
    <w:p w:rsidR="00932A6A" w:rsidRPr="00E61B50" w:rsidP="00AB5E0B" w14:paraId="05719286" w14:textId="77777777">
      <w:pPr>
        <w:pStyle w:val="NormalHanging12a"/>
        <w:widowControl/>
      </w:pPr>
      <w:r w:rsidRPr="00E61B50">
        <w:t>–</w:t>
      </w:r>
      <w:r w:rsidRPr="00E61B50">
        <w:tab/>
        <w:t>tekintettel a 2014. augusztus 28-án elindított berlini folyamatra,</w:t>
      </w:r>
    </w:p>
    <w:p w:rsidR="00932A6A" w:rsidRPr="00E61B50" w:rsidP="00AB5E0B" w14:paraId="710EBF7F" w14:textId="77777777">
      <w:pPr>
        <w:pStyle w:val="NormalHanging12a"/>
        <w:widowControl/>
      </w:pPr>
      <w:r w:rsidRPr="00E61B50">
        <w:t>–</w:t>
      </w:r>
      <w:r w:rsidRPr="00E61B50">
        <w:tab/>
        <w:t>tekintettel a berlini folyamatról szóló, 2025. október 22-én tartott 2025. évi csúcstalálkozó elnökének következtetéseire,</w:t>
      </w:r>
    </w:p>
    <w:p w:rsidR="00932A6A" w:rsidRPr="00E61B50" w:rsidP="00AB5E0B" w14:paraId="5DD55A67" w14:textId="77777777">
      <w:pPr>
        <w:pStyle w:val="NormalHanging12a"/>
        <w:widowControl/>
      </w:pPr>
      <w:r w:rsidRPr="00E61B50">
        <w:t>–</w:t>
      </w:r>
      <w:r w:rsidRPr="00E61B50">
        <w:tab/>
        <w:t>tekintettel „A Nyugat-Balkánra vonatkozó gazdaságélénkítési és beruházási terv” című, 2020. október 6-i bizottsági közleményre (</w:t>
      </w:r>
      <w:hyperlink r:id="rId7" w:tgtFrame="https://eur-lex.europa.eu/legal-content/EN/ALL/?uri=CELEX:52020DC0641" w:history="1">
        <w:r w:rsidRPr="00E61B50">
          <w:t>COM(</w:t>
        </w:r>
        <w:r w:rsidRPr="00E61B50">
          <w:t>2020)0641</w:t>
        </w:r>
      </w:hyperlink>
      <w:r w:rsidRPr="00E61B50">
        <w:t>),</w:t>
      </w:r>
    </w:p>
    <w:p w:rsidR="00932A6A" w:rsidRPr="00E61B50" w:rsidP="00AB5E0B" w14:paraId="5CFA1794" w14:textId="77777777">
      <w:pPr>
        <w:pStyle w:val="NormalHanging12a"/>
        <w:widowControl/>
      </w:pPr>
      <w:r w:rsidRPr="00E61B50">
        <w:t>–</w:t>
      </w:r>
      <w:r w:rsidRPr="00E61B50">
        <w:tab/>
        <w:t>tekintettel „A Nyugat-Balkánra vonatkozó új növekedési terv” című, 2023. november 8-i bizottsági közleményre (</w:t>
      </w:r>
      <w:hyperlink r:id="rId8" w:tgtFrame="https://eur-lex.europa.eu/legal-content/EN/ALL/?uri=CELEX:52023DC0691" w:history="1">
        <w:r w:rsidRPr="00E61B50">
          <w:t>COM(</w:t>
        </w:r>
        <w:r w:rsidRPr="00E61B50">
          <w:t>2023)0691</w:t>
        </w:r>
      </w:hyperlink>
      <w:r w:rsidRPr="00E61B50">
        <w:t>),</w:t>
      </w:r>
    </w:p>
    <w:p w:rsidR="00932A6A" w:rsidRPr="00E61B50" w:rsidP="00AB5E0B" w14:paraId="016773C4" w14:textId="77777777">
      <w:pPr>
        <w:pStyle w:val="NormalHanging12a"/>
        <w:widowControl/>
      </w:pPr>
      <w:r w:rsidRPr="00E61B50">
        <w:t>–</w:t>
      </w:r>
      <w:r w:rsidRPr="00E61B50">
        <w:tab/>
        <w:t>tekintettel a bővítést megelőző reformokról és szakpolitikai felülvizsgálatokról szóló, 2024. március 20-i bizottsági közleményre (</w:t>
      </w:r>
      <w:hyperlink r:id="rId9" w:tgtFrame="https://eur-lex.europa.eu/legal-content/EN/ALL/?uri=CELEX:52024DC0146" w:history="1">
        <w:r w:rsidRPr="00E61B50">
          <w:t>COM(</w:t>
        </w:r>
        <w:r w:rsidRPr="00E61B50">
          <w:t>2024)0146</w:t>
        </w:r>
      </w:hyperlink>
      <w:r w:rsidRPr="00E61B50">
        <w:t>),</w:t>
      </w:r>
    </w:p>
    <w:p w:rsidR="00932A6A" w:rsidRPr="00E61B50" w:rsidP="00AB5E0B" w14:paraId="78D0E85D" w14:textId="77777777">
      <w:pPr>
        <w:pStyle w:val="NormalHanging12a"/>
        <w:widowControl/>
      </w:pPr>
      <w:r w:rsidRPr="00E61B50">
        <w:t>–</w:t>
      </w:r>
      <w:r w:rsidRPr="00E61B50">
        <w:tab/>
        <w:t>tekintettel a „2025. évi közlemény az EU bővítési politikájáról” című, 2025. november 4-i bizottsági közleményre (</w:t>
      </w:r>
      <w:r w:rsidRPr="00E61B50">
        <w:t>COM(</w:t>
      </w:r>
      <w:r w:rsidRPr="00E61B50">
        <w:t>2025)0690) és az azt kísérő, „2025. évi jelentés Koszovóról” című bizottsági szolgálati munkadokumentumra (SWD(2025)0752),</w:t>
      </w:r>
    </w:p>
    <w:p w:rsidR="00932A6A" w:rsidRPr="00E61B50" w:rsidP="00AB5E0B" w14:paraId="016F208A" w14:textId="77777777">
      <w:pPr>
        <w:pStyle w:val="NormalHanging12a"/>
        <w:widowControl/>
      </w:pPr>
      <w:r w:rsidRPr="00E61B50">
        <w:t>–</w:t>
      </w:r>
      <w:r w:rsidRPr="00E61B50">
        <w:tab/>
        <w:t>tekintettel az Energiaközösséget létrehozó, 2005. október 25-én Athénban aláírt szerződésre, amelynek célja az EU belső energiapiaci szabályainak kiterjesztése Délkelet-Európára,</w:t>
      </w:r>
    </w:p>
    <w:p w:rsidR="00932A6A" w:rsidRPr="00E61B50" w:rsidP="00AB5E0B" w14:paraId="1F400A9A" w14:textId="77777777">
      <w:pPr>
        <w:pStyle w:val="NormalHanging12a"/>
        <w:widowControl/>
      </w:pPr>
      <w:r w:rsidRPr="00E61B50">
        <w:t>–</w:t>
      </w:r>
      <w:r w:rsidRPr="00E61B50">
        <w:tab/>
        <w:t>tekintettel az ENSZ Biztonsági Tanácsának 1999. június 10-i 1244. sz. határozatára, a Nemzetközi Bíróság (NB) Koszovó függetlensége egyoldalú kinyilvánításának a nemzetközi joggal való összhangjáról szóló, 2010. július 22-i tanácsadó véleményére és az ENSZ Közgyűlésének 2010. szeptember 9-i 64/298. számú határozatára, amely elismerte az NB véleményének tartalmát, és üdvözölte, hogy az kész a Szerbia és Koszovó közötti párbeszéd elősegítésére,</w:t>
      </w:r>
    </w:p>
    <w:p w:rsidR="00932A6A" w:rsidRPr="00E61B50" w:rsidP="00AB5E0B" w14:paraId="76E37FD3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Koszovó folytonos igazodására az EU közös </w:t>
      </w:r>
      <w:r w:rsidRPr="00E61B50">
        <w:t>kül</w:t>
      </w:r>
      <w:r w:rsidRPr="00E61B50">
        <w:t>- és biztonságpolitikájához;</w:t>
      </w:r>
    </w:p>
    <w:p w:rsidR="00932A6A" w:rsidRPr="00E61B50" w:rsidP="00AB5E0B" w14:paraId="10ABAABE" w14:textId="77777777">
      <w:pPr>
        <w:pStyle w:val="NormalHanging12a"/>
        <w:widowControl/>
      </w:pPr>
      <w:r w:rsidRPr="00E61B50">
        <w:t>–</w:t>
      </w:r>
      <w:r w:rsidRPr="00E61B50">
        <w:tab/>
        <w:t>tekintettel a Szerbia és Koszovó közötti kapcsolatok normalizálására vonatkozó alapelvekről szóló, 2013. április 19-i első megállapodásra, a 2015. augusztus 25-i megállapodásokra és az Unió közreműködésével zajló, a kapcsolatok normalizálására irányuló párbeszédre,</w:t>
      </w:r>
    </w:p>
    <w:p w:rsidR="00932A6A" w:rsidRPr="00E61B50" w:rsidP="00AB5E0B" w14:paraId="24C1F83E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a 2023. február 27-i brüsszeli megállapodásra és a 2023. március 18-i </w:t>
      </w:r>
      <w:r w:rsidRPr="00E61B50">
        <w:t>ohridi</w:t>
      </w:r>
      <w:r w:rsidRPr="00E61B50">
        <w:t xml:space="preserve"> megállapodásra, valamint annak végrehajtási mellékletére,</w:t>
      </w:r>
    </w:p>
    <w:p w:rsidR="00932A6A" w:rsidRPr="00E61B50" w:rsidP="00AB5E0B" w14:paraId="405D255C" w14:textId="77777777">
      <w:pPr>
        <w:pStyle w:val="NormalHanging12a"/>
        <w:widowControl/>
      </w:pPr>
      <w:r w:rsidRPr="00E61B50">
        <w:t>–</w:t>
      </w:r>
      <w:r w:rsidRPr="00E61B50">
        <w:tab/>
        <w:t>tekintettel a NATO által vezetett koszovói békefenntartó erők folyamatos jelenlétére és megbízatására, amely továbbra is hozzájárul a biztonságos környezet és a szabad mozgás fenntartásához Koszovóban,</w:t>
      </w:r>
    </w:p>
    <w:p w:rsidR="00932A6A" w:rsidRPr="00E61B50" w:rsidP="00AB5E0B" w14:paraId="506F1529" w14:textId="77777777">
      <w:pPr>
        <w:pStyle w:val="NormalHanging12a"/>
        <w:widowControl/>
      </w:pPr>
      <w:r w:rsidRPr="00E61B50">
        <w:t>–</w:t>
      </w:r>
      <w:r w:rsidRPr="00E61B50">
        <w:tab/>
        <w:t>tekintettel az Európai Unió koszovói jogállamiság-missziójáról (EULEX Koszovó) szóló 2008/124/KKBP együttes fellépés módosításáról szóló, 2025. június 5-i (KKBP) 2025/1161 tanácsi határozatra</w:t>
      </w:r>
      <w:r>
        <w:rPr>
          <w:rStyle w:val="FootnoteReference"/>
        </w:rPr>
        <w:footnoteReference w:id="7"/>
      </w:r>
      <w:r w:rsidRPr="00E61B50">
        <w:t>, amely a misszió megbízatását 2027. június 14-ig meghosszabbította,</w:t>
      </w:r>
    </w:p>
    <w:p w:rsidR="00932A6A" w:rsidRPr="00E61B50" w:rsidP="00AB5E0B" w14:paraId="508B9E76" w14:textId="77777777">
      <w:pPr>
        <w:pStyle w:val="NormalHanging12a"/>
        <w:widowControl/>
      </w:pPr>
      <w:r w:rsidRPr="00E61B50">
        <w:t>–</w:t>
      </w:r>
      <w:r w:rsidRPr="00E61B50">
        <w:tab/>
        <w:t>tekintettel az Európai Unió választási megfigyelő missziójának a Koszovóban 2025-ben megtartott parlamenti választásokról szóló zárójelentésére,</w:t>
      </w:r>
    </w:p>
    <w:p w:rsidR="00932A6A" w:rsidRPr="00E61B50" w:rsidP="00AB5E0B" w14:paraId="174AE32C" w14:textId="77777777">
      <w:pPr>
        <w:pStyle w:val="NormalHanging12a"/>
        <w:widowControl/>
      </w:pPr>
      <w:r w:rsidRPr="00E61B50">
        <w:t>–</w:t>
      </w:r>
      <w:r w:rsidRPr="00E61B50">
        <w:tab/>
        <w:t>tekintettel a Koszovóról szóló korábbi állásfoglalásaira,</w:t>
      </w:r>
    </w:p>
    <w:p w:rsidR="00932A6A" w:rsidRPr="00E61B50" w:rsidP="00AB5E0B" w14:paraId="2EF9BB58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az EU–Koszovó Stabilizációs és Társulási Parlamenti Bizottság 2024. december 9-én tartott 20. ülésén elfogadott nyilatkozatra és ajánlásokra, </w:t>
      </w:r>
    </w:p>
    <w:p w:rsidR="00932A6A" w:rsidRPr="00E61B50" w:rsidP="00AB5E0B" w14:paraId="3D94E6D3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a </w:t>
      </w:r>
      <w:r w:rsidRPr="00E61B50">
        <w:t>Transparency</w:t>
      </w:r>
      <w:r w:rsidRPr="00E61B50">
        <w:t xml:space="preserve"> International 2025. évi korrupcióérzékelési indexére,</w:t>
      </w:r>
    </w:p>
    <w:p w:rsidR="00932A6A" w:rsidRPr="00E61B50" w:rsidP="00AB5E0B" w14:paraId="14680DEA" w14:textId="77777777">
      <w:pPr>
        <w:pStyle w:val="NormalHanging12a"/>
        <w:widowControl/>
      </w:pPr>
      <w:r w:rsidRPr="00E61B50">
        <w:t>–</w:t>
      </w:r>
      <w:r w:rsidRPr="00E61B50">
        <w:tab/>
        <w:t>tekintettel a Riporterek Határok Nélkül által közzétett 2025. évi sajtószabadság-indexre,</w:t>
      </w:r>
    </w:p>
    <w:p w:rsidR="00932A6A" w:rsidRPr="00E61B50" w:rsidP="00AB5E0B" w14:paraId="76EA74A4" w14:textId="77777777">
      <w:pPr>
        <w:pStyle w:val="NormalHanging12a"/>
        <w:widowControl/>
        <w:rPr>
          <w:i/>
        </w:rPr>
      </w:pPr>
      <w:r w:rsidRPr="00E61B50">
        <w:rPr>
          <w:i/>
        </w:rPr>
        <w:t>–</w:t>
      </w:r>
      <w:r w:rsidRPr="00E61B50">
        <w:rPr>
          <w:i/>
        </w:rPr>
        <w:tab/>
      </w:r>
      <w:r w:rsidRPr="00E61B50">
        <w:t xml:space="preserve">tekintettel az Európa Tanács az újságírás védelmét és az újságírók biztonságát elősegítő platformjának 2026. március 24–25-i </w:t>
      </w:r>
      <w:r w:rsidRPr="00E61B50">
        <w:t>pristinai</w:t>
      </w:r>
      <w:r w:rsidRPr="00E61B50">
        <w:t xml:space="preserve"> tényfeltáró látogatására,</w:t>
      </w:r>
    </w:p>
    <w:p w:rsidR="00932A6A" w:rsidRPr="00E61B50" w:rsidP="00AB5E0B" w14:paraId="1B899EFB" w14:textId="77777777">
      <w:pPr>
        <w:pStyle w:val="NormalHanging12a"/>
        <w:widowControl/>
      </w:pPr>
      <w:r w:rsidRPr="00E61B50">
        <w:t>–</w:t>
      </w:r>
      <w:r w:rsidRPr="00E61B50">
        <w:tab/>
        <w:t>tekintettel eljárási szabályzata 55. cikkére,</w:t>
      </w:r>
    </w:p>
    <w:p w:rsidR="00932A6A" w:rsidRPr="00E61B50" w:rsidP="00AB5E0B" w14:paraId="09A4D023" w14:textId="77777777">
      <w:pPr>
        <w:pStyle w:val="NormalHanging12a"/>
        <w:widowControl/>
      </w:pPr>
      <w:r w:rsidRPr="00E61B50">
        <w:t>–</w:t>
      </w:r>
      <w:r w:rsidRPr="00E61B50">
        <w:tab/>
        <w:t xml:space="preserve">tekintettel a Külügyi Bizottság jelentésére (A10-0166/2026), </w:t>
      </w:r>
    </w:p>
    <w:p w:rsidR="00932A6A" w:rsidRPr="00E61B50" w:rsidP="00AB5E0B" w14:paraId="12D19719" w14:textId="77777777">
      <w:pPr>
        <w:pStyle w:val="NormalHanging12a"/>
        <w:widowControl/>
      </w:pPr>
      <w:r w:rsidRPr="00E61B50">
        <w:t>A.</w:t>
      </w:r>
      <w:r w:rsidRPr="00E61B50">
        <w:tab/>
        <w:t>mivel a bővítési politika az EU egyik leghatékonyabb külpolitikai eszköze, és az egyik legsikeresebb politika a bővítési országokban az alapvető reformok előmozdítására és ösztönzésére, valamint az egész kontinensen stratégiai geopolitikai befektetés a hosszú távú békébe, stabilitásba és biztonságba;</w:t>
      </w:r>
    </w:p>
    <w:p w:rsidR="00932A6A" w:rsidRPr="00E61B50" w:rsidP="00AB5E0B" w14:paraId="0D9E5F65" w14:textId="77777777">
      <w:pPr>
        <w:pStyle w:val="NormalHanging12a"/>
        <w:widowControl/>
      </w:pPr>
      <w:r w:rsidRPr="00E61B50">
        <w:t>B.</w:t>
      </w:r>
      <w:r w:rsidRPr="00E61B50">
        <w:tab/>
        <w:t>mivel az EU a demokrácia, az emberi jogok és a jogállamiság alapvető értékeire épül; mivel ezeket az alapvető értékeket a bővítési folyamat során nem lehet veszélyeztetni;</w:t>
      </w:r>
    </w:p>
    <w:p w:rsidR="00932A6A" w:rsidRPr="00E61B50" w:rsidP="00AB5E0B" w14:paraId="0FBE59D8" w14:textId="77777777">
      <w:pPr>
        <w:pStyle w:val="NormalHanging12a"/>
        <w:widowControl/>
        <w:rPr>
          <w:szCs w:val="24"/>
        </w:rPr>
      </w:pPr>
      <w:r w:rsidRPr="00E61B50">
        <w:t>C.</w:t>
      </w:r>
      <w:r w:rsidRPr="00E61B50">
        <w:tab/>
        <w:t>mivel a Koszovói Köztársaság alkotmánya az egyik leginkább progresszív a kisebbségi jogok tekintetében;</w:t>
      </w:r>
    </w:p>
    <w:p w:rsidR="00932A6A" w:rsidRPr="00E61B50" w:rsidP="00AB5E0B" w14:paraId="14897722" w14:textId="77777777">
      <w:pPr>
        <w:pStyle w:val="NormalHanging12a"/>
        <w:widowControl/>
        <w:rPr>
          <w:b/>
        </w:rPr>
      </w:pPr>
      <w:r w:rsidRPr="00E61B50">
        <w:t>D.</w:t>
      </w:r>
      <w:r w:rsidRPr="00E61B50">
        <w:tab/>
        <w:t>mivel valamennyi bővítési ország szigorúan saját érdemei alapján kerül megítélésre; mivel a csatlakozás menetrendjét és előrehaladását a szükséges reformok végrehajtása, valamint a kritériumoknak és a közös európai értékeknek való megfelelés határozza meg;</w:t>
      </w:r>
      <w:r w:rsidRPr="00E61B50">
        <w:rPr>
          <w:b/>
        </w:rPr>
        <w:t xml:space="preserve"> </w:t>
      </w:r>
      <w:r w:rsidRPr="00E61B50">
        <w:t>mivel a csatlakozási folyamat nem folytatódhat a szükséges reformok végrehajtása nélkül;</w:t>
      </w:r>
    </w:p>
    <w:p w:rsidR="00932A6A" w:rsidRPr="00E61B50" w:rsidP="00AB5E0B" w14:paraId="78AC07A6" w14:textId="77777777">
      <w:pPr>
        <w:pStyle w:val="NormalHanging12a"/>
        <w:widowControl/>
      </w:pPr>
      <w:r w:rsidRPr="00E61B50">
        <w:t>E.</w:t>
      </w:r>
      <w:r w:rsidRPr="00E61B50">
        <w:tab/>
        <w:t>mivel Koszovó uniós tagság felé vezető útja a Szerbiával fennálló kapcsolatok normalizálásától és a jószomszédi kapcsolatoktól is függ;</w:t>
      </w:r>
    </w:p>
    <w:p w:rsidR="00932A6A" w:rsidRPr="00E61B50" w:rsidP="00AB5E0B" w14:paraId="7AAE6343" w14:textId="77777777">
      <w:pPr>
        <w:pStyle w:val="NormalHanging12a"/>
        <w:widowControl/>
      </w:pPr>
      <w:r w:rsidRPr="00E61B50">
        <w:t>F.</w:t>
      </w:r>
      <w:r w:rsidRPr="00E61B50">
        <w:tab/>
        <w:t xml:space="preserve">mivel a demokratikus folyamatok integritásának védelme az EU bővítési politikájának központi megfontolásává vált; mivel Koszovó külföldi beavatkozásnak és dezinformációs kampányoknak volt kitéve – különösen Oroszország részéről, többek között szerb nacionalista médiaorgánumokon keresztül –, amelyek célja a demokratikus intézmények destabilizálása, a társadalmi kohézió aláásása és Koszovó európai integrációjának akadályozása; mivel a demokratikus </w:t>
      </w:r>
      <w:r w:rsidRPr="00E61B50">
        <w:t>reziliencia</w:t>
      </w:r>
      <w:r w:rsidRPr="00E61B50">
        <w:t xml:space="preserve"> megerősítése a csatlakozás politikai kritériumai teljesítésének szerves részét képezi;</w:t>
      </w:r>
    </w:p>
    <w:p w:rsidR="00932A6A" w:rsidRPr="00E61B50" w:rsidP="00AB5E0B" w14:paraId="0F22FA34" w14:textId="77777777">
      <w:pPr>
        <w:pStyle w:val="NormalHanging12a"/>
        <w:widowControl/>
        <w:rPr>
          <w:bCs/>
        </w:rPr>
      </w:pPr>
      <w:r w:rsidRPr="00E61B50">
        <w:t>G.</w:t>
      </w:r>
      <w:r w:rsidRPr="00E61B50">
        <w:tab/>
        <w:t>mivel az általános európai irányvonallal ellentétben Ciprus, Görögország, Románia, Szlovákia és Spanyolország még nem ismerte el Koszovó függetlenségét;</w:t>
      </w:r>
    </w:p>
    <w:p w:rsidR="00932A6A" w:rsidRPr="00E61B50" w:rsidP="00AB5E0B" w14:paraId="4BE54FEB" w14:textId="77777777">
      <w:pPr>
        <w:pStyle w:val="NormalHanging12a"/>
        <w:widowControl/>
        <w:rPr>
          <w:b/>
          <w:bCs/>
        </w:rPr>
      </w:pPr>
      <w:r w:rsidRPr="00E61B50">
        <w:rPr>
          <w:b/>
          <w:i/>
        </w:rPr>
        <w:t>Az uniós csatlakozás iránti elkötelezettség</w:t>
      </w:r>
    </w:p>
    <w:p w:rsidR="00932A6A" w:rsidRPr="00E61B50" w:rsidP="00AB5E0B" w14:paraId="3737B899" w14:textId="77777777">
      <w:pPr>
        <w:pStyle w:val="NormalHanging12a"/>
        <w:widowControl/>
      </w:pPr>
      <w:r w:rsidRPr="00E61B50">
        <w:t>1.</w:t>
      </w:r>
      <w:r w:rsidRPr="00E61B50">
        <w:tab/>
        <w:t>elismerését fejezi ki Koszovó uniós csatlakozás iránti folyamatos elkötelezettségéért, amely egyértelmű stratégiai geopolitikai döntést tükröz a megnövelt biztonság, az erőteljesebb európai kötődés, az európai integrációval kapcsolatos széles körű pártközi konszenzus, valamint a Koszovó európai útját övező jelentős társadalmi támogatottságot tükröz, többek között az EU-val való szoros és konkrét kapcsolatok kialakítása révén;</w:t>
      </w:r>
    </w:p>
    <w:p w:rsidR="00932A6A" w:rsidRPr="00E61B50" w:rsidP="00AB5E0B" w14:paraId="6FB19155" w14:textId="77777777">
      <w:pPr>
        <w:pStyle w:val="NormalHanging12a"/>
        <w:widowControl/>
        <w:rPr>
          <w:color w:val="0070C0"/>
        </w:rPr>
      </w:pPr>
      <w:r w:rsidRPr="00E61B50">
        <w:t>2.</w:t>
      </w:r>
      <w:r w:rsidRPr="00E61B50">
        <w:tab/>
        <w:t xml:space="preserve">ismét azon szilárd meggyőződésének ad hangot, hogy Koszovó jövője az EU-ban van, különös tekintettel a régió jelenlegi geopolitikai dinamikájára, a világpolitika gyors és lényegi változásaira, valamint a tekintélyelvű rezsimekkel folytatott fokozódó versenyre; hangsúlyozza, hogy a Koszovó és az EU közötti közeledés egy fokozatos integrációs folyamat része, amely túlmutat pusztán a hivatalos csatlakozáson; hangsúlyozza, hogy az együttműködés és a fokozatos integráció konkrét formái – többek között ágazati partnerségek, az olyan uniós programokban való részvétel, mint az Erasmus+, valamint az egyes európai szakpolitikákba való integráció révén – kulcsfontosságúak a Koszovóval fennálló kapcsolatok megerősítéséhez; hangsúlyozza, hogy ezek az eszközök lehetővé teszik Koszovó európai kötődésének megszilárdítását és a régió </w:t>
      </w:r>
      <w:r w:rsidRPr="00E61B50">
        <w:t>geostratégiai</w:t>
      </w:r>
      <w:r w:rsidRPr="00E61B50">
        <w:t xml:space="preserve"> kihívásainak kezelését, többek között a külső szereplők befolyásának megelőzése révén, a bővítési folyamat ütemének vagy eredményének sérelme nélkül;</w:t>
      </w:r>
    </w:p>
    <w:p w:rsidR="00932A6A" w:rsidRPr="00E61B50" w:rsidP="00AB5E0B" w14:paraId="0A215C39" w14:textId="77777777">
      <w:pPr>
        <w:pStyle w:val="NormalHanging12a"/>
        <w:widowControl/>
        <w:rPr>
          <w:bCs/>
        </w:rPr>
      </w:pPr>
      <w:r w:rsidRPr="00E61B50">
        <w:t>3.</w:t>
      </w:r>
      <w:r w:rsidRPr="00E61B50">
        <w:tab/>
        <w:t xml:space="preserve">üdvözli, hogy a 2025 decemberében tartott demokratikus előrehozott parlamenti választásokat és a több mint egy évig tartó politikai patthelyzetet és mély politikai megosztottságot követően 2026. február 12-én megalakult az új koszovói nemzetgyűlés és kormány; sajnálatát fejezi ki azonban amiatt, hogy a politikai folyamat megbénulása következtében a 2025. év elveszett Koszovó számára; sajnálatát fejezi ki továbbá amiatt, hogy a nemzetgyűlés az alkotmányos határidőn belül nem választott meg új elnököt; tudomásul veszi a nemzetgyűlés 2026. március 6-i elnöki rendelettel történt feloszlatását, és a koszovói Alkotmánybíróság ezt követő ítéletét, amely hatályon kívül </w:t>
      </w:r>
      <w:r w:rsidRPr="00E61B50">
        <w:t>helyezte ezt a határozatot, és 34 napot biztosított a nemzetgyűlés tagjai számára az új elnök megválasztására, ellenkező esetben az ország új választásokra kényszerül; tudomásul veszi az elnök e határidőig történő megválasztására irányuló sikertelen kísérleteket, valamint a 2026. június 7-i új parlamenti választások ezt követő bejelentését;</w:t>
      </w:r>
    </w:p>
    <w:p w:rsidR="00932A6A" w:rsidRPr="00E61B50" w:rsidP="00AB5E0B" w14:paraId="3CDBB160" w14:textId="77777777">
      <w:pPr>
        <w:pStyle w:val="NormalHanging12a"/>
        <w:widowControl/>
        <w:rPr>
          <w:i/>
        </w:rPr>
      </w:pPr>
      <w:r w:rsidRPr="00E61B50">
        <w:t>4.</w:t>
      </w:r>
      <w:r w:rsidRPr="00E61B50">
        <w:tab/>
        <w:t>üdvözli továbbá, hogy a koszovói nemzetgyűlés 2026. február 13-án ratifikálta a Reform- és Növekedéstámogató Eszköz keretében létrejött megállapodásokat; megjegyzi, hogy ez megnyitja az utat Koszovó számára ahhoz, hogy jelentős vissza nem térítendő támogatásokhoz és kedvezményes hitelekhez jusson, amelyek célja a kulcsfontosságú reformok előmozdítása, a gazdasági konvergencia felgyorsítása, valamint további előrehaladás az európai úton; mély sajnálatát fejezi ki amiatt, hogy az ország az „elveszett év” miatt és tekintettel arra, hogy a választási kampány miatt újabb hónapokat veszíthet, elképzelhető, hogy nem lesz képes a határidőkön belül megvalósítani az összes szükséges reformot, és fennáll annak a kockázata, hogy jelentős összegű pénzügyi támogatást veszít el a Reform- és Növekedéstámogató Eszköz keretében;</w:t>
      </w:r>
    </w:p>
    <w:p w:rsidR="00932A6A" w:rsidRPr="00E61B50" w:rsidP="00AB5E0B" w14:paraId="53309254" w14:textId="77777777">
      <w:pPr>
        <w:pStyle w:val="NormalHanging12a"/>
        <w:widowControl/>
      </w:pPr>
      <w:r w:rsidRPr="00E61B50">
        <w:t>5.</w:t>
      </w:r>
      <w:r w:rsidRPr="00E61B50">
        <w:tab/>
        <w:t>hangsúlyozza, hogy a hiteles bővítés érdemekre épülő folyamaton alapul, amelyhez a reformok tartós és visszafordíthatatlan lendülete és az európai normákkal, többek között a koppenhágai kritériumokkal összhangban álló reformok szigorú végrehajtása szükséges;</w:t>
      </w:r>
      <w:r w:rsidRPr="00E61B50">
        <w:rPr>
          <w:i/>
        </w:rPr>
        <w:t xml:space="preserve"> </w:t>
      </w:r>
      <w:r w:rsidRPr="00E61B50">
        <w:t>felszólítja Koszovót, hogy fokozza az EU-val kapcsolatos reformok végrehajtásában elért eredményeit, különösen a jogállamiság, az alapvető szabadságok és a korrupció, különösen a magas szintű korrupció ellen küzdelem területén, és folytassa erőfeszítéseit az európai értékek és normák iránti elkötelezettségének megerősítése révén; hangsúlyozza, hogy minden előcsatlakozási támogatásnak és a kapcsolódó pénzügyi támogatásnak szigorúan az e területeken elért mérhető és ellenőrizhető eredményektől kell függenie; e tekintetben emlékeztet a jogállamiság tiszteletben tartásának fontosságára, amely biztosítja valamennyi polgár véleményének tiszteletben tartását, valamint a jogszabályok hatékony gyakorlati végrehajtását; hangsúlyozza, hogy Koszovónak ismét előtérbe kell helyeznie ezeket a reformokat, és kézzelfogható előrelépést kell elérnie e reformok terén ahhoz, hogy megerősítse Európához való tartozását, és folytathassa előrehaladását az uniós csatlakozás felé vezető úton; hangsúlyozza, hogy bővítés az uniós intézmények és a tagállamok alapos felkészítését is magában foglalja a potenciális új tagok sikeres integrációjának biztosítása érdekében, tiszteletben tartva ugyanakkor a belső piac gazdasági stabilitását, a társadalmi és környezetvédelmi normákat és az európai intézmények megfelelő működését;</w:t>
      </w:r>
    </w:p>
    <w:p w:rsidR="00932A6A" w:rsidRPr="00E61B50" w:rsidP="00AB5E0B" w14:paraId="096A9449" w14:textId="77777777">
      <w:pPr>
        <w:pStyle w:val="NormalHanging12a"/>
        <w:widowControl/>
      </w:pPr>
      <w:r w:rsidRPr="00E61B50">
        <w:t>6.</w:t>
      </w:r>
      <w:r w:rsidRPr="00E61B50">
        <w:tab/>
        <w:t>támogatja Koszovó 2022 decemberében benyújtott uniós tagság iránti kérelmét; megismétli a Tanácson belül a tagállamokhoz intézett felhívását, hogy kérjék fel a Bizottságot, hogy indokolatlan késedelem nélkül terjessze elő kérdőívét, és nyújtsa be véleményét az ország tagság iránti kérelmének megalapozottságáról, és szólítsák fel a Tanácsot, hogy ezt követően gyorsan cselekedjen, többek között azáltal, hogy tagjelölti státuszt ad, amint a vonatkozó kritériumok teljesülnek; felkéri az öt tagállamot, amelyek még nem ismerték el Koszovó függetlenségét, hogy ezt haladéktalanul tegyék meg, és ezzel tegyék lehetővé számára a többi jelölttel azonos feltételek melletti előrehaladást; emlékeztet az NB 2010. július 22-i tanácsadó véleményére, amely kimondja, hogy Koszovó függetlenségének egyoldalú kinyilvánítása nem sérti az általános nemzetközi jogot;</w:t>
      </w:r>
    </w:p>
    <w:p w:rsidR="00932A6A" w:rsidRPr="00E61B50" w:rsidP="00AB5E0B" w14:paraId="58C759FC" w14:textId="77777777">
      <w:pPr>
        <w:pStyle w:val="NormalHanging12a"/>
        <w:widowControl/>
      </w:pPr>
      <w:r w:rsidRPr="00E61B50">
        <w:t>7.</w:t>
      </w:r>
      <w:r w:rsidRPr="00E61B50">
        <w:tab/>
        <w:t>megismétli, hogy teljes mértékben támogatja Koszovó Európa tanácsi tagság iránti kérelmét és az ország arra irányuló stratégiai orientációs tervét, hogy csatlakozik a NATO „Partnerség a Békéért” programjához, valamint a más nemzetközi szervezetekhez való csatlakozásra irányuló kérelmét; felhívja az érintett szervezeteket és a tagállamokat, hogy aktívan kísérjék figyelemmel ezeket a kérelmeket; megjegyzi, hogy Koszovó NATO-hoz való közeledése erősíti az európai biztonságot; felhívja a Bizottságot és az EU koszovói irodáját, hogy fokozzák erőfeszítéseiket az Unió, valamint az Unió és Koszovó közötti megerősített partnerség konkrét előnyeinek jobb láthatósága és megértése érdekében; sürgeti Szerbiát, hogy ne blokkolja tovább Koszovónak az Európa Tanács és más nemzetközi szervezetek tagjává válását, amely ellentmondana a Koszovó és Szerbia közötti, a két ország közti kapcsolatok normalizálásáról szóló 2023. évi megállapodásnak;</w:t>
      </w:r>
    </w:p>
    <w:p w:rsidR="00932A6A" w:rsidRPr="00E61B50" w:rsidP="00AB5E0B" w14:paraId="72D3EB7D" w14:textId="77777777">
      <w:pPr>
        <w:pStyle w:val="NormalHanging12a"/>
        <w:widowControl/>
      </w:pPr>
      <w:r w:rsidRPr="00E61B50">
        <w:t>8.</w:t>
      </w:r>
      <w:r w:rsidRPr="00E61B50">
        <w:tab/>
        <w:t xml:space="preserve">elismerését fejezi ki amiatt, hogy Koszovó az EU megbízható partnere, amit az is bizonyít, hogy továbbra is önkéntesen igazodik az EU közös </w:t>
      </w:r>
      <w:r w:rsidRPr="00E61B50">
        <w:t>kül</w:t>
      </w:r>
      <w:r w:rsidRPr="00E61B50">
        <w:t xml:space="preserve">- és biztonságpolitikájához (KKBP), beleértve az Oroszországgal és </w:t>
      </w:r>
      <w:r w:rsidRPr="00E61B50">
        <w:t>Belarusszal</w:t>
      </w:r>
      <w:r w:rsidRPr="00E61B50">
        <w:t xml:space="preserve"> szembeni uniós korlátozó intézkedések folyamatos végrehajtását, Oroszország Ukrajna elleni agresszív háborújának egyértelmű elítélését, valamint a polgárai körében az uniós integráció iránti nyilvános támogatás következetesen magas szintjét; elvárja Koszovótól, hogy tartsa fenn ezt az igazodást, és folytassa az orosz fenyegetés megfékezésére irányuló erőfeszítéseit;</w:t>
      </w:r>
    </w:p>
    <w:p w:rsidR="00932A6A" w:rsidRPr="00E61B50" w:rsidP="00AB5E0B" w14:paraId="46FE1D89" w14:textId="77777777">
      <w:pPr>
        <w:pStyle w:val="NormalHanging12a"/>
        <w:widowControl/>
      </w:pPr>
      <w:r w:rsidRPr="00E61B50">
        <w:t>9.</w:t>
      </w:r>
      <w:r w:rsidRPr="00E61B50">
        <w:tab/>
        <w:t>üdvözli, hogy 2025. március 18-án aláírták a Koszovó, Albánia és Horvátország közötti védelmi együttműködésről szóló háromoldalú nyilatkozatot, amelynek célja a védelmi képességek megerősítése és a hibrid fenyegetések elleni küzdelem terén folytatott együttműködés fokozása;</w:t>
      </w:r>
    </w:p>
    <w:p w:rsidR="00932A6A" w:rsidRPr="00E61B50" w:rsidP="00AB5E0B" w14:paraId="1DBFE5D1" w14:textId="77777777">
      <w:pPr>
        <w:pStyle w:val="NormalHanging12a"/>
        <w:widowControl/>
      </w:pPr>
      <w:r w:rsidRPr="00E61B50">
        <w:t>10.</w:t>
      </w:r>
      <w:r w:rsidRPr="00E61B50">
        <w:tab/>
        <w:t>üdvözli a Koszovóval szembeni uniós intézkedések megszüntetéséről szóló, rég várt határozatot, beleértve a 2025 decemberében felszabadított, kiemelt szerződésekhez és programozáshoz kapcsolódó 216 millió EUR-t, valamint a 2026 elején felszabadított fennmaradó 205 millió EUR-t; úgy véli, hogy ezek az intézkedések egyértelműen ellentmondtak Koszovó európai értékek iránti bizonyított elkötelezettségének és az uniós politikákhoz való igazodásának, és már nem voltak indokoltak, mivel minden szükséges követelmény teljesült; megjegyzi, hogy ezen intézkedések negatív hatástettek Koszovó társadalmára, különösen a helyi közösségekre, a civil társadalmi szervezetekre és a kis- és középvállalkozásokra (kkv-k); aggodalmát fejezi ki az átláthatóság és a kiszámíthatóság hiánya, a nyilvános kommunikáció elégtelensége és az intézkedések elhúzódó időtartama miatt, annak ellenére, hogy Koszovó megfelel az uniós követelményeknek;</w:t>
      </w:r>
    </w:p>
    <w:p w:rsidR="00932A6A" w:rsidRPr="00E61B50" w:rsidP="00AB5E0B" w14:paraId="65E03C9E" w14:textId="77777777">
      <w:pPr>
        <w:pStyle w:val="NormalHanging12a"/>
        <w:widowControl/>
        <w:rPr>
          <w:b/>
          <w:i/>
        </w:rPr>
      </w:pPr>
      <w:r w:rsidRPr="00E61B50">
        <w:rPr>
          <w:b/>
          <w:i/>
        </w:rPr>
        <w:t>Demokrácia és jogállamiság</w:t>
      </w:r>
    </w:p>
    <w:p w:rsidR="00932A6A" w:rsidRPr="00E61B50" w:rsidP="00AB5E0B" w14:paraId="6682745B" w14:textId="77777777">
      <w:pPr>
        <w:pStyle w:val="NormalHanging12a"/>
        <w:widowControl/>
      </w:pPr>
      <w:r w:rsidRPr="00E61B50">
        <w:t>11.</w:t>
      </w:r>
      <w:r w:rsidRPr="00E61B50">
        <w:tab/>
        <w:t>üdvözli a 2025. évi parlamenti és helyhatósági választások lebonyolításának általános pozitív értékelését, megjegyezve, hogy azokat békés, versenyképes és inkluzív módon bonyolították le, a korábbi uniós választási megfigyelő missziókhoz megfigyeléseihez igazodó, felülvizsgálat választási kereten belül; elismerését fejezi ki a hatóságoknak az elektronikus szavazási rendszer koszovói bevezetéséért; rámutat ugyanakkor arra, hogy a választások lebonyolítása terén is hiányosságokat tártak fel, és sürgeti a koszovói hatóságokat, hogy ezeket vegyék figyelembe a jövőbeli választások megszervezése során;</w:t>
      </w:r>
    </w:p>
    <w:p w:rsidR="00932A6A" w:rsidRPr="00E61B50" w:rsidP="00AB5E0B" w14:paraId="35B6A3AC" w14:textId="77777777">
      <w:pPr>
        <w:pStyle w:val="NormalHanging12a"/>
        <w:widowControl/>
      </w:pPr>
      <w:r w:rsidRPr="00E61B50">
        <w:t>12.</w:t>
      </w:r>
      <w:r w:rsidRPr="00E61B50">
        <w:tab/>
        <w:t xml:space="preserve">üdvözli a koszovói szerbek részvételét a 2025. évi parlamenti és helyhatósági választásokon, valamint azt a négy újonnan megválasztott szerb polgármestert, akik az észak-koszovói szerb többségű településeken átvették albán </w:t>
      </w:r>
      <w:r w:rsidRPr="00E61B50">
        <w:t>elődeiktől</w:t>
      </w:r>
      <w:r w:rsidRPr="00E61B50">
        <w:t xml:space="preserve"> a vezetést; aggodalmát fejezi ki azonban amiatt, hogy a 2025. februári parlamenti választásokon nyomást gyakoroltak a szerb szociális ellátástól és foglalkoztatástól függő szavazókra, hogy a </w:t>
      </w:r>
      <w:r w:rsidRPr="00E61B50">
        <w:t>Srpska</w:t>
      </w:r>
      <w:r w:rsidRPr="00E61B50">
        <w:t xml:space="preserve"> Lista képviselőire szavazzanak;</w:t>
      </w:r>
    </w:p>
    <w:p w:rsidR="00932A6A" w:rsidRPr="00E61B50" w:rsidP="00AB5E0B" w14:paraId="3AB1C471" w14:textId="77777777">
      <w:pPr>
        <w:pStyle w:val="NormalHanging12a"/>
        <w:widowControl/>
        <w:rPr>
          <w:bCs/>
        </w:rPr>
      </w:pPr>
      <w:r w:rsidRPr="00E61B50">
        <w:t>13.</w:t>
      </w:r>
      <w:r w:rsidRPr="00E61B50">
        <w:tab/>
        <w:t xml:space="preserve">sajnálatát fejezi ki a független intézmények átpolitizálására irányuló folyamatos kísérletek, többek között a Központi Választási Bizottságra gyakorolt nyomás és a független médiabizottságon belüli irányítási hiányosságok miatt; felszólítja Koszovót, hogy a független médiabizottságot szabályozó jogi keretet még jobban hangolja össze az Európa Tanács ajánlásaival és az uniós normákkal a szabályozási függetlenség, a jogbiztonság és a médiafelügyeletbe vetett közbizalom megerősítése érdekében; felszólítja a hatóságokat, hogy biztosítsák az érdemeken alapuló kinevezéseket, a felvételi eljárások átláthatóságát és ezen intézmények függetlenségének teljes körű tiszteletben tartását; hangsúlyozza, hogy a </w:t>
      </w:r>
      <w:r w:rsidRPr="00E61B50">
        <w:t>reziliens</w:t>
      </w:r>
      <w:r w:rsidRPr="00E61B50">
        <w:t xml:space="preserve"> demokratikus intézmények jelentik az első védelmi vonalat az információs környezet manipulálásával, a rejtett befolyásolással és a nyilvános vita politikai indíttatású torzításával szemben; felszólítja Koszovót, hogy hozzon létre egy intézményesített demokratikus </w:t>
      </w:r>
      <w:r w:rsidRPr="00E61B50">
        <w:t>rezilienciára</w:t>
      </w:r>
      <w:r w:rsidRPr="00E61B50">
        <w:t xml:space="preserve"> vonatkozó keretet, amely összefogja a nemzetgyűlést, a kormányt, a független szabályozókat és a választási igazgatást, egyértelműen meghatározott felelősségi körökkel, rendszeres kockázatértékeléssel és nyilvános beszámolókkal;</w:t>
      </w:r>
    </w:p>
    <w:p w:rsidR="00932A6A" w:rsidRPr="00E61B50" w:rsidP="00AB5E0B" w14:paraId="50C9FD6A" w14:textId="77777777">
      <w:pPr>
        <w:pStyle w:val="NormalHanging12a"/>
        <w:widowControl/>
      </w:pPr>
      <w:r w:rsidRPr="00E61B50">
        <w:t>14.</w:t>
      </w:r>
      <w:r w:rsidRPr="00E61B50">
        <w:tab/>
        <w:t>üdvözli, hogy a civil társadalmi szervezetek összességében támogató környezetben működnek, és felhívja a hatóságokat, hogy már a korai szakasztól kezdve érdemben vonják be a civil társadalmat az EU-val kapcsolatos reformok előkészítésébe és végrehajtásába; hangsúlyozza a civil társadalmi szervezetek közfinanszírozásával kapcsolatos elszámoltathatóság és átláthatóság növelésének fontosságát; hangsúlyozza, hogy a civil társadalom létfontosságú a demokrácia és a pluralizmus erősítésében, valamint a jó kormányzás és a társadalmi haladás előmozdításában;</w:t>
      </w:r>
    </w:p>
    <w:p w:rsidR="00932A6A" w:rsidRPr="00E61B50" w:rsidP="00AB5E0B" w14:paraId="700BA798" w14:textId="77777777">
      <w:pPr>
        <w:pStyle w:val="NormalHanging12a"/>
        <w:widowControl/>
        <w:rPr>
          <w:bCs/>
        </w:rPr>
      </w:pPr>
      <w:r w:rsidRPr="00E61B50">
        <w:t>15.</w:t>
      </w:r>
      <w:r w:rsidRPr="00E61B50">
        <w:tab/>
        <w:t xml:space="preserve">elismerését fejezi ki a hatóságoknak azért, hogy konzultáltak a Velencei Bizottsággal az igazságszolgáltatásról szóló törvénytervezetek – beleértve a Koszovói Ügyészi Tanácsról szóló törvényt is – csomagjáról; továbbra is aggodalmát fejezi ki azonban a jogállamisági stratégia korlátozott végrehajtása és a reformok kormány általi elégtelen </w:t>
      </w:r>
      <w:r w:rsidRPr="00E61B50">
        <w:t>végigvitele</w:t>
      </w:r>
      <w:r w:rsidRPr="00E61B50">
        <w:t>, a Koszovói Bírói Tanács, valamint az igazságügyi reformok végrehajtásának késedelme miatt; aggodalmát fejezi ki amiatt, hogy a kormány nem fogadta el azt a szükséges másodlagos jogi aktust, amely felvázolja a szervezeti struktúrát és a koszovói rendőrség különleges nyomozóegysége és a Különleges Ügyészség közötti együttműködési mechanizmusokat; üdvözli a Koszovói Ügyészi Tanács új elnökének kinevezése terén tett előrelépést, és elvárja, hogy amint a nemzetgyűlés újra munkába áll, véglegesítsék az új összetételt; üdvözli, hogy a Koszovói Bírói Tanács átlátható és érdemeken alapuló eljárás keretében 17 új bírót vett fel, és sürgeti az elnököt, hogy haladéktalanul erősítse meg felvételüket; sürgeti Koszovót, hogy tegyen határozott lépéseket a hiányosságok kezelése érdekében, és biztosítsa, hogy az igazságszolgáltatás integritására és elszámoltathatóságára vonatkozó jogszabályok összhangban legyenek az európai normákkal és a Velencei Bizottság vonatkozó ajánlásaival;</w:t>
      </w:r>
    </w:p>
    <w:p w:rsidR="00932A6A" w:rsidRPr="00E61B50" w:rsidP="00AB5E0B" w14:paraId="0A295521" w14:textId="77777777">
      <w:pPr>
        <w:pStyle w:val="NormalHanging12a"/>
        <w:widowControl/>
      </w:pPr>
      <w:r w:rsidRPr="00E61B50">
        <w:t>16.</w:t>
      </w:r>
      <w:r w:rsidRPr="00E61B50">
        <w:tab/>
        <w:t xml:space="preserve">üdvözli, hogy Koszovó a 2025–2028-as időszakra vonatkozó, az adminisztratív </w:t>
      </w:r>
      <w:r w:rsidRPr="00E61B50">
        <w:t>terhek</w:t>
      </w:r>
      <w:r w:rsidRPr="00E61B50">
        <w:t xml:space="preserve"> megelőzésére és csökkentésére irányuló programnak, valamint a 2025–2026-os </w:t>
      </w:r>
      <w:r w:rsidRPr="00E61B50">
        <w:t xml:space="preserve">időszakra vonatkozó cselekvési tervének a végrehajtása révén csökkentette az adminisztratív </w:t>
      </w:r>
      <w:r w:rsidRPr="00E61B50">
        <w:t>terheket</w:t>
      </w:r>
      <w:r w:rsidRPr="00E61B50">
        <w:t>; üdvözli a köztisztviselőkről szóló törvény javítását és módosításainak elfogadását, és felszólítja Koszovót, hogy fejlessze tovább a közigazgatását és az érdemeken alapuló közszolgálati rendszerét; megjegyzi, hogy a közigazgatásra vonatkozó koszovói stratégiai keret rendelkezésre áll, de végrehajtása nem hatékony;</w:t>
      </w:r>
    </w:p>
    <w:p w:rsidR="00932A6A" w:rsidRPr="00E61B50" w:rsidP="00AB5E0B" w14:paraId="6EB37D78" w14:textId="77777777">
      <w:pPr>
        <w:pStyle w:val="NormalHanging12a"/>
        <w:widowControl/>
      </w:pPr>
      <w:r w:rsidRPr="00E61B50">
        <w:t xml:space="preserve">17. </w:t>
      </w:r>
      <w:r w:rsidRPr="00E61B50">
        <w:tab/>
      </w:r>
      <w:bookmarkStart w:id="6" w:name="_Hlk227243576"/>
      <w:r w:rsidRPr="00E61B50">
        <w:t>mély aggodalmát fejezi ki amiatt, hogy összességében elégtelen előrelépés történt a korrupció elleni küzdelem terén; sajnálatát fejezi ki amiatt, hogy a kötelezettségvállalások ellenére nem történt kézzelfogható strukturális előrelépés ezen a területen, és hangsúlyozza, hogy a korrupció továbbra is rendszerszintű probléma, amely aláássa a közintézmények működését és a polgárok bizalmát; aggodalommal veszi tudomásul, hogy Koszovó 2025-ben hátrébb szorult a globális korrupciós indexben, ahol 182 ország és terület közül a 76. helyen áll, a 2024. évinél hárommal rosszabb helyezésen, ami aggasztó visszaesés a fokozatos javulás korábbi tendenciájához képest, de Koszovó még mindig a régió bizonyos országai előtt szerepel az indexben; felhívja a hatóságokat, hogy haladéktalanul fogadjanak el és hajtsanak végre konkrét, hatékony és ellenőrizhető intézkedéseket a korrupció megelőzésének, kivizsgálásának és büntetőeljárás alá vonásának megerősítése érdekében; felszólít különösen a 2025–2028-as időszakra vonatkozó nemzeti korrupcióellenes stratégia és cselekvési terv gyors elfogadására, a vagyonnyilatkozatok és integritási tervek erőteljesebb alkalmazására, valamint az elkobzási eszközök hatékonyabb alkalmazására a korrupciós ügyekben; hangsúlyozza, hogy meg kell erősíteni a korrupcióellenes szervek függetlenségét és működési kapacitását, és biztosítani kell az ügyészek, a rendőrség és a pénzügyi információs egységek közötti hatékony koordinációt; felhívja a figyelmet arra, hogy a korrupció megelőzésével foglalkozó ügynökség kapacitásának megerősítésére és a korrupcióellenes jogszabályok végrehajtására vonatkozó korábbi bizottsági ajánlások végrehajtása még várat magára; felszólít a magas szinten elkövetett korrupciós ügyekben folytatott nyomozások minőségének folyamatos javítására;</w:t>
      </w:r>
      <w:bookmarkEnd w:id="6"/>
    </w:p>
    <w:p w:rsidR="00932A6A" w:rsidRPr="00E61B50" w:rsidP="00AB5E0B" w14:paraId="76E1646B" w14:textId="77777777">
      <w:pPr>
        <w:pStyle w:val="NormalHanging12a"/>
        <w:widowControl/>
      </w:pPr>
      <w:r w:rsidRPr="00E61B50">
        <w:t>18.</w:t>
      </w:r>
      <w:r w:rsidRPr="00E61B50">
        <w:tab/>
        <w:t xml:space="preserve">aggodalmát fejezi ki amiatt, hogy korlátozott előrelépés történt a szervezett bűnözés elleni küzdelem terén; felszólít egy, a szervezett bűnözés elleni nemzeti stratégia és cselekvési terv gyors elfogadására; hangsúlyozza a bűnözői hálózatok elleni küzdelem fontosságát, amely úgy valósítható meg, hogy hírszerzési információk megosztása révén megerősítik a nemzetközi együttműködést, valamint a bűnüldöző és ügyészi szervek közötti együttműködés megerősítése révén; felszólítja Koszovó </w:t>
      </w:r>
      <w:r w:rsidRPr="00E61B50">
        <w:t>szomszédait</w:t>
      </w:r>
      <w:r w:rsidRPr="00E61B50">
        <w:t>, hogy a szervezett bűnözés elleni küzdelem hatásának maximalizálása érdekében tegyék lehetővé Koszovó számára, hogy minden szinten részt vegyen a nemzetközi együttműködésben; hangsúlyozza, hogy mélyíteni kell az együttműködést a kábítószer elleni küzdelem területén; felszólít a terrorizmus elleni küzdelem további összehangolására;</w:t>
      </w:r>
    </w:p>
    <w:p w:rsidR="00932A6A" w:rsidRPr="00E61B50" w:rsidP="00AB5E0B" w14:paraId="3FD65894" w14:textId="77777777">
      <w:pPr>
        <w:pStyle w:val="NormalHanging12a"/>
        <w:widowControl/>
      </w:pPr>
      <w:r w:rsidRPr="00E61B50">
        <w:t>19.</w:t>
      </w:r>
      <w:r w:rsidRPr="00E61B50">
        <w:tab/>
        <w:t>hangsúlyozza, hogy az EULEX folyamatos erőfeszítéseket tesz, hogy segítse a koszovói hatóságokat a fenntartható és független jogállamisági intézmények létrehozásában; megjegyzi, hogy az állandó kihívások – többek között a korlátozott végrehajtási hatáskörök – korlátozták a misszió munkájának hatását; felszólít arra, hogy a misszió relevanciájának és hatékonyságának biztosítása érdekében folyamatosan vizsgálják felül annak hozzáadott értékét, feladatkörét és stratégiai célkitűzéseit;</w:t>
      </w:r>
    </w:p>
    <w:p w:rsidR="00932A6A" w:rsidRPr="00E61B50" w:rsidP="00AB5E0B" w14:paraId="1D10FB69" w14:textId="77777777">
      <w:pPr>
        <w:pStyle w:val="NormalHanging12a"/>
        <w:widowControl/>
      </w:pPr>
      <w:r w:rsidRPr="00E61B50">
        <w:t>20.</w:t>
      </w:r>
      <w:r w:rsidRPr="00E61B50">
        <w:tab/>
        <w:t xml:space="preserve">aggodalmát fejezi ki azon bejelentett esetek miatt, amikor Koszovó északi részén egyes koszovói rendőrtisztek túlzott erőszakot alkalmaztak és kötelességszegést követtek el; </w:t>
      </w:r>
      <w:r w:rsidRPr="00E61B50">
        <w:t>felszólítja a koszovói rendőrséget annak biztosítására, hogy személyi állománya teljes mértékben feleljen meg valamennyi jogállamisági és emberi jogi követelménynek; emlékeztet arra, hogy Koszovóban minden politikai képviselő és minden ember közös felelősséggel tartozik a béke és a jogállamiság fenntartásáért;</w:t>
      </w:r>
    </w:p>
    <w:p w:rsidR="00932A6A" w:rsidRPr="00E61B50" w:rsidP="00AB5E0B" w14:paraId="2F89B639" w14:textId="77777777">
      <w:pPr>
        <w:pStyle w:val="NormalHanging12a"/>
        <w:widowControl/>
        <w:rPr>
          <w:b/>
          <w:i/>
        </w:rPr>
      </w:pPr>
      <w:r w:rsidRPr="00E61B50">
        <w:rPr>
          <w:b/>
          <w:i/>
        </w:rPr>
        <w:t>Alapvető szabadságok és emberi jogok</w:t>
      </w:r>
    </w:p>
    <w:p w:rsidR="00932A6A" w:rsidRPr="00E61B50" w:rsidP="00AB5E0B" w14:paraId="512082B2" w14:textId="77777777">
      <w:pPr>
        <w:pStyle w:val="NormalHanging12a"/>
        <w:widowControl/>
        <w:rPr>
          <w:bCs/>
        </w:rPr>
      </w:pPr>
      <w:r w:rsidRPr="00E61B50">
        <w:t>21.</w:t>
      </w:r>
      <w:r w:rsidRPr="00E61B50">
        <w:tab/>
        <w:t>megjegyzi, hogy bár az emberi jogokra vonatkozó jogi és intézményi keret nagyrészt rendelkezésre áll, annak végrehajtása továbbra sem kielégítő;</w:t>
      </w:r>
      <w:r w:rsidRPr="00E61B50">
        <w:rPr>
          <w:i/>
        </w:rPr>
        <w:t xml:space="preserve"> </w:t>
      </w:r>
      <w:r w:rsidRPr="00E61B50">
        <w:t xml:space="preserve">üdvözli a közösségek jogainak védelmére és előmozdítására irányuló stratégia elfogadását; üdvözli, hogy Koszovó végrehajtotta az Alkotmánybíróság </w:t>
      </w:r>
      <w:r w:rsidRPr="00E61B50">
        <w:t>dečani</w:t>
      </w:r>
      <w:r w:rsidRPr="00E61B50">
        <w:t xml:space="preserve"> kolostor földtulajdonáról szóló ítéletét; felszólítja Koszovót, hogy fókuszáljon jobban az emberi jogi keret hatékonyabb végrehajtására;</w:t>
      </w:r>
    </w:p>
    <w:p w:rsidR="00932A6A" w:rsidRPr="00E61B50" w:rsidP="00AB5E0B" w14:paraId="6742C645" w14:textId="77777777">
      <w:pPr>
        <w:pStyle w:val="NormalHanging12a"/>
        <w:widowControl/>
      </w:pPr>
      <w:r w:rsidRPr="00E61B50">
        <w:t>22.</w:t>
      </w:r>
      <w:r w:rsidRPr="00E61B50">
        <w:tab/>
        <w:t>elismeri, hogy Koszovó alkotmánya nagyon progresszív a kisebbségi jogok tekintetében; sajnálattal veszi tudomásul ezzel kapcsolatban, hogy a koszovói nemzetgyűlésben 2023 januárjában nyilvántartásba vett, közel 500, önmagát történetileg bolgárnak valló ember által benyújtott petíciót az ország parlamentje még nem vizsgálta meg, és javasolja, hogy e csoportok jogait törvényben rögzítsék és a gyakorlatban is érvényesítsék a bolgár kisebbség történelmi, kulturális és politikai identitásának védelme érdekében; felszólítja Koszovót annak biztosítására, hogy a közösségek jogainak védelméről és támogatásáról szóló törvény által elismert valamennyi kisebbséget és közösségük tagjait teljes mértékben építsék be az ország alkotmányába;</w:t>
      </w:r>
    </w:p>
    <w:p w:rsidR="00932A6A" w:rsidRPr="00E61B50" w:rsidP="00AB5E0B" w14:paraId="07BD3C95" w14:textId="77777777">
      <w:pPr>
        <w:pStyle w:val="NormalHanging12a"/>
        <w:widowControl/>
      </w:pPr>
      <w:r w:rsidRPr="00E61B50">
        <w:t>23.</w:t>
      </w:r>
      <w:r w:rsidRPr="00E61B50">
        <w:tab/>
        <w:t>megjegyzi, hogy a koszovói büntetés-végrehajtási rendszer nagyjából összhangban van az ENSZ és az Európa Tanács minimumszabályaival; felszólít a fogvatartottak, különösen a női fogvatartottak, a kisebbséghez tartozó foglyok és a mentális egészségügyi problémákkal küzdő foglyok jogainak jobb védelmére;</w:t>
      </w:r>
    </w:p>
    <w:p w:rsidR="00932A6A" w:rsidRPr="00E61B50" w:rsidP="00AB5E0B" w14:paraId="01C9C8BF" w14:textId="77777777">
      <w:pPr>
        <w:pStyle w:val="NormalHanging12a"/>
        <w:widowControl/>
        <w:rPr>
          <w:bCs/>
        </w:rPr>
      </w:pPr>
      <w:r w:rsidRPr="00E61B50">
        <w:t>24.</w:t>
      </w:r>
      <w:r w:rsidRPr="00E61B50">
        <w:tab/>
      </w:r>
      <w:bookmarkStart w:id="7" w:name="_Hlk227248502"/>
      <w:r w:rsidRPr="00E61B50">
        <w:t>hangsúlyozza, hogy meg kell erősíteni a kiszolgáltatott csoportok és a nem többségi közösségekhez tartozó személyek jogait védő jogszabályok végrehajtását, különösen ami a közintézményekben való képviseletüket és a nyelvhasználatot érinti, többek között az anyanyelvükön történő állami oktatáshoz való egyenlő és hatékony hozzáférés, valamint az egészségügyi ellátáshoz és a közszolgáltatásokhoz való hozzáférés, a nyelvi és tulajdonjogok tiszteletben tartása, a központi és helyi közigazgatásban való megfelelő képviselet, valamint a tárgyi és szellemi, vallási, hagyományos és kulturális örökség védelmének biztosítása révén; felszólítja Koszovót, hogy fokozott erőfeszítéssel biztosítsa a kisebbségi csoportok esélyegyenlőségét, továbbá megfelelő képviseletüket a politikai és a kulturális életben, a közszolgálati médiában, a közigazgatásban és az igazságszolgáltatásban; felszólít a vallási kisebbségek védelmére Koszovóban, valamint az imahelyekhez való hozzáférés</w:t>
      </w:r>
      <w:bookmarkEnd w:id="7"/>
      <w:r w:rsidRPr="00E61B50">
        <w:t xml:space="preserve"> biztosítására;</w:t>
      </w:r>
    </w:p>
    <w:p w:rsidR="00932A6A" w:rsidRPr="00E61B50" w:rsidP="00AB5E0B" w14:paraId="3526E5BC" w14:textId="77777777">
      <w:pPr>
        <w:pStyle w:val="NormalHanging12a"/>
        <w:widowControl/>
      </w:pPr>
      <w:r w:rsidRPr="00E61B50">
        <w:t>25.</w:t>
      </w:r>
      <w:r w:rsidRPr="00E61B50">
        <w:tab/>
        <w:t xml:space="preserve">sajnálatát fejezi ki amiatt, hogy a kisebbségi csoportokhoz, különösen a roma, az </w:t>
      </w:r>
      <w:r w:rsidRPr="00E61B50">
        <w:t>askáli</w:t>
      </w:r>
      <w:r w:rsidRPr="00E61B50">
        <w:t xml:space="preserve"> és az egyiptomi közösségekhez tartozó nők a megkülönböztetés számos formájával szembesülnek, különösen az oktatás, a foglalkoztatás és az egészségügyi ellátáshoz való hozzáférés terén; aggodalmát fejezi ki amiatt, hogy Koszovóban a közigazgatás nem képviseli megfelelően a kisebbségi közösségeket, és a vezető pozíciókban lévő nők száma továbbra is alacsony;</w:t>
      </w:r>
    </w:p>
    <w:p w:rsidR="00932A6A" w:rsidRPr="00E61B50" w:rsidP="00AB5E0B" w14:paraId="3048266E" w14:textId="77777777">
      <w:pPr>
        <w:pStyle w:val="NormalHanging12a"/>
        <w:widowControl/>
      </w:pPr>
      <w:r w:rsidRPr="00E61B50">
        <w:t>26.</w:t>
      </w:r>
      <w:r w:rsidRPr="00E61B50">
        <w:tab/>
        <w:t>felhívja Koszovót, hogy fokozza a nem többségi közösségek, a vallási közösségek és az LMBTIQ+-közösség jogait védő meglévő mechanizmusok végrehajtását az új polgári törvénykönyv véglegesítésével, amelynek elfogadása még várat magára; továbbra is aggodalmát fejezi ki amiatt, hogy a nőkkel és az LMBTIQ+-személyekkel szembeni diszkriminatív nyelvezet továbbra is fennáll;</w:t>
      </w:r>
    </w:p>
    <w:p w:rsidR="00932A6A" w:rsidRPr="00E61B50" w:rsidP="00AB5E0B" w14:paraId="5AF71F3A" w14:textId="77777777">
      <w:pPr>
        <w:pStyle w:val="NormalHanging12a"/>
        <w:widowControl/>
      </w:pPr>
      <w:r w:rsidRPr="00E61B50">
        <w:t>27.</w:t>
      </w:r>
      <w:r w:rsidRPr="00E61B50">
        <w:tab/>
        <w:t>hangsúlyozza, hogy Koszovóban meg kell erősíteni a nemek közötti egyenlőséget és a nők jogait; megjegyzi, hogy a nemek közötti egyenlőségre és a nemi alapú erőszak elleni küzdelemre vonatkozó jogi és intézményi keret nagyrészt rendelkezésre áll; üdvözli a támogató szakszolgálatok finanszírozásának növelését, beleértve a nemi alapú erőszak áldozatai számára biztosított menedékhelyeket, a kapcsolati erőszak eseteit rögzítő, teljes mértékben működőképes adatbázist, valamint a folyamatban lévő figyelemfelkeltő erőfeszítéseket; aggodalmát fejezi ki azonban amiatt, hogy a nemi alapú erőszak továbbra is fennáll, és hogy a végrehajtás és az érvényesítés továbbra sem elégséges, különös tekintettel arra, hogy a nők, különösen a kisebbségi közösségekből származó nők továbbra is a megkülönböztetés többféle formájával szembesülnek;</w:t>
      </w:r>
    </w:p>
    <w:p w:rsidR="00932A6A" w:rsidRPr="00E61B50" w:rsidP="00AB5E0B" w14:paraId="5575E908" w14:textId="77777777">
      <w:pPr>
        <w:pStyle w:val="NormalHanging12a"/>
        <w:widowControl/>
      </w:pPr>
      <w:r w:rsidRPr="00E61B50">
        <w:t>28.</w:t>
      </w:r>
      <w:r w:rsidRPr="00E61B50">
        <w:tab/>
        <w:t>ismételten felszólítja a hatóságokat, hogy javítsák a belső párbeszédet, és valós és közvetlen párbeszédet folytassanak a koszovói szerbek független civil társadalmi szervezeteivel, különösen az északi régióban, a bizalomépítés, a koszovói szerbek mindennapi életének megkönnyítése és sikeres integrációjuk érdekében;</w:t>
      </w:r>
    </w:p>
    <w:p w:rsidR="00932A6A" w:rsidRPr="00E61B50" w:rsidP="00AB5E0B" w14:paraId="2779C681" w14:textId="77777777">
      <w:pPr>
        <w:pStyle w:val="NormalHanging12a"/>
        <w:widowControl/>
      </w:pPr>
      <w:r w:rsidRPr="00E61B50">
        <w:t>29.</w:t>
      </w:r>
      <w:r w:rsidRPr="00E61B50">
        <w:tab/>
        <w:t>elismerését fejezi ki a kormánynak a fogyatékossággal élő személyek jogairól szóló stratégia (2025–2030), valamint a kapcsolódó 2025–2027-es időszakra vonatkozó cselekvési terv jóváhagyásáért; sajnálja azonban, hogy Koszovó még nem fogadta el a fogyatékossággal élő személyek jogairól szóló ENSZ-egyezményt; aggodalmát fejezi ki amiatt, hogy Koszovó e tekintetben nem igazodik kellőképpen az uniós vívmányokhoz, valamint amiatt, hogy a fogyatékossággal élő személyek – köztük a gyermekek – megkülönböztetéssel és akadályokkal szembesülnek az oktatáshoz, az egészségügyi ellátáshoz és a szociális szolgáltatásokhoz való hozzáférés terén; felszólítja a hatóságokat, hogy erősítsék meg jogaik védelmét, és fogadják el a jogállás elismeréséről, a szolgáltatásokról és az ellátásokról szóló törvénytervezetet;</w:t>
      </w:r>
    </w:p>
    <w:p w:rsidR="00932A6A" w:rsidRPr="00E61B50" w:rsidP="00AB5E0B" w14:paraId="05C0FA3D" w14:textId="77777777">
      <w:pPr>
        <w:pStyle w:val="NormalHanging12a"/>
        <w:widowControl/>
        <w:rPr>
          <w:bCs/>
        </w:rPr>
      </w:pPr>
      <w:r w:rsidRPr="00E61B50">
        <w:t>30.</w:t>
      </w:r>
      <w:r w:rsidRPr="00E61B50">
        <w:tab/>
        <w:t xml:space="preserve">hangsúlyozza Koszovó multikulturális öröksége védelmének és népszerűsítésének fontosságát, beleértve a horvát közösség történelmi jelenlétét és kulturális örökségét, miközben támogatni kell a fenntartható helyi gazdasági fejlődést és a közösségi szerepvállalást; üdvözli az Egyesült Nemzetek Fejlesztési Programja által végrehajtott uniós </w:t>
      </w:r>
      <w:r w:rsidRPr="00E61B50">
        <w:t>finanszírozású</w:t>
      </w:r>
      <w:r w:rsidRPr="00E61B50">
        <w:t xml:space="preserve"> projektet, amelynek célja </w:t>
      </w:r>
      <w:r w:rsidRPr="00E61B50">
        <w:t>Janjevo</w:t>
      </w:r>
      <w:r w:rsidRPr="00E61B50">
        <w:t xml:space="preserve"> kulturális örökségének megőrzése és újjáélesztése;</w:t>
      </w:r>
    </w:p>
    <w:p w:rsidR="00932A6A" w:rsidRPr="00E61B50" w:rsidP="00AB5E0B" w14:paraId="574CB28D" w14:textId="77777777">
      <w:pPr>
        <w:pStyle w:val="NormalHanging12a"/>
        <w:widowControl/>
        <w:rPr>
          <w:bCs/>
        </w:rPr>
      </w:pPr>
      <w:r w:rsidRPr="00E61B50">
        <w:t>31.</w:t>
      </w:r>
      <w:r w:rsidRPr="00E61B50">
        <w:tab/>
        <w:t>sajnálatát fejezi ki amiatt, hogy a tankönyvekről szóló új törvénytervezetet a koszovói nemzetgyűlés még mindig nem fogadta el; aggodalmát fejezi ki amiatt, hogy Koszovó 2022–2026-os oktatási stratégiájának végrehajtásában elmaradás tapasztalható, és hogy az alapfokú közoktatásra szánt finanszírozása továbbra is csökken; felszólítja Koszovót, hogy véglegesítse a tankönyvekről szóló törvénytervezet elfogadását, fejezze be a jelenlegi tankönyvek felülvizsgálatát, és biztosítson fenntartható és rendszeres képzést a tanárok számára;</w:t>
      </w:r>
    </w:p>
    <w:p w:rsidR="00932A6A" w:rsidRPr="00E61B50" w:rsidP="00AB5E0B" w14:paraId="346AB47F" w14:textId="77777777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E61B50">
        <w:t>32.</w:t>
      </w:r>
      <w:r w:rsidRPr="00E61B50">
        <w:tab/>
        <w:t xml:space="preserve">tudomásul veszi Koszovó plurális médiakörnyezetét, de hangsúlyozza, hogy továbbra is törékeny és különböző nyomásoknak van kitéve; mély sajnálatát fejezi ki amiatt, hogy nem történt előrelépés a véleménynyilvánítás szabadságának és az újságírók hatékony </w:t>
      </w:r>
      <w:r w:rsidRPr="00E61B50">
        <w:t>védelmének biztosítása terén; sajnálatát fejezi ki amiatt, hogy Koszovó a médiaszabadság tekintetében a 2025. évi sajtószabadság-indexen 24 hellyel, a 99. helyre esett vissza, ami jelentős és aggasztó visszalépésnek minősül; megjegyzi, hogy a sajtószabadság alapvető európai érték, és Koszovónak a jelenleginél hatékonyabb intézkedéseket kell tennie ennek védelme érdekében;</w:t>
      </w:r>
    </w:p>
    <w:p w:rsidR="00932A6A" w:rsidRPr="00E61B50" w:rsidP="00AB5E0B" w14:paraId="7C9B4DD7" w14:textId="77777777">
      <w:pPr>
        <w:pStyle w:val="NormalHanging12a"/>
        <w:widowControl/>
      </w:pPr>
      <w:r w:rsidRPr="00E61B50">
        <w:t>33.</w:t>
      </w:r>
      <w:r w:rsidRPr="00E61B50">
        <w:tab/>
        <w:t>ismételten hangot ad komoly aggodalmának a médiakörnyezet és a tájékoztatási szakemberek munkakörnyezetének romlása, különösen pedig az újságírók és a médiában dolgozók elleni támadások és fenyegetések miatt, beleértve a választási kampány során magas rangú koszovói tisztviselők által a médiával szemben használt sértő nyelvezetet; sajnálatát fejezi ki amiatt, hogy az újságírói források védelméről szóló törvénytervezet elfogadása továbbra is függőben van, ezért az újságírók nem részesülnek megfelelő jogi védelemben; hangsúlyozza, hogy zéró toleranciát kell tanúsítani az újságírók elleni fizikai támadásokkal szemben, és felszólít a médiaszakemberek elleni valamennyi fenyegetés megerősített kivizsgálására és büntetőeljárás alá vonására, valamint a médiával kapcsolatos jogszabályok uniós vívmányokkal, különösen a tömegtájékoztatás szabadságáról szóló európai jogszabállyal</w:t>
      </w:r>
      <w:r>
        <w:rPr>
          <w:rStyle w:val="FootnoteReference"/>
        </w:rPr>
        <w:footnoteReference w:id="8"/>
      </w:r>
      <w:r w:rsidRPr="00E61B50">
        <w:t xml:space="preserve"> és a közéleti részvételt akadályozó stratégiai perek elleni uniós irányelvvel</w:t>
      </w:r>
      <w:r>
        <w:rPr>
          <w:rStyle w:val="FootnoteReference"/>
        </w:rPr>
        <w:footnoteReference w:id="9"/>
      </w:r>
      <w:r w:rsidRPr="00E61B50">
        <w:t>, valamint más vonatkozó nemzetközi emberi jogi kötelezettségekkel való összehangolására; e tekintetben felhívja a hatóságokat, hogy hozzanak azonnali és konkrét intézkedéseket a média függetlenségének biztosítása, a megfélemlítés elleni küzdelem, valamint a szabad és pluralista újságírást támogató környezet biztosítása érdekében;</w:t>
      </w:r>
    </w:p>
    <w:p w:rsidR="00932A6A" w:rsidRPr="00E61B50" w:rsidP="00AB5E0B" w14:paraId="6D062BE9" w14:textId="77777777">
      <w:pPr>
        <w:pStyle w:val="NormalHanging12a"/>
        <w:widowControl/>
      </w:pPr>
      <w:r w:rsidRPr="00E61B50">
        <w:t>34.</w:t>
      </w:r>
      <w:r w:rsidRPr="00E61B50">
        <w:tab/>
        <w:t xml:space="preserve">komoly aggodalmának ad hangot azon beszámolók miatt, amelyek a politikai szereplők és a szervezett bűnözői csoportok által az újságírókra gyakorolt nyomásról szólnak, ami öncenzúrához vezetett; megjegyzi, hogy az újságírók a fizikai biztonságukkal vagy munkahelyük megtartásával kapcsolatos aggodalmak miatt tartózkodhatnak attól, hogy kritikus oknyomozó tudósításokat készítsenek; kiemeli továbbá azokat a beszámolókat, amelyek szerint a hatóságok leállíthatják hirdetéseiket a kritikus tartalmakat </w:t>
      </w:r>
      <w:r w:rsidRPr="00E61B50">
        <w:t>közzétevő</w:t>
      </w:r>
      <w:r w:rsidRPr="00E61B50">
        <w:t xml:space="preserve"> médiaorgánumoknál, ezáltal közvetett gazdasági nyomást gyakorolva;</w:t>
      </w:r>
    </w:p>
    <w:p w:rsidR="00932A6A" w:rsidRPr="00E61B50" w:rsidP="00AB5E0B" w14:paraId="20CF7EC2" w14:textId="77777777">
      <w:pPr>
        <w:pStyle w:val="NormalHanging12a"/>
        <w:widowControl/>
        <w:rPr>
          <w:rFonts w:ascii="Europea" w:hAnsi="Europea"/>
          <w:bCs/>
        </w:rPr>
      </w:pPr>
      <w:bookmarkStart w:id="8" w:name="_Hlk231922376"/>
      <w:r w:rsidRPr="00E61B50">
        <w:t>35.</w:t>
      </w:r>
      <w:r w:rsidRPr="00E61B50">
        <w:rPr>
          <w:i/>
        </w:rPr>
        <w:tab/>
      </w:r>
      <w:r w:rsidRPr="00E61B50">
        <w:t xml:space="preserve">aggodalmát fejezi ki amiatt, hogy a koszovói közszolgálati műsorszolgáltatóról, a Koszovói Rádióról és Televízióról (RTK) szóló törvénytervezet elfogadása továbbra is függőben van, és ezért annak mielőbbi elfogadását szorgalmazza; </w:t>
      </w:r>
      <w:bookmarkEnd w:id="8"/>
      <w:r w:rsidRPr="00E61B50">
        <w:t xml:space="preserve">hangsúlyozza, hogy biztosítani kell a közszolgálati műsorszolgáltató fenntartható finanszírozását és függetlenségét; sajnálatát fejezi ki amiatt, hogy az RTK főigazgatói posztja 2024 szeptembere óta betöltetlen, és hogy az RTK igazgatósága 2024 decembere óta nem határozatképes, ami miatt a közszolgálati műsorszolgáltató gyakorlatilag működésképtelen és nem képes betölteni szerepét; szorgalmazza az RTK kiegyensúlyozott, reprezentatív és politikailag független felügyeletét; felszólítja a </w:t>
      </w:r>
      <w:r w:rsidRPr="00E61B50">
        <w:t>koszovói hatóságokat, hogy átlátható és érdemeken alapuló eljárás keretében nevezzék ki az RTK igazgatóságának tagjait és az RTK főigazgatóját, ezzel garantálva a közszolgálati műsorszolgáltatás hatékony működését Koszovóban; hangsúlyozza, hogy a közszolgálati műsorszolgáltató reformja során biztosítani kell a szerkesztői függetlenséget, el kell kerülni a politikai befolyást, és biztosítani kell a fenntartható és átlátható finanszírozást;</w:t>
      </w:r>
    </w:p>
    <w:p w:rsidR="00932A6A" w:rsidRPr="00E61B50" w:rsidP="00AB5E0B" w14:paraId="533EAEB8" w14:textId="77777777">
      <w:pPr>
        <w:pStyle w:val="NormalHanging12a"/>
        <w:widowControl/>
        <w:rPr>
          <w:bCs/>
        </w:rPr>
      </w:pPr>
      <w:r w:rsidRPr="00E61B50">
        <w:t>36.</w:t>
      </w:r>
      <w:r w:rsidRPr="00E61B50">
        <w:tab/>
        <w:t>aggodalommal állapítja meg, hogy az emberkereskedelemről szóló 2025. évi jelentés kiemeli, hogy az illetékes koszovói hatóságok – bár fokozott erőfeszítéseket tettek, többek között javult a büntetőeljárások aránya és az áldozatok támogatása –nem teljesítették maradéktalanul az emberkereskedelem felszámolására vonatkozó minimumkövetelményeket;</w:t>
      </w:r>
    </w:p>
    <w:p w:rsidR="00932A6A" w:rsidRPr="00E61B50" w:rsidP="00AB5E0B" w14:paraId="26C1A54F" w14:textId="77777777">
      <w:pPr>
        <w:pStyle w:val="NormalHanging12a"/>
        <w:widowControl/>
        <w:rPr>
          <w:i/>
        </w:rPr>
      </w:pPr>
      <w:r w:rsidRPr="00E61B50">
        <w:t>37.</w:t>
      </w:r>
      <w:r w:rsidRPr="00E61B50">
        <w:tab/>
        <w:t xml:space="preserve">aggodalmát fejezi ki amiatt, hogy a régió országaiban egyre több dezinformációt terjesztenek külföldi szereplők – különösen orosz és szerb állami forrásokból, és főként választási időszakokban –, többek között az etnikumok közötti feszültségekről, ami még inkább hozzájárul a politikai polarizációhoz; továbbra is komoly aggodalommal tekint a rosszindulatú külföldi beavatkozásokra, a destabilizációs törekvésekre és a hibrid fenyegetésekre, többek között az MI által generált dezinformáció, valamint a politikai folyamatok és a közvélemény befolyásolását célzó összehangolt online kampányok miatt; megerősített intézményi válaszlépéseket és a médiatudatosság javítását szorgalmazza, amelyet olyan intézkedések révén kell elérni, mint a tanárok képzésének megerősítése, a modern tanulási források biztosítása, valamint a független médiával, a tényellenőrző szervezetekkel és a vonatkozó uniós programokkal való fokozott együttműködés, a kritikus gondolkodás és a felelős digitális szerepvállalás előmozdítása érdekében; felszólítja Koszovót és regionális partnereit, hogy maradjanak egységesek, és tovább erősítsék a regionális együttműködést, valamint a Koszovóval folytatott európai együttműködést a külső fenyegetések, a dezinformáció, a külföldi beavatkozás, valamint az ország és a régió európai perspektíváját aláásni kívánó </w:t>
      </w:r>
      <w:r w:rsidRPr="00E61B50">
        <w:t>kiber</w:t>
      </w:r>
      <w:r w:rsidRPr="00E61B50">
        <w:t>- és hibrid fenyegetések elleni küzdelem terén;</w:t>
      </w:r>
    </w:p>
    <w:p w:rsidR="00932A6A" w:rsidRPr="00E61B50" w:rsidP="00AB5E0B" w14:paraId="6DEF80B8" w14:textId="77777777">
      <w:pPr>
        <w:pStyle w:val="NormalHanging12a"/>
        <w:widowControl/>
        <w:rPr>
          <w:bCs/>
        </w:rPr>
      </w:pPr>
      <w:r w:rsidRPr="00E61B50">
        <w:t>38.</w:t>
      </w:r>
      <w:r w:rsidRPr="00E61B50">
        <w:tab/>
        <w:t>elismerését fejezi ki Koszovónak a számos regionális együttműködési kezdeményezésben, többek között a Közép-európai Szabadkereskedelmi Megállapodásban, az Energiaközösségben, a Közlekedési Közösségben, a délkelet-európai együttműködési folyamatban és a Regionális Együttműködési Tanácsban való aktív részvételért;</w:t>
      </w:r>
    </w:p>
    <w:p w:rsidR="00932A6A" w:rsidRPr="00E61B50" w:rsidP="00AB5E0B" w14:paraId="1829F574" w14:textId="77777777">
      <w:pPr>
        <w:pStyle w:val="NormalHanging12a"/>
        <w:widowControl/>
      </w:pPr>
      <w:r w:rsidRPr="00E61B50">
        <w:t>39.</w:t>
      </w:r>
      <w:r w:rsidRPr="00E61B50">
        <w:tab/>
        <w:t>elismerését fejezi ki a koszovói hatóságoknak a kézi- és könnyűfegyverek és robbanóanyagok jogellenes birtoklásával és használatával, illetve az ezekkel való tiltott kereskedelemmel szembeni fenntartható megoldásra irányuló ütemterv sikeres végrehajtásáért; üdvözli az ENSZ tűzfegyverekről szóló jegyzőkönyvében foglalt szabályoknak való magas szintű megfelelést;</w:t>
      </w:r>
    </w:p>
    <w:p w:rsidR="00932A6A" w:rsidRPr="00E61B50" w:rsidP="00AB5E0B" w14:paraId="1CBA181E" w14:textId="77777777">
      <w:pPr>
        <w:pStyle w:val="NormalHanging12a"/>
        <w:widowControl/>
        <w:rPr>
          <w:b/>
        </w:rPr>
      </w:pPr>
      <w:r w:rsidRPr="00E61B50">
        <w:rPr>
          <w:b/>
          <w:i/>
        </w:rPr>
        <w:t>Megbékélés és jószomszédi kapcsolatok</w:t>
      </w:r>
    </w:p>
    <w:p w:rsidR="00932A6A" w:rsidRPr="00E61B50" w:rsidP="00AB5E0B" w14:paraId="2A3BFA7C" w14:textId="77777777">
      <w:pPr>
        <w:pStyle w:val="NormalHanging12a"/>
        <w:widowControl/>
      </w:pPr>
      <w:r w:rsidRPr="00E61B50">
        <w:t>40.</w:t>
      </w:r>
      <w:r w:rsidRPr="00E61B50">
        <w:tab/>
        <w:t xml:space="preserve">emlékeztet arra, hogy a Szerbiával fenntartott kapcsolatok normalizálása és a Belgrád és </w:t>
      </w:r>
      <w:r w:rsidRPr="00E61B50">
        <w:t>Pristina</w:t>
      </w:r>
      <w:r w:rsidRPr="00E61B50">
        <w:t xml:space="preserve"> közötti párbeszéd keretében megkötött valamennyi megállapodás végrehajtása továbbra is Koszovó európai perspektívájának szerves részét képezi és annak alapvető és nélkülözhetetlen eleme; hangsúlyozza, hogy e területen elért konkrét, tartós és ellenőrizhető </w:t>
      </w:r>
      <w:r w:rsidRPr="00E61B50">
        <w:t>előrelépések</w:t>
      </w:r>
      <w:r w:rsidRPr="00E61B50">
        <w:t xml:space="preserve"> elengedhetetlenek a regionális stabilitás megerősítéséhez és az ország európai perspektívájának előmozdításához; kiemeli, hogy a </w:t>
      </w:r>
      <w:r w:rsidRPr="00E61B50">
        <w:t>normalizációt</w:t>
      </w:r>
      <w:r w:rsidRPr="00E61B50">
        <w:t xml:space="preserve"> </w:t>
      </w:r>
      <w:r w:rsidRPr="00E61B50">
        <w:t>nem lehet másodlagos kérdésnek tekinteni, hanem annak továbbra is kiemelt politikai prioritásnak kell maradnia; hangsúlyozza annak fontosságát, hogy az EU tovább erősítse a felek közötti közvetítői erőfeszítéseit a jelenlegi patthelyzet feloldása érdekében;</w:t>
      </w:r>
    </w:p>
    <w:p w:rsidR="00932A6A" w:rsidRPr="00E61B50" w:rsidP="00AB5E0B" w14:paraId="5A053ABE" w14:textId="66C9C955">
      <w:pPr>
        <w:pStyle w:val="NormalHanging12a"/>
        <w:widowControl/>
      </w:pPr>
      <w:r w:rsidRPr="00E61B50">
        <w:t>41.</w:t>
      </w:r>
      <w:r w:rsidRPr="00E61B50">
        <w:tab/>
        <w:t xml:space="preserve">megismétli, hogy teljes mértékben támogatja az EU közvetítésével zajló párbeszédet, és üdvözli Peter </w:t>
      </w:r>
      <w:r w:rsidRPr="00E61B50">
        <w:t>Sørensen</w:t>
      </w:r>
      <w:r w:rsidRPr="00E61B50">
        <w:t xml:space="preserve"> megbízatásának </w:t>
      </w:r>
      <w:r w:rsidRPr="005D0375" w:rsidR="005D0375">
        <w:t>2028</w:t>
      </w:r>
      <w:r w:rsidR="005D0375">
        <w:t xml:space="preserve">. február 29-ig történő </w:t>
      </w:r>
      <w:r w:rsidRPr="00E61B50">
        <w:t xml:space="preserve">meghosszabbítását az EU Belgrád és </w:t>
      </w:r>
      <w:r w:rsidRPr="00E61B50">
        <w:t>Pristina</w:t>
      </w:r>
      <w:r w:rsidRPr="00E61B50">
        <w:t xml:space="preserve"> közötti párbeszédért felelős különleges képviselőjeként;</w:t>
      </w:r>
    </w:p>
    <w:p w:rsidR="00932A6A" w:rsidRPr="00E61B50" w:rsidP="00AB5E0B" w14:paraId="15AB60BF" w14:textId="77777777">
      <w:pPr>
        <w:pStyle w:val="NormalHanging12a"/>
        <w:widowControl/>
      </w:pPr>
      <w:r w:rsidRPr="00E61B50">
        <w:t>42.</w:t>
      </w:r>
      <w:r w:rsidRPr="00E61B50">
        <w:tab/>
        <w:t>megismétli a párbeszéd folyamata minőségének javítására irányuló felhívását a nők részvétele, a nyilvánosság felé tanúsított fokozott átláthatóság és a civil társadalom érdemi bevonása révén;</w:t>
      </w:r>
    </w:p>
    <w:p w:rsidR="00932A6A" w:rsidRPr="00E61B50" w:rsidP="00AB5E0B" w14:paraId="6AAB2B11" w14:textId="77777777">
      <w:pPr>
        <w:pStyle w:val="NormalHanging12a"/>
        <w:widowControl/>
        <w:rPr>
          <w:rFonts w:eastAsiaTheme="minorHAnsi"/>
        </w:rPr>
      </w:pPr>
      <w:r w:rsidRPr="00E61B50">
        <w:t>43.</w:t>
      </w:r>
      <w:r w:rsidRPr="00E61B50">
        <w:tab/>
        <w:t xml:space="preserve">ismételten hangsúlyozza a koszovói és a szerb hatóságok konstruktív szerepvállalásának fontosságát a Koszovó és Szerbia közötti kapcsolatok normalizálása felé vezető útról szóló megállapodás és annak végrehajtási melléklete végrehajtásának előmozdítása érdekében, amely megállapodás továbbra is érvényes és jogilag kötelező </w:t>
      </w:r>
      <w:r w:rsidRPr="00E61B50">
        <w:t>erejű</w:t>
      </w:r>
      <w:r w:rsidRPr="00E61B50">
        <w:t xml:space="preserve"> mindkét félre nézve; felszólítja Koszovót és Szerbiát egyaránt, hogy teljes mértékben hajtsák végre a brüsszeli és az </w:t>
      </w:r>
      <w:r w:rsidRPr="00E61B50">
        <w:t>ohridi</w:t>
      </w:r>
      <w:r w:rsidRPr="00E61B50">
        <w:t xml:space="preserve"> megállapodást – beleértve a szerb többségű önkormányzatok szövetségének/közösségének létrehozását és Koszovó regionális és nemzetközi szervezetekben való tagságával szembeni szerbiai ellenállás megszüntetését –, továbbá hogy kerüljék el azokat az egyoldalú fellépéseket, amelyek alááshatják a párbeszéd folyamatát;</w:t>
      </w:r>
    </w:p>
    <w:p w:rsidR="00932A6A" w:rsidRPr="00E61B50" w:rsidP="00AB5E0B" w14:paraId="43A02768" w14:textId="77777777">
      <w:pPr>
        <w:pStyle w:val="NormalHanging12a"/>
        <w:widowControl/>
      </w:pPr>
      <w:r w:rsidRPr="00E61B50">
        <w:t>44.</w:t>
      </w:r>
      <w:r w:rsidRPr="00E61B50">
        <w:tab/>
        <w:t xml:space="preserve">üdvözli a külföldiekre vonatkozó koszovói jogszabályok végrehajtásáról 2026. március 14-én elért megállapodást, amely enyhítő intézkedéseket vezet be a szerb közösség tagjai számára; megjegyzi, hogy ez a megállapodás hozzájárul a közszolgáltatásokhoz való hozzáférés folytonosságának biztosításához, és kivédi a koszovói szerbek de facto kirekesztésének kockázatát; hangsúlyozza, hogy az ilyen megoldások hozzájárulnak a bizalomépítéshez, és pozitív lépést jelentenek a Belgrád és </w:t>
      </w:r>
      <w:r w:rsidRPr="00E61B50">
        <w:t>Pristina</w:t>
      </w:r>
      <w:r w:rsidRPr="00E61B50">
        <w:t xml:space="preserve"> közötti kapcsolatok normalizálása és a jószomszédi kapcsolatok előmozdítása felé;</w:t>
      </w:r>
    </w:p>
    <w:p w:rsidR="00932A6A" w:rsidRPr="00E61B50" w:rsidP="00AB5E0B" w14:paraId="7214A0C3" w14:textId="77777777">
      <w:pPr>
        <w:pStyle w:val="NormalHanging12a"/>
        <w:widowControl/>
      </w:pPr>
      <w:r w:rsidRPr="00E61B50">
        <w:t>45.</w:t>
      </w:r>
      <w:r w:rsidRPr="00E61B50">
        <w:tab/>
        <w:t>tudomásul veszi több tucat, Szerbia által támogatott intézmény koordinálatlan bezárását Észak-Koszovóban;</w:t>
      </w:r>
    </w:p>
    <w:p w:rsidR="00932A6A" w:rsidRPr="00E61B50" w:rsidP="00AB5E0B" w14:paraId="1C684CD5" w14:textId="77777777">
      <w:pPr>
        <w:pStyle w:val="NormalHanging12a"/>
        <w:widowControl/>
      </w:pPr>
      <w:r w:rsidRPr="00E61B50">
        <w:t>46.</w:t>
      </w:r>
      <w:r w:rsidRPr="00E61B50">
        <w:tab/>
        <w:t xml:space="preserve">elvárja Szerbiától, hogy teljes mértékben </w:t>
      </w:r>
      <w:r w:rsidRPr="00E61B50">
        <w:t>működjön</w:t>
      </w:r>
      <w:r w:rsidRPr="00E61B50">
        <w:t xml:space="preserve"> együtt Koszovóval annak érdekében, hogy végre bíróság elé állítsák a 2023-as </w:t>
      </w:r>
      <w:r w:rsidRPr="00E61B50">
        <w:t>banjskai</w:t>
      </w:r>
      <w:r w:rsidRPr="00E61B50">
        <w:t xml:space="preserve"> terrortámadás elkövetőit; elítéli, hogy Szerbia még mindig nem indított büntetőeljárást a bűnösök, különösen Milan </w:t>
      </w:r>
      <w:r w:rsidRPr="00E61B50">
        <w:t>Radoičić</w:t>
      </w:r>
      <w:r w:rsidRPr="00E61B50">
        <w:t xml:space="preserve">, a </w:t>
      </w:r>
      <w:r w:rsidRPr="00E61B50">
        <w:t>Srpska</w:t>
      </w:r>
      <w:r w:rsidRPr="00E61B50">
        <w:t xml:space="preserve"> Lista volt alelnöke ellen; megismétli, hogy az erőszakos cselekményekért felelős valamennyi személyt haladéktalanul felelősségre kell vonni és bíróság elé kell állítani a jogállamiság és a jogszerű eljárás elvei szerint; határozottan elítéli az észak-koszovói </w:t>
      </w:r>
      <w:r w:rsidRPr="00E61B50">
        <w:t>Ibër-Lepenac</w:t>
      </w:r>
      <w:r w:rsidRPr="00E61B50">
        <w:t xml:space="preserve"> (</w:t>
      </w:r>
      <w:r w:rsidRPr="00E61B50">
        <w:t>Ibar-Lepenac</w:t>
      </w:r>
      <w:r w:rsidRPr="00E61B50">
        <w:t xml:space="preserve">) csatorna elleni 2024. novemberi támadást, és felszólít az elkövetők gyors elfogására és bíróság elé állítására; felszólítja Szerbiát, hogy haladéktalanul válaszoljon Koszovó e támadással kapcsolatos kölcsönös jogsegély iránti, 2025 januárjában benyújtott kérelmére, és teljes mértékben </w:t>
      </w:r>
      <w:r w:rsidRPr="00E61B50">
        <w:t>működjön</w:t>
      </w:r>
      <w:r w:rsidRPr="00E61B50">
        <w:t xml:space="preserve"> együtt a nyomozásban;</w:t>
      </w:r>
    </w:p>
    <w:p w:rsidR="00932A6A" w:rsidRPr="00E61B50" w:rsidP="00AB5E0B" w14:paraId="685841BF" w14:textId="77777777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E61B50">
        <w:t>47.</w:t>
      </w:r>
      <w:r w:rsidRPr="00E61B50">
        <w:tab/>
      </w:r>
      <w:bookmarkStart w:id="9" w:name="_Hlk227242454"/>
      <w:r w:rsidRPr="00E61B50">
        <w:t xml:space="preserve">megjegyzi, hogy akár 1590 eltűnt személy sorsa továbbra is tisztázatlan, és 2024 áprilisa és a jelentéstételi időszak vége, azaz 2025 szeptembere között csak 26 eltűnt személy sorsa tisztázódott; felszólítja Koszovót és Szerbiát, hogy konstruktívan és jóhiszeműen vegyenek részt a fennmaradó eltűnt személyek sorsának tisztázását célzó valamennyi technikai megbeszélésen, többek között az igazságügyi kérdésekkel </w:t>
      </w:r>
      <w:r w:rsidRPr="00E61B50">
        <w:t xml:space="preserve">foglalkozó almunkacsoport keretében, és tartózkodjanak az átpolitizálástól; üdvözli az eltűnt személyekkel foglalkozó vegyes bizottság első ülését, amelyet Koszovó és Szerbia főtárgyalói hívtak össze 2026 januárjában az EU közvetítésével zajló párbeszéd keretében, és további együttműködésre szólít fel a tömegsírok azonosításának és az információcserének a felgyorsítása érdekében; </w:t>
      </w:r>
      <w:bookmarkEnd w:id="9"/>
    </w:p>
    <w:p w:rsidR="00932A6A" w:rsidRPr="00E61B50" w:rsidP="00AB5E0B" w14:paraId="1CDF2956" w14:textId="77777777">
      <w:pPr>
        <w:pStyle w:val="NormalHanging12a"/>
        <w:widowControl/>
      </w:pPr>
      <w:r w:rsidRPr="00E61B50">
        <w:t>48.</w:t>
      </w:r>
      <w:r w:rsidRPr="00E61B50">
        <w:tab/>
        <w:t>felszólítja Szerbiát, hogy tegye hozzáférhetővé és ossza meg az 1998–1999-es koszovói háborúval kapcsolatos valamennyi releváns rendőrségi, katonai és levéltári dokumentumot, az igazság, az igazságszolgáltatás és az elszámoltathatóság támogatása érdekében, többek között a konfliktushoz kapcsolódó szexuális erőszak eseteiben is; megjegyzi, hogy az említett információk megosztására vonatkozó általános megállapodást még nem hajtották végre, és aggodalmát fejezi ki a titkossági besorolások kiterjesztése miatt, ami tovább késleltetheti az igazságszolgáltatást és a túlélők elismerését;</w:t>
      </w:r>
    </w:p>
    <w:p w:rsidR="00932A6A" w:rsidRPr="00E61B50" w:rsidP="00AB5E0B" w14:paraId="38417FC4" w14:textId="77777777">
      <w:pPr>
        <w:pStyle w:val="NormalHanging12a"/>
        <w:widowControl/>
      </w:pPr>
      <w:r w:rsidRPr="00E61B50">
        <w:t xml:space="preserve">49. </w:t>
      </w:r>
      <w:r w:rsidRPr="00E61B50">
        <w:tab/>
        <w:t xml:space="preserve">emlékeztet arra, hogy fontos biztosítani a teljes hozzáférést a volt jugoszláv titkosszolgálat (UDBA) és a jugoszláv néphadsereg titkosszolgálata (KOS) archívumaihoz – beleértve a </w:t>
      </w:r>
      <w:r w:rsidRPr="00E61B50">
        <w:t>Pristinában</w:t>
      </w:r>
      <w:r w:rsidRPr="00E61B50">
        <w:t xml:space="preserve"> és Belgrádban őrzött dokumentumokat is –, a kommunista korszak bűncselekményeinek és bűnszervezeteinek alapos vizsgálata és kutatása érdekében; hangsúlyozza, hogy ezen archívumok megnyitása az egész régióban hozzájárulna az igazság feltárásához, az áldozatoknak nyújtott igazságszolgáltatáshoz, a megbékéléshez és a demokratikus kormányzás megszilárdításához; </w:t>
      </w:r>
    </w:p>
    <w:p w:rsidR="00932A6A" w:rsidRPr="00E61B50" w:rsidP="00AB5E0B" w14:paraId="43CF4C88" w14:textId="77777777">
      <w:pPr>
        <w:pStyle w:val="NormalHanging12a"/>
        <w:widowControl/>
      </w:pPr>
      <w:r w:rsidRPr="00E61B50">
        <w:t>50.</w:t>
      </w:r>
      <w:r w:rsidRPr="00E61B50">
        <w:tab/>
        <w:t>felkéri Koszovót, hogy továbbra is vegyen részt számos regionális együttműködési kezdeményezésben; ismételten hangsúlyozza a NATO vezette koszovói erők fontosságát a szélesebb körű biztonság szempontjából, és elismerését fejezi ki a Koszovóban és általában a nyugat-balkáni régióban a biztonságos környezet kialakítására és fenntartására irányuló folyamatos erőfeszítéseiért; emlékeztet a misszió fontosságára a koszovói biztonsági erők folyamatban lévő fejlesztése szempontjából, amely tanácsadás, képzés és kapacitásépítés formájában valósul meg; felszólítja a koszovói erőkhöz hozzájáruló tagállamokat, hogy tartózkodjanak a jelenlétük csökkentésétől;</w:t>
      </w:r>
    </w:p>
    <w:p w:rsidR="00932A6A" w:rsidRPr="00E61B50" w:rsidP="00AB5E0B" w14:paraId="02B7DE71" w14:textId="77777777">
      <w:pPr>
        <w:pStyle w:val="NormalHanging12a"/>
        <w:widowControl/>
        <w:rPr>
          <w:szCs w:val="24"/>
        </w:rPr>
      </w:pPr>
      <w:r w:rsidRPr="00E61B50">
        <w:t>51.</w:t>
      </w:r>
      <w:r w:rsidRPr="00E61B50">
        <w:tab/>
        <w:t>megújult erőfeszítésekre szólít fel a koszovói vallási és kulturális örökség – többek között az ortodox, iszlám, katolikus és egyéb helyszínek – védelme érdekében, a pluralizmus, a megbékélés és Európa közös kulturális örökségének tiszteletben tartása iránti szélesebb körű elkötelezettség részeként;</w:t>
      </w:r>
    </w:p>
    <w:p w:rsidR="00932A6A" w:rsidRPr="00E61B50" w:rsidP="00AB5E0B" w14:paraId="62DD5124" w14:textId="77777777">
      <w:pPr>
        <w:pStyle w:val="NormalHanging12a"/>
        <w:widowControl/>
        <w:rPr>
          <w:b/>
          <w:bCs/>
          <w:i/>
        </w:rPr>
      </w:pPr>
      <w:r w:rsidRPr="00E61B50">
        <w:rPr>
          <w:b/>
          <w:i/>
        </w:rPr>
        <w:t>Társadalmi-gazdasági reformok</w:t>
      </w:r>
    </w:p>
    <w:p w:rsidR="00932A6A" w:rsidRPr="00E61B50" w:rsidP="00AB5E0B" w14:paraId="5F7EC5D8" w14:textId="77777777">
      <w:pPr>
        <w:pStyle w:val="NormalHanging12a"/>
        <w:widowControl/>
      </w:pPr>
      <w:r w:rsidRPr="00E61B50">
        <w:t>52.</w:t>
      </w:r>
      <w:r w:rsidRPr="00E61B50">
        <w:tab/>
        <w:t>megjegyzi, hogy Koszovó a gazdaság- és monetáris politika, valamint a versenyképesség területén mérsékelten felkészült; hangsúlyozza, hogy Koszovónak össze kell hangolnia költségvetési keretrendszerét az uniós vívmányokkal, és kezelnie kell a strukturális hiányosságokat, különösen a szűk gyártási bázist és a kkv-k finanszírozáshoz való nehéz hozzáférését; kiemeli annak fontosságát, hogy az uniós szociális vívmányokkal összhangban biztosítsák a fenntartható gazdasági növekedést, csökkentsék a munkanélküliséget, valamint megerősítsék az ország szociális védelmi rendszerét; hangsúlyozza, hogy a fennmaradó strukturális hiányosságok kezeléséhez szélesebb körű reformokat kell végrehajtani;</w:t>
      </w:r>
    </w:p>
    <w:p w:rsidR="00932A6A" w:rsidRPr="00E61B50" w:rsidP="00AB5E0B" w14:paraId="1D78D24D" w14:textId="77777777">
      <w:pPr>
        <w:pStyle w:val="NormalHanging12a"/>
        <w:widowControl/>
        <w:rPr>
          <w:bCs/>
        </w:rPr>
      </w:pPr>
      <w:r w:rsidRPr="00E61B50">
        <w:t>53.</w:t>
      </w:r>
      <w:r w:rsidRPr="00E61B50">
        <w:tab/>
        <w:t xml:space="preserve">üdvözli a Bizottság azon megállapítását, hogy Koszovó némi előrelépést tett a működő piacgazdaság kialakítása terén, nevezetesen az erőteljesebb növekedés, a stabil és </w:t>
      </w:r>
      <w:r w:rsidRPr="00E61B50">
        <w:t>reziliens</w:t>
      </w:r>
      <w:r w:rsidRPr="00E61B50">
        <w:t xml:space="preserve"> bankszektor, az informális szektor csökkentése és a kereskedelmi viták gyorsabb rendezése révén; megállapítja, hogy az informális gazdaság továbbra is széles körben elterjedt, és felhívja a hatóságokat, hogy biztosítsák a munkaügyi felügyelőség számára a feladatai teljes körű ellátásához szükséges erőforrásokat;</w:t>
      </w:r>
    </w:p>
    <w:p w:rsidR="00932A6A" w:rsidRPr="00E61B50" w:rsidP="00AB5E0B" w14:paraId="3F289DDA" w14:textId="77777777">
      <w:pPr>
        <w:pStyle w:val="NormalHanging12a"/>
        <w:widowControl/>
        <w:rPr>
          <w:bCs/>
        </w:rPr>
      </w:pPr>
      <w:r w:rsidRPr="00E61B50">
        <w:t>54.</w:t>
      </w:r>
      <w:r w:rsidRPr="00E61B50">
        <w:tab/>
        <w:t xml:space="preserve">üdvözli, hogy a Koszovói Kereskedelmi Bíróság hatékonyan kezeli a szellemitulajdon-jogokkal kapcsolatos ügyeket; felszólítja a Kereskedelmi Bíróságot, hogy továbbra is </w:t>
      </w:r>
      <w:r w:rsidRPr="00E61B50">
        <w:t>működjön</w:t>
      </w:r>
      <w:r w:rsidRPr="00E61B50">
        <w:t xml:space="preserve"> együtt az Európai Unió Szellemi Tulajdoni Hivatalával;</w:t>
      </w:r>
    </w:p>
    <w:p w:rsidR="00932A6A" w:rsidRPr="00E61B50" w:rsidP="00AB5E0B" w14:paraId="143C91C9" w14:textId="77777777">
      <w:pPr>
        <w:pStyle w:val="NormalHanging12a"/>
        <w:widowControl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E61B50">
        <w:t>55.</w:t>
      </w:r>
      <w:r w:rsidRPr="00E61B50">
        <w:tab/>
        <w:t>felszólít a megfelelő munkavállalói védelem, a méltányos bérek és a munkaügyi jogszabályok uniós normákkal összhangban történő érvényesítésének biztosítására; sajnálatát fejezi ki amiatt, hogy Koszovóban a szociális párbeszéd továbbra is korlátozott; célzott támogatást szorgalmaz a szociális partnerek kapacitásépítéséhez; felhívja a hatóságokat, hogy garantálják az elismert szakszervezetek függetlenségét és legitim szerepét, valamint a munkavállalók alapvető jogait, különösen a kollektív tárgyaláshoz való jogot, mind a jogszabályokban, mind a gyakorlatban, a köz- és a magánszektorban egyaránt; felhívja a koszovói hatóságokat, hogy újítsák meg a Szociális Gazdasági Tanács megbízatását, mozdítsák elő a szociális párbeszédet, és használják fel a Nyugat-balkáni Reform- és Növekedéstámogató Eszközt a szociális partnerek kapacitásépítésének elősegítésére;</w:t>
      </w:r>
    </w:p>
    <w:p w:rsidR="00932A6A" w:rsidRPr="00E61B50" w:rsidP="00AB5E0B" w14:paraId="72B17A79" w14:textId="77777777">
      <w:pPr>
        <w:pStyle w:val="NormalHanging12a"/>
        <w:widowControl/>
      </w:pPr>
      <w:r w:rsidRPr="00E61B50">
        <w:rPr>
          <w:color w:val="000000" w:themeColor="text1"/>
        </w:rPr>
        <w:t>56.</w:t>
      </w:r>
      <w:r w:rsidRPr="00E61B50">
        <w:rPr>
          <w:color w:val="000000" w:themeColor="text1"/>
        </w:rPr>
        <w:tab/>
      </w:r>
      <w:r w:rsidRPr="00E61B50">
        <w:t>üdvözli a javadalmazási rendszer egységesítését a közszféra bérezéséről szóló törvényben; sajnálja azonban, hogy a munkaköri besorolással, az álláshelyek rendszerezésével és az Alkotmánybíróságnak az alkotmányellenes rendelkezésekről szóló ítéletével továbbra sem foglalkoztak; felszólítja a hatóságokat, hogy fogadják el az államháztartás igazgatásáról szóló törvénytervezetet, és építsék be a jogszabályokba a költségvetési kockázatértékelést és a közberuházási módszertant;</w:t>
      </w:r>
    </w:p>
    <w:p w:rsidR="00932A6A" w:rsidRPr="00E61B50" w:rsidP="00AB5E0B" w14:paraId="1DB4657A" w14:textId="77777777">
      <w:pPr>
        <w:pStyle w:val="NormalHanging12a"/>
        <w:widowControl/>
      </w:pPr>
      <w:r w:rsidRPr="00E61B50">
        <w:t>57.</w:t>
      </w:r>
      <w:r w:rsidRPr="00E61B50">
        <w:tab/>
        <w:t>aggodalmát fejezi ki amiatt, hogy a születéskor várható élettartam továbbra is alacsonyabb az uniós átlagnál, és hogy a gyermekhalandóság továbbra is a legmagasabb a régióban, és jelentősen meghaladja az uniós átlagot; sajnálatát fejezi ki amiatt, hogy az egyetemes egészségügyi ellátás felé tett előrelépés továbbra is nagyon korlátozott, és hogy továbbra is jelentős hatékonysági hiányosságok tapasztalhatók; felszólítja a hatóságokat, hogy minden polgár számára biztosítsák az egészségügyi szolgáltatásokhoz való jobb hozzáférést;</w:t>
      </w:r>
    </w:p>
    <w:p w:rsidR="00932A6A" w:rsidRPr="00E61B50" w:rsidP="00AB5E0B" w14:paraId="2CA5B3FE" w14:textId="77777777">
      <w:pPr>
        <w:pStyle w:val="NormalHanging12a"/>
        <w:widowControl/>
      </w:pPr>
      <w:r w:rsidRPr="00E61B50">
        <w:t>58.</w:t>
      </w:r>
      <w:r w:rsidRPr="00E61B50">
        <w:tab/>
        <w:t>felszólítja Koszovót, hogy kezelje prioritásként a magas színvonalú szakképzést, az oktatás és a munkaerőpiaci igények közötti szorosabb kapcsolatokat, valamint a fiatal vállalkozók és kutatók célzott támogatását annak érdekében, hogy hiteles perspektívákat teremtsen a fiatalok számára az országban;</w:t>
      </w:r>
    </w:p>
    <w:p w:rsidR="00932A6A" w:rsidRPr="00E61B50" w:rsidP="00AB5E0B" w14:paraId="6BF6D35D" w14:textId="77777777">
      <w:pPr>
        <w:pStyle w:val="NormalHanging12a"/>
        <w:widowControl/>
      </w:pPr>
      <w:r w:rsidRPr="00E61B50">
        <w:t>59.</w:t>
      </w:r>
      <w:r w:rsidRPr="00E61B50">
        <w:tab/>
        <w:t>ösztönzi Koszovót, hogy folytassa a szociális biztonsági rendszerek koordinálásáról szóló megállapodások megkötését az EU tagállamaival;</w:t>
      </w:r>
    </w:p>
    <w:p w:rsidR="00932A6A" w:rsidRPr="00E61B50" w:rsidP="00AB5E0B" w14:paraId="77178A8C" w14:textId="77777777">
      <w:pPr>
        <w:pStyle w:val="NormalHanging12a"/>
        <w:widowControl/>
      </w:pPr>
      <w:r w:rsidRPr="00E61B50">
        <w:t>60.</w:t>
      </w:r>
      <w:r w:rsidRPr="00E61B50">
        <w:tab/>
        <w:t xml:space="preserve">megjegyzi, hogy Koszovó bizonyos mértékű haladást ért el a digitális átállásra való felkészülés terén, többek között az online szolgáltatások és az 5G lefedettség bővítése terén; sajnálatát fejezi ki amiatt, hogy jelenleg a közszolgáltatásoknak csupán 10%-a érhető el online, és hogy a digitalizáció továbbra is széttagolt; hangsúlyozza, hogy Koszovónak igazodnia kell a vonatkozó uniós digitális jogszabályokhoz, többek között </w:t>
      </w:r>
      <w:r w:rsidRPr="00E61B50">
        <w:t xml:space="preserve">az Európai Elektronikus Hírközlési Kódexhez, a NIS 2 irányelvhez, az 5G </w:t>
      </w:r>
      <w:r w:rsidRPr="00E61B50">
        <w:t>kiberbiztonsággal</w:t>
      </w:r>
      <w:r w:rsidRPr="00E61B50">
        <w:t xml:space="preserve"> kapcsolatos uniós eszköztárhoz, a digitális szolgáltatásokról szóló rendelethez, a digitális piacokról szóló jogszabályhoz és az uniós digitális személyazonossági kerethez; sajnálatát fejezi ki amiatt, hogy Koszovó a </w:t>
      </w:r>
      <w:r w:rsidRPr="00E61B50">
        <w:t>kiberbiztonságról</w:t>
      </w:r>
      <w:r w:rsidRPr="00E61B50">
        <w:t xml:space="preserve"> szóló törvényből eredő 14 másodlagos jogszabályból csak 8-at fogadott el, és hogy a </w:t>
      </w:r>
      <w:r w:rsidRPr="00E61B50">
        <w:t>Kiberbiztonsági</w:t>
      </w:r>
      <w:r w:rsidRPr="00E61B50">
        <w:t xml:space="preserve"> Ügynökség és a Nemzeti </w:t>
      </w:r>
      <w:r w:rsidRPr="00E61B50">
        <w:t>Kiberbiztonsági</w:t>
      </w:r>
      <w:r w:rsidRPr="00E61B50">
        <w:t xml:space="preserve"> Tanács sem kezdte még meg teljes körű működését; felszólít egy, az uniós normákkal összhangban álló, átfogó e-kormányzati stratégia elfogadására, valamint a közigazgatási rendszerek </w:t>
      </w:r>
      <w:r w:rsidRPr="00E61B50">
        <w:t>interoperabilitásának</w:t>
      </w:r>
      <w:r w:rsidRPr="00E61B50">
        <w:t xml:space="preserve"> javítására; felhívja Koszovót, hogy intenzívebben mozdítsa elő a digitalizációt, és fejlessze tovább a biztonságos digitális közszolgáltatásokat;</w:t>
      </w:r>
    </w:p>
    <w:p w:rsidR="00932A6A" w:rsidRPr="00E61B50" w:rsidP="00AB5E0B" w14:paraId="5D2B0F20" w14:textId="77777777">
      <w:pPr>
        <w:pStyle w:val="NormalHanging12a"/>
        <w:widowControl/>
      </w:pPr>
      <w:r w:rsidRPr="00E61B50">
        <w:t>61.</w:t>
      </w:r>
      <w:r w:rsidRPr="00E61B50">
        <w:tab/>
        <w:t>üdvözli a Koszovó által a kutatás és az innováció fokozottabban stratégiai megközelítése érdekében tett első lépéseket, beleértve az innovációt támogató intézkedések finanszírozásának megkezdését és Koszovó részvételét az európai digitális innovációs központok hálózatában;</w:t>
      </w:r>
    </w:p>
    <w:p w:rsidR="00932A6A" w:rsidRPr="00E61B50" w:rsidP="00AB5E0B" w14:paraId="57F0189D" w14:textId="77777777">
      <w:pPr>
        <w:pStyle w:val="NormalHanging12a"/>
        <w:widowControl/>
      </w:pPr>
      <w:r w:rsidRPr="00E61B50">
        <w:t>62.</w:t>
      </w:r>
      <w:r w:rsidRPr="00E61B50">
        <w:tab/>
        <w:t>üdvözli a Bizottság arra irányuló javaslatát, hogy kezdjenek tárgyalásokat a belföldi díjszabás szerinti barangolás uniós rendszerének a Nyugat-Balkánra, többek között Koszovóra való kiterjesztéséről azzal a céllal, hogy kézzelfogható előnyöket biztosítsanak a polgárok és a vállalkozások számára, és megerősítsék a regionális összeköttetéseket; megjegyzi, hogy ez a kezdeményezés a meglévő regionális barangolási megállapodásokra épül; szorgalmazza a tárgyalási megbízások gyors elfogadását és a megállapodások időben történő megkötését a belföldi díjszabás szerinti barangolás uniós térségébe való gyors és hatékony integráció biztosítása érdekében;</w:t>
      </w:r>
    </w:p>
    <w:p w:rsidR="00932A6A" w:rsidRPr="00E61B50" w:rsidP="00AB5E0B" w14:paraId="30ED1EA5" w14:textId="77777777">
      <w:pPr>
        <w:pStyle w:val="NormalHanging12a"/>
        <w:widowControl/>
        <w:rPr>
          <w:b/>
          <w:bCs/>
        </w:rPr>
      </w:pPr>
      <w:r w:rsidRPr="00E61B50">
        <w:rPr>
          <w:b/>
          <w:i/>
        </w:rPr>
        <w:t xml:space="preserve">Energia, környezetvédelem, fenntartható fejlődés és </w:t>
      </w:r>
      <w:r w:rsidRPr="00E61B50">
        <w:rPr>
          <w:b/>
          <w:i/>
        </w:rPr>
        <w:t>konnektivitás</w:t>
      </w:r>
    </w:p>
    <w:p w:rsidR="00932A6A" w:rsidRPr="00E61B50" w:rsidP="00AB5E0B" w14:paraId="13BD7117" w14:textId="77777777">
      <w:pPr>
        <w:pStyle w:val="NormalHanging12a"/>
        <w:widowControl/>
        <w:rPr>
          <w:bCs/>
        </w:rPr>
      </w:pPr>
      <w:r w:rsidRPr="00E61B50">
        <w:t>63.</w:t>
      </w:r>
      <w:r w:rsidRPr="00E61B50">
        <w:tab/>
        <w:t>megjegyzi, hogy Koszovó továbbra is nagymértékben függ az elavult széntüzelésű erőművektől, és fel kell gyorsítania az energiahatékonysági beruházásokat; üdvözli, hogy az energiaágazatban némi előrelépés történt, különösen a 100 MW-os szélenergia-árverések elindításával; sürgeti Koszovót, hogy gyorsítsa fel a zöld gazdaságra való átállását, és jelentősen csökkentse a fosszilis tüzelőanyagoktól és a széntüzelésű erőművektől való függését; felhívja az EU-t, hogy fokozza azirányú erőfeszítéseit, hogy segítse Koszovót e célok elérésében; felszólítja a koszovói kormányt, hogy ruházzon be egy diverzifikált energiaszerkezetbe, amely erősíti az ellátásbiztonságot; ösztönzi Koszovót, hogy folytassa villamosenergia-piacának az európai villamosenergia-piacokba való integrálására irányuló erőfeszítéseit, többek között a villamosenergia-piaci reformok hatékony végrehajtásával és a villamosenergia-ágazatban a határokon átnyúló együttműködés megerősítésével;</w:t>
      </w:r>
    </w:p>
    <w:p w:rsidR="00932A6A" w:rsidRPr="00E61B50" w:rsidP="00AB5E0B" w14:paraId="65A84E54" w14:textId="77777777">
      <w:pPr>
        <w:pStyle w:val="NormalHanging12a"/>
        <w:widowControl/>
      </w:pPr>
      <w:r w:rsidRPr="00E61B50">
        <w:t>64.</w:t>
      </w:r>
      <w:r w:rsidRPr="00E61B50">
        <w:tab/>
        <w:t xml:space="preserve">ösztönzi Koszovót, hogy – többek között a tervezési szakaszban átfogó környezeti hatástanulmányok és fenntarthatósági intézkedések alkalmazásával – erősítse meg intézményi és igazgatási kapacitását a stratégiai infrastrukturális projektek végrehajtása érdekében, és folytassa a függőben lévő közlekedési és energetikai </w:t>
      </w:r>
      <w:r w:rsidRPr="00E61B50">
        <w:t>konnektivitási</w:t>
      </w:r>
      <w:r w:rsidRPr="00E61B50">
        <w:t xml:space="preserve"> projektek végrehajtását; felszólítja a Bizottságot és Koszovót, hogy kezeljék prioritásként a Nyugat-Balkánt az európai közlekedési, energetikai és digitális folyosókkal és a fekete-tengeri térséggel összekapcsoló stratégiai </w:t>
      </w:r>
      <w:r w:rsidRPr="00E61B50">
        <w:t>konnektivitási</w:t>
      </w:r>
      <w:r w:rsidRPr="00E61B50">
        <w:t xml:space="preserve"> projekteket, többek között az energiahálózatok összekapcsolása, energiahatékonysági intézkedések, a megújuló energiaforrásokba történő beruházások, az egységes eurófizetési térségbe (SEPA) való integráció és a kkv-k finanszírozáshoz jutásának </w:t>
      </w:r>
      <w:r w:rsidRPr="00E61B50">
        <w:t xml:space="preserve">javítása révén; hangsúlyozza, hogy ezek a beruházások elősegítik a társadalmi-gazdasági konvergenciát, a </w:t>
      </w:r>
      <w:r w:rsidRPr="00E61B50">
        <w:t>geostratégiai</w:t>
      </w:r>
      <w:r w:rsidRPr="00E61B50">
        <w:t xml:space="preserve"> </w:t>
      </w:r>
      <w:r w:rsidRPr="00E61B50">
        <w:t>rezilienciát</w:t>
      </w:r>
      <w:r w:rsidRPr="00E61B50">
        <w:t xml:space="preserve"> és az európai gazdasági biztonságot;</w:t>
      </w:r>
    </w:p>
    <w:p w:rsidR="00932A6A" w:rsidRPr="00E61B50" w:rsidP="00AB5E0B" w14:paraId="04D1D798" w14:textId="77777777">
      <w:pPr>
        <w:pStyle w:val="NormalHanging12a"/>
        <w:widowControl/>
      </w:pPr>
      <w:r w:rsidRPr="00E61B50">
        <w:t>65.</w:t>
      </w:r>
      <w:r w:rsidRPr="00E61B50">
        <w:tab/>
        <w:t xml:space="preserve">sürgeti Koszovót az ország védett területeinek növelésére, valamint annak biztosítására, hogy megfelelő intézkedéseket hozzanak a védett területek és a kulturális-történelmi örökség helyszíneinek kezelésére a biológiai sokféleség megőrzése érdekében, beleértve a súlyosan veszélyeztetett balkáni hiúz kulcsfontosságú élőhelyeit is; üdvözli, hogy Koszovó folyamatosan együttműködik Észak-Macedóniával és Albániával a határokon átnyúló </w:t>
      </w:r>
      <w:r w:rsidRPr="00E61B50">
        <w:t>Šar</w:t>
      </w:r>
      <w:r w:rsidRPr="00E61B50">
        <w:t>-hegység Nemzeti Parkkal kapcsolatban; arra ösztönzi Koszovót, hogy tovább fokozza és gyorsítsa fel a szomszédos országokkal folytatott együttműködési erőfeszítéseket a határokon átnyúló védett területek kijelölése és a határokon átnyúló koherens gazdálkodási tervek kidolgozása érdekében; sürgeti Koszovót, hogy módosítsa a hulladékgazdálkodásról szóló törvényt, és hajtsa végre az éghajlatváltozásról szóló törvényt;</w:t>
      </w:r>
    </w:p>
    <w:p w:rsidR="00932A6A" w:rsidRPr="00E61B50" w:rsidP="00AB5E0B" w14:paraId="014884FD" w14:textId="77777777">
      <w:pPr>
        <w:pStyle w:val="NormalHanging12a"/>
        <w:widowControl/>
        <w:jc w:val="center"/>
      </w:pPr>
      <w:r w:rsidRPr="00E61B50">
        <w:t>°</w:t>
      </w:r>
    </w:p>
    <w:p w:rsidR="00932A6A" w:rsidRPr="00E61B50" w:rsidP="00AB5E0B" w14:paraId="56229C2D" w14:textId="77777777">
      <w:pPr>
        <w:pStyle w:val="NormalHanging12a"/>
        <w:widowControl/>
        <w:jc w:val="center"/>
      </w:pPr>
      <w:r w:rsidRPr="00E61B50">
        <w:t>°</w:t>
      </w:r>
      <w:r w:rsidRPr="00E61B50">
        <w:tab/>
        <w:t>°</w:t>
      </w:r>
    </w:p>
    <w:p w:rsidR="00E365E1" w:rsidRPr="00AC0AD5" w:rsidP="00AB5E0B" w14:paraId="7FED35B1" w14:textId="17A236DD">
      <w:pPr>
        <w:pStyle w:val="NormalHanging12a"/>
        <w:widowControl/>
      </w:pPr>
      <w:r w:rsidRPr="00E61B50">
        <w:t>66.</w:t>
      </w:r>
      <w:r w:rsidRPr="00E61B50">
        <w:tab/>
        <w:t>utasítja elnökét, hogy továbbítsa ezt az állásfoglalást az Európai Tanács elnökének, a Bizottságnak, a Bizottság alelnökének/az Unió külügyi és biztonságpolitikai főképviselőjének, a tagállamok kormányainak és parlamentjeinek, valamint Koszovó elnökének, kormányának és nemzetgyűlésének.</w:t>
      </w:r>
    </w:p>
    <w:sectPr w:rsidSect="00AC0A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11D18C4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67FAF56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0DDE442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1775" w:rsidRPr="00AC0AD5" w14:paraId="18810D69" w14:textId="77777777">
      <w:r w:rsidRPr="00AC0AD5">
        <w:separator/>
      </w:r>
    </w:p>
  </w:footnote>
  <w:footnote w:type="continuationSeparator" w:id="1">
    <w:p w:rsidR="00FC1775" w:rsidRPr="00AC0AD5" w14:paraId="6607149A" w14:textId="77777777">
      <w:r w:rsidRPr="00AC0AD5">
        <w:continuationSeparator/>
      </w:r>
    </w:p>
  </w:footnote>
  <w:footnote w:id="2">
    <w:p w:rsidR="00932A6A" w:rsidRPr="00AC0AD5" w:rsidP="00AC0AD5" w14:paraId="237A4402" w14:textId="5B15E779">
      <w:pPr>
        <w:pStyle w:val="FootnoteText"/>
        <w:ind w:left="567" w:hanging="567"/>
        <w:rPr>
          <w:sz w:val="24"/>
          <w:u w:val="single" w:color="0000FF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HL L 71., 2016.3.16., 3. o., ELI: </w:t>
      </w:r>
      <w:hyperlink r:id="rId1" w:history="1">
        <w:r w:rsidRPr="00AC0AD5">
          <w:rPr>
            <w:rStyle w:val="Hyperlink"/>
            <w:sz w:val="24"/>
            <w:lang w:val="hu-HU"/>
          </w:rPr>
          <w:t>https://eur-lex.europa.eu/legal-content/HU/TXT/HTML/?uri=CELEX:22016A0316(01)</w:t>
        </w:r>
      </w:hyperlink>
      <w:r w:rsidRPr="00AC0AD5">
        <w:rPr>
          <w:sz w:val="24"/>
          <w:lang w:val="hu-HU"/>
        </w:rPr>
        <w:t>.</w:t>
      </w:r>
    </w:p>
  </w:footnote>
  <w:footnote w:id="3">
    <w:p w:rsidR="00932A6A" w:rsidRPr="00AC0AD5" w:rsidP="00AC0AD5" w14:paraId="248FB315" w14:textId="18D3419E">
      <w:pPr>
        <w:pStyle w:val="FootnoteText"/>
        <w:ind w:left="567" w:hanging="567"/>
        <w:rPr>
          <w:sz w:val="24"/>
          <w:u w:val="single" w:color="0000FF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HL L 195., 2017.7.27., 3. o., ELI: </w:t>
      </w:r>
      <w:hyperlink r:id="rId2" w:history="1">
        <w:r w:rsidRPr="00AC0AD5">
          <w:rPr>
            <w:rStyle w:val="Hyperlink"/>
            <w:sz w:val="24"/>
            <w:lang w:val="hu-HU"/>
          </w:rPr>
          <w:t>https://eur-lex.europa.eu/legal-content/HU/TXT/HTML/?uri=CELEX:22017A0727(01)</w:t>
        </w:r>
      </w:hyperlink>
      <w:r w:rsidRPr="00AC0AD5">
        <w:rPr>
          <w:sz w:val="24"/>
          <w:lang w:val="hu-HU"/>
        </w:rPr>
        <w:t>.</w:t>
      </w:r>
    </w:p>
  </w:footnote>
  <w:footnote w:id="4">
    <w:p w:rsidR="00932A6A" w:rsidRPr="00AC0AD5" w:rsidP="00AC0AD5" w14:paraId="37D5E281" w14:textId="54BC26CD">
      <w:pPr>
        <w:pStyle w:val="FootnoteText"/>
        <w:ind w:left="567" w:hanging="567"/>
        <w:rPr>
          <w:sz w:val="24"/>
          <w:u w:val="single" w:color="0000FF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HL L 330., 2021.9.20., 1. o., ELI: </w:t>
      </w:r>
      <w:hyperlink r:id="rId3" w:history="1">
        <w:r w:rsidRPr="00AC0AD5">
          <w:rPr>
            <w:rStyle w:val="Hyperlink"/>
            <w:sz w:val="24"/>
            <w:lang w:val="hu-HU"/>
          </w:rPr>
          <w:t>https://eur-lex.europa.eu/legal-content/HU/TXT/HTML/?uri=CELEX:32021R1529</w:t>
        </w:r>
      </w:hyperlink>
      <w:r w:rsidRPr="00AC0AD5">
        <w:rPr>
          <w:sz w:val="24"/>
          <w:lang w:val="hu-HU"/>
        </w:rPr>
        <w:t>.</w:t>
      </w:r>
    </w:p>
  </w:footnote>
  <w:footnote w:id="5">
    <w:p w:rsidR="00932A6A" w:rsidRPr="00AC0AD5" w:rsidP="00AC0AD5" w14:paraId="235F3958" w14:textId="3BB12B1D">
      <w:pPr>
        <w:pStyle w:val="FootnoteText"/>
        <w:ind w:left="567" w:hanging="567"/>
        <w:rPr>
          <w:sz w:val="24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>HL L 110., 2023.4.25., 1. o., ELI: </w:t>
      </w:r>
      <w:hyperlink r:id="rId4" w:tooltip="Hozzáférés a dokumentumhoz a hozzárendelt európai jogszabály-azonosító URI révén." w:history="1">
        <w:r w:rsidRPr="00AC0AD5">
          <w:rPr>
            <w:rStyle w:val="Hyperlink"/>
            <w:sz w:val="24"/>
            <w:lang w:val="hu-HU"/>
          </w:rPr>
          <w:t>https://eur-lex.europa.eu/legal-content/HU/TXT/HTML/?uri=CELEX:32023R0850</w:t>
        </w:r>
      </w:hyperlink>
      <w:r w:rsidRPr="00AC0AD5">
        <w:rPr>
          <w:sz w:val="24"/>
          <w:lang w:val="hu-HU"/>
        </w:rPr>
        <w:t>.</w:t>
      </w:r>
    </w:p>
  </w:footnote>
  <w:footnote w:id="6">
    <w:p w:rsidR="00932A6A" w:rsidRPr="00AC0AD5" w:rsidP="00AC0AD5" w14:paraId="1727AD94" w14:textId="3D8362D7">
      <w:pPr>
        <w:pStyle w:val="FootnoteText"/>
        <w:ind w:left="567" w:hanging="567"/>
        <w:rPr>
          <w:sz w:val="24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HL L, 2024/1449, 2024.5.24., </w:t>
      </w:r>
      <w:r w:rsidRPr="00AC0AD5">
        <w:rPr>
          <w:color w:val="333333"/>
          <w:sz w:val="24"/>
          <w:shd w:val="clear" w:color="auto" w:fill="FFFFFF"/>
          <w:lang w:val="hu-HU"/>
        </w:rPr>
        <w:t>ELI: </w:t>
      </w:r>
      <w:hyperlink r:id="rId5" w:tooltip="Hozzáférés a dokumentumhoz a hozzárendelt európai jogszabály-azonosító URI révén." w:history="1">
        <w:r w:rsidRPr="00AC0AD5">
          <w:rPr>
            <w:rStyle w:val="Hyperlink"/>
            <w:color w:val="337AB7"/>
            <w:sz w:val="24"/>
            <w:shd w:val="clear" w:color="auto" w:fill="FFFFFF"/>
            <w:lang w:val="hu-HU"/>
          </w:rPr>
          <w:t>http://data.europa.eu/eli/reg/2024/1449/oj</w:t>
        </w:r>
      </w:hyperlink>
      <w:r w:rsidRPr="00AC0AD5">
        <w:rPr>
          <w:sz w:val="24"/>
          <w:lang w:val="hu-HU"/>
        </w:rPr>
        <w:t>.</w:t>
      </w:r>
    </w:p>
  </w:footnote>
  <w:footnote w:id="7">
    <w:p w:rsidR="00932A6A" w:rsidRPr="00AC0AD5" w:rsidP="00AC0AD5" w14:paraId="683ABA9D" w14:textId="14F43073">
      <w:pPr>
        <w:pStyle w:val="FootnoteText"/>
        <w:ind w:left="567" w:hanging="567"/>
        <w:rPr>
          <w:sz w:val="24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>HL L, 2025/1161, 2025.6.6., ELI: </w:t>
      </w:r>
      <w:hyperlink r:id="rId6" w:tgtFrame="_blank" w:tooltip="Hozzáférés a dokumentumhoz a hozzárendelt európai jogszabály-azonosító URI révén." w:history="1">
        <w:r w:rsidRPr="00AC0AD5">
          <w:rPr>
            <w:rStyle w:val="Hyperlink"/>
            <w:sz w:val="24"/>
            <w:lang w:val="hu-HU"/>
          </w:rPr>
          <w:t>https://eur-lex.europa.eu/legal-content/HU/TXT/HTML/?uri=OJ:L_202501161</w:t>
        </w:r>
      </w:hyperlink>
      <w:r w:rsidRPr="00AC0AD5">
        <w:rPr>
          <w:sz w:val="24"/>
          <w:lang w:val="hu-HU"/>
        </w:rPr>
        <w:t>.</w:t>
      </w:r>
    </w:p>
  </w:footnote>
  <w:footnote w:id="8">
    <w:p w:rsidR="00932A6A" w:rsidRPr="00AC0AD5" w:rsidP="00AC0AD5" w14:paraId="30160D8D" w14:textId="74CA6D8E">
      <w:pPr>
        <w:pStyle w:val="FootnoteText"/>
        <w:ind w:left="567" w:hanging="567"/>
        <w:rPr>
          <w:sz w:val="24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Az Európai Parlament és a Tanács (EU) 2024/1083 rendelete (2024. április 11.) a belső piaci médiaszolgáltatások közös keretének létrehozásáról és a 2010/13/EU irányelv módosításáról (a tömegtájékoztatás szabadságáról szóló európai rendelet) (HL L, 2024/1083, 2024.4.17., ELI: </w:t>
      </w:r>
      <w:hyperlink r:id="rId7" w:history="1">
        <w:r w:rsidRPr="00AC0AD5">
          <w:rPr>
            <w:rStyle w:val="Hyperlink"/>
            <w:sz w:val="24"/>
            <w:lang w:val="hu-HU"/>
          </w:rPr>
          <w:t>http://data.europa.eu/eli/reg/2024/1083/oj</w:t>
        </w:r>
      </w:hyperlink>
      <w:r w:rsidRPr="00AC0AD5">
        <w:rPr>
          <w:sz w:val="24"/>
          <w:lang w:val="hu-HU"/>
        </w:rPr>
        <w:t>).</w:t>
      </w:r>
    </w:p>
  </w:footnote>
  <w:footnote w:id="9">
    <w:p w:rsidR="00932A6A" w:rsidRPr="00AC0AD5" w:rsidP="00AC0AD5" w14:paraId="59129F01" w14:textId="029A9947">
      <w:pPr>
        <w:pStyle w:val="FootnoteText"/>
        <w:ind w:left="567" w:hanging="567"/>
        <w:rPr>
          <w:sz w:val="24"/>
          <w:lang w:val="hu-HU"/>
        </w:rPr>
      </w:pPr>
      <w:r w:rsidRPr="00AC0AD5">
        <w:rPr>
          <w:rStyle w:val="FootnoteReference"/>
          <w:sz w:val="24"/>
          <w:lang w:val="hu-HU"/>
        </w:rPr>
        <w:footnoteRef/>
      </w:r>
      <w:r w:rsidRPr="00AC0AD5" w:rsidR="00AC0AD5">
        <w:rPr>
          <w:sz w:val="24"/>
          <w:lang w:val="hu-HU"/>
        </w:rPr>
        <w:t xml:space="preserve"> </w:t>
      </w:r>
      <w:r w:rsidRPr="00AC0AD5" w:rsidR="00AC0AD5">
        <w:rPr>
          <w:sz w:val="24"/>
          <w:lang w:val="hu-HU"/>
        </w:rPr>
        <w:tab/>
      </w:r>
      <w:r w:rsidRPr="00AC0AD5">
        <w:rPr>
          <w:sz w:val="24"/>
          <w:lang w:val="hu-HU"/>
        </w:rPr>
        <w:t xml:space="preserve">Az Európai Parlament és a Tanács (EU) 2024/1069 irányelve (2024. április 11.) a közéletben részt vevő személyeknek a nyilvánvalóan megalapozatlan keresetekkel vagy visszaélésszerű bírósági eljárásokkal („közéleti részvételt akadályozó stratégiai perekkel”) szembeni védelméről (HL L, 2024/1069, 2024.4.16., ELI: </w:t>
      </w:r>
      <w:hyperlink r:id="rId8" w:history="1">
        <w:r w:rsidRPr="00AC0AD5">
          <w:rPr>
            <w:rStyle w:val="Hyperlink"/>
            <w:sz w:val="24"/>
            <w:lang w:val="hu-HU"/>
          </w:rPr>
          <w:t>http://data.europa.eu/eli/dir/2024/1069/oj</w:t>
        </w:r>
      </w:hyperlink>
      <w:r w:rsidRPr="00AC0AD5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3D1A44A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607AED9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0AD5" w14:paraId="6D5B1C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852900">
    <w:abstractNumId w:val="9"/>
  </w:num>
  <w:num w:numId="2" w16cid:durableId="1518082100">
    <w:abstractNumId w:val="9"/>
  </w:num>
  <w:num w:numId="3" w16cid:durableId="1110319207">
    <w:abstractNumId w:val="7"/>
  </w:num>
  <w:num w:numId="4" w16cid:durableId="366565891">
    <w:abstractNumId w:val="7"/>
  </w:num>
  <w:num w:numId="5" w16cid:durableId="1103375875">
    <w:abstractNumId w:val="6"/>
  </w:num>
  <w:num w:numId="6" w16cid:durableId="1462461049">
    <w:abstractNumId w:val="6"/>
  </w:num>
  <w:num w:numId="7" w16cid:durableId="1103038114">
    <w:abstractNumId w:val="5"/>
  </w:num>
  <w:num w:numId="8" w16cid:durableId="2044821288">
    <w:abstractNumId w:val="5"/>
  </w:num>
  <w:num w:numId="9" w16cid:durableId="1850175704">
    <w:abstractNumId w:val="4"/>
  </w:num>
  <w:num w:numId="10" w16cid:durableId="904879191">
    <w:abstractNumId w:val="4"/>
  </w:num>
  <w:num w:numId="11" w16cid:durableId="1960331331">
    <w:abstractNumId w:val="8"/>
  </w:num>
  <w:num w:numId="12" w16cid:durableId="908230111">
    <w:abstractNumId w:val="8"/>
  </w:num>
  <w:num w:numId="13" w16cid:durableId="2004578010">
    <w:abstractNumId w:val="3"/>
  </w:num>
  <w:num w:numId="14" w16cid:durableId="703486233">
    <w:abstractNumId w:val="3"/>
  </w:num>
  <w:num w:numId="15" w16cid:durableId="1634671087">
    <w:abstractNumId w:val="2"/>
  </w:num>
  <w:num w:numId="16" w16cid:durableId="2052683786">
    <w:abstractNumId w:val="2"/>
  </w:num>
  <w:num w:numId="17" w16cid:durableId="766776336">
    <w:abstractNumId w:val="1"/>
  </w:num>
  <w:num w:numId="18" w16cid:durableId="1008144240">
    <w:abstractNumId w:val="1"/>
  </w:num>
  <w:num w:numId="19" w16cid:durableId="63836745">
    <w:abstractNumId w:val="0"/>
  </w:num>
  <w:num w:numId="20" w16cid:durableId="461001460">
    <w:abstractNumId w:val="0"/>
  </w:num>
  <w:num w:numId="21" w16cid:durableId="133983650">
    <w:abstractNumId w:val="9"/>
  </w:num>
  <w:num w:numId="22" w16cid:durableId="679698183">
    <w:abstractNumId w:val="7"/>
  </w:num>
  <w:num w:numId="23" w16cid:durableId="1460144574">
    <w:abstractNumId w:val="6"/>
  </w:num>
  <w:num w:numId="24" w16cid:durableId="296834560">
    <w:abstractNumId w:val="5"/>
  </w:num>
  <w:num w:numId="25" w16cid:durableId="1342702033">
    <w:abstractNumId w:val="4"/>
  </w:num>
  <w:num w:numId="26" w16cid:durableId="692069663">
    <w:abstractNumId w:val="8"/>
  </w:num>
  <w:num w:numId="27" w16cid:durableId="1037006814">
    <w:abstractNumId w:val="3"/>
  </w:num>
  <w:num w:numId="28" w16cid:durableId="913247783">
    <w:abstractNumId w:val="2"/>
  </w:num>
  <w:num w:numId="29" w16cid:durableId="1134372838">
    <w:abstractNumId w:val="1"/>
  </w:num>
  <w:num w:numId="30" w16cid:durableId="876821491">
    <w:abstractNumId w:val="0"/>
  </w:num>
  <w:num w:numId="31" w16cid:durableId="1092970673">
    <w:abstractNumId w:val="9"/>
  </w:num>
  <w:num w:numId="32" w16cid:durableId="250941242">
    <w:abstractNumId w:val="7"/>
  </w:num>
  <w:num w:numId="33" w16cid:durableId="1899588418">
    <w:abstractNumId w:val="6"/>
  </w:num>
  <w:num w:numId="34" w16cid:durableId="634676155">
    <w:abstractNumId w:val="5"/>
  </w:num>
  <w:num w:numId="35" w16cid:durableId="647244054">
    <w:abstractNumId w:val="4"/>
  </w:num>
  <w:num w:numId="36" w16cid:durableId="1507595870">
    <w:abstractNumId w:val="8"/>
  </w:num>
  <w:num w:numId="37" w16cid:durableId="2128040487">
    <w:abstractNumId w:val="3"/>
  </w:num>
  <w:num w:numId="38" w16cid:durableId="1852911367">
    <w:abstractNumId w:val="2"/>
  </w:num>
  <w:num w:numId="39" w16cid:durableId="348021521">
    <w:abstractNumId w:val="1"/>
  </w:num>
  <w:num w:numId="40" w16cid:durableId="1574899584">
    <w:abstractNumId w:val="0"/>
  </w:num>
  <w:num w:numId="41" w16cid:durableId="66535173">
    <w:abstractNumId w:val="10"/>
  </w:num>
  <w:num w:numId="42" w16cid:durableId="1035736214">
    <w:abstractNumId w:val="10"/>
  </w:num>
  <w:num w:numId="43" w16cid:durableId="2138061575">
    <w:abstractNumId w:val="10"/>
  </w:num>
  <w:num w:numId="44" w16cid:durableId="1480347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7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375"/>
    <w:rsid w:val="005F1B17"/>
    <w:rsid w:val="006037C0"/>
    <w:rsid w:val="00616A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A6A"/>
    <w:rsid w:val="009509D8"/>
    <w:rsid w:val="00950B64"/>
    <w:rsid w:val="00981893"/>
    <w:rsid w:val="0099230B"/>
    <w:rsid w:val="00A1687D"/>
    <w:rsid w:val="00A43E52"/>
    <w:rsid w:val="00A4678D"/>
    <w:rsid w:val="00A778C7"/>
    <w:rsid w:val="00AB441E"/>
    <w:rsid w:val="00AB5E0B"/>
    <w:rsid w:val="00AB6293"/>
    <w:rsid w:val="00AC0713"/>
    <w:rsid w:val="00AC0AD5"/>
    <w:rsid w:val="00AE0928"/>
    <w:rsid w:val="00AF3B82"/>
    <w:rsid w:val="00B102C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73"/>
    <w:rsid w:val="00E11E6B"/>
    <w:rsid w:val="00E365E1"/>
    <w:rsid w:val="00E61B5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775"/>
    <w:rsid w:val="00FD0C70"/>
  </w:rsids>
  <w:docVars>
    <w:docVar w:name="dvdocse" w:val="A10-0166/2026"/>
    <w:docVar w:name="dvlangue" w:val="HU"/>
    <w:docVar w:name="dvnumam" w:val="0"/>
    <w:docVar w:name="dvpe" w:val="784.231"/>
    <w:docVar w:name="dvrapporteur" w:val="Előadó: "/>
    <w:docVar w:name="dvtitre" w:val="Az Európai Parlament 2026.  ...-i állásfoglalása a Bizottság Koszovóról szóló, 2025. évi jelentéséről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B87600"/>
  <w15:chartTrackingRefBased/>
  <w15:docId w15:val="{7535194F-E64A-4163-8A2A-15FD829F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32A6A"/>
    <w:pPr>
      <w:spacing w:after="240"/>
      <w:ind w:left="567" w:hanging="567"/>
    </w:pPr>
  </w:style>
  <w:style w:type="paragraph" w:customStyle="1" w:styleId="EPComma">
    <w:name w:val="EPComma"/>
    <w:basedOn w:val="Normal"/>
    <w:rsid w:val="00932A6A"/>
    <w:pPr>
      <w:spacing w:before="480" w:after="240"/>
    </w:pPr>
  </w:style>
  <w:style w:type="character" w:styleId="Hyperlink">
    <w:name w:val="Hyperlink"/>
    <w:basedOn w:val="DefaultParagraphFont"/>
    <w:rsid w:val="00932A6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B5E0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HU/ALL/?uri=CELEX:52020DC0641" TargetMode="External" /><Relationship Id="rId8" Type="http://schemas.openxmlformats.org/officeDocument/2006/relationships/hyperlink" Target="https://eur-lex.europa.eu/legal-content/HU/ALL/?uri=CELEX:52023DC0691" TargetMode="External" /><Relationship Id="rId9" Type="http://schemas.openxmlformats.org/officeDocument/2006/relationships/hyperlink" Target="https://eur-lex.europa.eu/legal-content/HU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HU/TXT/HTML/?uri=CELEX:22016A0316(01)" TargetMode="External" /><Relationship Id="rId2" Type="http://schemas.openxmlformats.org/officeDocument/2006/relationships/hyperlink" Target="https://eur-lex.europa.eu/legal-content/HU/TXT/HTML/?uri=CELEX:22017A0727(01)" TargetMode="External" /><Relationship Id="rId3" Type="http://schemas.openxmlformats.org/officeDocument/2006/relationships/hyperlink" Target="https://eur-lex.europa.eu/legal-content/HU/TXT/HTML/?uri=CELEX:32021R1529" TargetMode="External" /><Relationship Id="rId4" Type="http://schemas.openxmlformats.org/officeDocument/2006/relationships/hyperlink" Target="https://eur-lex.europa.eu/legal-content/HU/TXT/HTML/?uri=CELEX:32023R0850" TargetMode="External" /><Relationship Id="rId5" Type="http://schemas.openxmlformats.org/officeDocument/2006/relationships/hyperlink" Target="https://eur-lex.europa.eu/legal-content/HU/TXT/HTML/?uri=OJ:L_202401449" TargetMode="External" /><Relationship Id="rId6" Type="http://schemas.openxmlformats.org/officeDocument/2006/relationships/hyperlink" Target="https://eur-lex.europa.eu/legal-content/HU/TXT/HTML/?uri=OJ:L_202501161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6295</Words>
  <Characters>46525</Characters>
  <Application>Microsoft Office Word</Application>
  <DocSecurity>0</DocSecurity>
  <Lines>387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2026-06-22T08:03:00Z</dcterms:created>
  <dcterms:modified xsi:type="dcterms:W3CDTF">2026-06-22T08:03:00Z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P10_TA(2026)0220_</vt:lpwstr>
  </property>
  <property fmtid="{D5CDD505-2E9C-101B-9397-08002B2CF9AE}" pid="4" name="&lt;Type&gt;">
    <vt:lpwstr>RR</vt:lpwstr>
  </property>
</Properties>
</file>