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0D42A3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06F22" w:rsidP="0010095E" w14:paraId="59221FE8" w14:textId="77777777">
            <w:pPr>
              <w:pStyle w:val="EPName"/>
            </w:pPr>
            <w:r w:rsidRPr="00706F22">
              <w:t>Parlament Europejski</w:t>
            </w:r>
          </w:p>
          <w:p w:rsidR="00751A4A" w:rsidRPr="00706F22" w:rsidP="005F1B17" w14:paraId="0D2EEE2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6F22">
              <w:t>2024</w:t>
            </w:r>
            <w:r w:rsidRPr="00706F22" w:rsidR="00817416">
              <w:t>-202</w:t>
            </w:r>
            <w:r w:rsidRPr="00706F2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06F22" w:rsidP="0010095E" w14:paraId="5C735D6E" w14:textId="77777777">
            <w:pPr>
              <w:pStyle w:val="EPLogo"/>
            </w:pPr>
            <w:r w:rsidRPr="00706F2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06F22" w:rsidP="004C5D52" w14:paraId="76635C7C" w14:textId="77777777">
      <w:pPr>
        <w:pStyle w:val="LineTop"/>
      </w:pPr>
    </w:p>
    <w:p w:rsidR="00680577" w:rsidRPr="00706F22" w:rsidP="00680577" w14:paraId="5CDFF436" w14:textId="77777777">
      <w:pPr>
        <w:pStyle w:val="EPBodyTA1"/>
      </w:pPr>
      <w:r w:rsidRPr="00706F22">
        <w:t>TEKSTY PRZYJĘTE</w:t>
      </w:r>
    </w:p>
    <w:p w:rsidR="00D058B8" w:rsidRPr="00706F22" w:rsidP="00D058B8" w14:paraId="16A89C81" w14:textId="77777777">
      <w:pPr>
        <w:pStyle w:val="LineBottom"/>
      </w:pPr>
    </w:p>
    <w:p w:rsidR="001A6C2E" w:rsidRPr="00706F22" w:rsidP="001A6C2E" w14:paraId="5D88AF05" w14:textId="5DDA1D71">
      <w:pPr>
        <w:pStyle w:val="ATHeading1"/>
      </w:pPr>
      <w:bookmarkStart w:id="0" w:name="TANumber"/>
      <w:r w:rsidRPr="00706F22">
        <w:t>P10_TA(2026)0</w:t>
      </w:r>
      <w:r w:rsidR="00D612A9">
        <w:t>22</w:t>
      </w:r>
      <w:r w:rsidRPr="00706F22">
        <w:t>0</w:t>
      </w:r>
      <w:bookmarkEnd w:id="0"/>
    </w:p>
    <w:p w:rsidR="001A6C2E" w:rsidRPr="00614497" w:rsidP="001A6C2E" w14:paraId="5FAF2875" w14:textId="735B9C8F">
      <w:pPr>
        <w:pStyle w:val="ATHeading2"/>
      </w:pPr>
      <w:r w:rsidRPr="00614497">
        <w:rPr>
          <w:bCs/>
        </w:rPr>
        <w:t>Sprawozdanie Komisji dotyczące Kosowa – 2025 r.</w:t>
      </w:r>
    </w:p>
    <w:p w:rsidR="001A6C2E" w:rsidRPr="00706F22" w:rsidP="001A6C2E" w14:paraId="5DB001F2" w14:textId="77777777">
      <w:pPr>
        <w:rPr>
          <w:i/>
          <w:vanish/>
        </w:rPr>
      </w:pPr>
      <w:r>
        <w:rPr>
          <w:i/>
        </w:rPr>
        <w:fldChar w:fldCharType="begin"/>
      </w:r>
      <w:r w:rsidRPr="00706F22">
        <w:rPr>
          <w:i/>
        </w:rPr>
        <w:instrText xml:space="preserve"> TC"(</w:instrText>
      </w:r>
      <w:bookmarkStart w:id="1" w:name="DocNumber"/>
      <w:r w:rsidRPr="00706F22">
        <w:rPr>
          <w:i/>
        </w:rPr>
        <w:instrText>A10-0166/2026</w:instrText>
      </w:r>
      <w:bookmarkEnd w:id="1"/>
      <w:r w:rsidRPr="00706F22">
        <w:rPr>
          <w:i/>
        </w:rPr>
        <w:instrText xml:space="preserve"> - Sprawozdawca: </w:instrText>
      </w:r>
      <w:r w:rsidRPr="00706F22">
        <w:rPr>
          <w:i/>
        </w:rPr>
        <w:instrText>Riho</w:instrText>
      </w:r>
      <w:r w:rsidRPr="00706F22">
        <w:rPr>
          <w:i/>
        </w:rPr>
        <w:instrText xml:space="preserve"> </w:instrText>
      </w:r>
      <w:r w:rsidRPr="00706F22">
        <w:rPr>
          <w:i/>
        </w:rPr>
        <w:instrText>Terras</w:instrText>
      </w:r>
      <w:r w:rsidRPr="00706F2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A6C2E" w:rsidRPr="00706F22" w:rsidP="001A6C2E" w14:paraId="44477AE7" w14:textId="77777777">
      <w:pPr>
        <w:rPr>
          <w:vanish/>
        </w:rPr>
      </w:pPr>
      <w:bookmarkStart w:id="2" w:name="Commission"/>
      <w:r w:rsidRPr="00706F22">
        <w:rPr>
          <w:vanish/>
        </w:rPr>
        <w:t>Komisja Spraw Zagranicznych</w:t>
      </w:r>
      <w:bookmarkEnd w:id="2"/>
    </w:p>
    <w:p w:rsidR="001A6C2E" w:rsidRPr="00706F22" w:rsidP="001A6C2E" w14:paraId="0542CF88" w14:textId="77777777">
      <w:pPr>
        <w:rPr>
          <w:vanish/>
        </w:rPr>
      </w:pPr>
      <w:bookmarkStart w:id="3" w:name="PE"/>
      <w:r w:rsidRPr="00706F22">
        <w:rPr>
          <w:vanish/>
        </w:rPr>
        <w:t>PE784.231</w:t>
      </w:r>
      <w:bookmarkEnd w:id="3"/>
    </w:p>
    <w:p w:rsidR="001A6C2E" w:rsidRPr="00706F22" w:rsidP="001A6C2E" w14:paraId="6F203F30" w14:textId="70B6D7F6">
      <w:pPr>
        <w:pStyle w:val="ATHeading3"/>
      </w:pPr>
      <w:bookmarkStart w:id="4" w:name="Sujet"/>
      <w:r w:rsidRPr="00706F22">
        <w:t xml:space="preserve">Rezolucja Parlamentu Europejskiego z dnia </w:t>
      </w:r>
      <w:r w:rsidR="00614497">
        <w:t>17 czerwca</w:t>
      </w:r>
      <w:r w:rsidRPr="00706F22">
        <w:t xml:space="preserve"> 2026 r. w sprawie sprawozdania Komisji dotyczącego Kosowa – 2025 r.</w:t>
      </w:r>
      <w:bookmarkEnd w:id="4"/>
      <w:r w:rsidRPr="00706F22">
        <w:t xml:space="preserve"> </w:t>
      </w:r>
      <w:bookmarkStart w:id="5" w:name="References"/>
      <w:r w:rsidRPr="00706F22">
        <w:t>(2025/2252(INI))</w:t>
      </w:r>
      <w:bookmarkEnd w:id="5"/>
    </w:p>
    <w:p w:rsidR="00CE1B3F" w:rsidRPr="00706F22" w:rsidP="00CE1B3F" w14:paraId="575A6B13" w14:textId="77777777">
      <w:pPr>
        <w:pStyle w:val="EPComma"/>
      </w:pPr>
      <w:r w:rsidRPr="00706F22">
        <w:rPr>
          <w:i/>
        </w:rPr>
        <w:t>Parlament Europejski</w:t>
      </w:r>
      <w:r w:rsidRPr="00706F22">
        <w:t>,</w:t>
      </w:r>
    </w:p>
    <w:p w:rsidR="00CE1B3F" w:rsidRPr="00706F22" w:rsidP="00CE1B3F" w14:paraId="42CA8BD2" w14:textId="77777777">
      <w:pPr>
        <w:pStyle w:val="NormalHanging12a"/>
      </w:pPr>
      <w:r w:rsidRPr="00706F22">
        <w:t>–</w:t>
      </w:r>
      <w:r w:rsidRPr="00706F22">
        <w:tab/>
        <w:t>uwzględniając Układ o stabilizacji i stowarzyszeniu między Unią Europejską i Europejską Wspólnotą Energii Atomowej, z jednej strony, a Kosowem, z drugiej strony</w:t>
      </w:r>
      <w:r>
        <w:rPr>
          <w:rStyle w:val="FootnoteReference"/>
        </w:rPr>
        <w:footnoteReference w:id="2"/>
      </w:r>
      <w:r w:rsidRPr="00706F22">
        <w:t>, który wszedł w życie 1 kwietnia 2016 r.,</w:t>
      </w:r>
    </w:p>
    <w:p w:rsidR="00CE1B3F" w:rsidRPr="00706F22" w:rsidP="00CE1B3F" w14:paraId="6F62E1E9" w14:textId="77777777">
      <w:pPr>
        <w:pStyle w:val="NormalHanging12a"/>
      </w:pPr>
      <w:r w:rsidRPr="00706F22">
        <w:t>–</w:t>
      </w:r>
      <w:r w:rsidRPr="00706F22">
        <w:tab/>
        <w:t>uwzględniając wniosek Kosowa o członkostwo w Unii Europejskiej, złożony 15 grudnia 2022 r.,</w:t>
      </w:r>
    </w:p>
    <w:p w:rsidR="00CE1B3F" w:rsidRPr="00706F22" w:rsidP="00CE1B3F" w14:paraId="3F8193B1" w14:textId="77777777">
      <w:pPr>
        <w:pStyle w:val="NormalHanging12a"/>
      </w:pPr>
      <w:r w:rsidRPr="00706F22">
        <w:t>–</w:t>
      </w:r>
      <w:r w:rsidRPr="00706F22">
        <w:tab/>
        <w:t>uwzględniając wniosek Kosowa o członkostwo w Radzie Europy, złożony 12 maja 2022 r.,</w:t>
      </w:r>
    </w:p>
    <w:p w:rsidR="00CE1B3F" w:rsidRPr="00706F22" w:rsidP="00CE1B3F" w14:paraId="690BC471" w14:textId="77777777">
      <w:pPr>
        <w:pStyle w:val="NormalHanging12a"/>
      </w:pPr>
      <w:r w:rsidRPr="00706F22">
        <w:t>–</w:t>
      </w:r>
      <w:r w:rsidRPr="00706F22">
        <w:tab/>
        <w:t>uwzględniając Umowę ramową między Unią Europejską a Kosowem dotyczącą ogólnych zasad uczestnictwa Kosowa w programach unijnych</w:t>
      </w:r>
      <w:r>
        <w:rPr>
          <w:rStyle w:val="FootnoteReference"/>
        </w:rPr>
        <w:footnoteReference w:id="3"/>
      </w:r>
      <w:r w:rsidRPr="00706F22">
        <w:t>, która obowiązuje od 1 sierpnia 2017 r.,</w:t>
      </w:r>
    </w:p>
    <w:p w:rsidR="00CE1B3F" w:rsidRPr="00706F22" w:rsidP="00CE1B3F" w14:paraId="037C0669" w14:textId="77777777">
      <w:pPr>
        <w:pStyle w:val="NormalHanging12a"/>
      </w:pPr>
      <w:r w:rsidRPr="00706F22">
        <w:t>–</w:t>
      </w:r>
      <w:r w:rsidRPr="00706F22">
        <w:tab/>
        <w:t>uwzględniając rozporządzenie Parlamentu Europejskiego i Rady (UE) 2021/1529 z dnia 15 września 2021 r. ustanawiające Instrument Pomocy Przedakcesyjnej (IPA III)</w:t>
      </w:r>
      <w:r>
        <w:rPr>
          <w:rStyle w:val="FootnoteReference"/>
        </w:rPr>
        <w:footnoteReference w:id="4"/>
      </w:r>
      <w:r w:rsidRPr="00706F22">
        <w:t>,</w:t>
      </w:r>
    </w:p>
    <w:p w:rsidR="00CE1B3F" w:rsidRPr="00706F22" w:rsidP="00CE1B3F" w14:paraId="480E9813" w14:textId="77777777">
      <w:pPr>
        <w:pStyle w:val="NormalHanging12a"/>
      </w:pPr>
      <w:r w:rsidRPr="00706F22">
        <w:t>–</w:t>
      </w:r>
      <w:r w:rsidRPr="00706F22">
        <w:tab/>
        <w:t>uwzględniając rozporządzenie Parlamentu Europejskiego i Rady (UE) 2023/850 z dnia 19 kwietnia 2023 r. w sprawie zmiany rozporządzenia (UE) 2018/1806 wymieniającego państwa trzecie, których obywatele muszą posiadać wizy podczas przekraczania granic zewnętrznych, oraz te, których obywatele są zwolnieni z tego wymogu</w:t>
      </w:r>
      <w:r>
        <w:rPr>
          <w:rStyle w:val="FootnoteReference"/>
        </w:rPr>
        <w:footnoteReference w:id="5"/>
      </w:r>
      <w:r w:rsidRPr="00706F22">
        <w:t xml:space="preserve">, w odniesieniu do Kosowa, dopuszczające ruch bezwizowy dla posiadaczy kosowskich paszportów </w:t>
      </w:r>
      <w:r w:rsidRPr="00706F22">
        <w:t>biometrycznych od 1 stycznia 2024 r.,</w:t>
      </w:r>
    </w:p>
    <w:p w:rsidR="00CE1B3F" w:rsidRPr="00706F22" w:rsidP="00CE1B3F" w14:paraId="72ECF800" w14:textId="77777777">
      <w:pPr>
        <w:pStyle w:val="NormalHanging12a"/>
      </w:pPr>
      <w:r w:rsidRPr="00706F22">
        <w:t>–</w:t>
      </w:r>
      <w:r w:rsidRPr="00706F22">
        <w:tab/>
        <w:t>uwzględniając rozporządzenie Parlamentu Europejskiego i Rady (UE) 2024/1449 z dnia 14 maja 2024 r. w sprawie ustanowienia Instrumentu Wsparcia Reform i Wzrostu Gospodarczego na Bałkanach Zachodnich</w:t>
      </w:r>
      <w:r>
        <w:rPr>
          <w:rStyle w:val="FootnoteReference"/>
        </w:rPr>
        <w:footnoteReference w:id="6"/>
      </w:r>
      <w:r w:rsidRPr="00706F22">
        <w:t>,</w:t>
      </w:r>
    </w:p>
    <w:p w:rsidR="00CE1B3F" w:rsidRPr="00706F22" w:rsidP="00CE1B3F" w14:paraId="07F315CF" w14:textId="77777777">
      <w:pPr>
        <w:pStyle w:val="NormalHanging12a"/>
      </w:pPr>
      <w:r w:rsidRPr="00706F22">
        <w:t>–</w:t>
      </w:r>
      <w:r w:rsidRPr="00706F22">
        <w:tab/>
        <w:t>uwzględniając konkluzje prezydencji z posiedzenia Rady Europejskiej w Salonikach w dniach 19–20 czerwca 2003 r.,</w:t>
      </w:r>
    </w:p>
    <w:p w:rsidR="00CE1B3F" w:rsidRPr="00706F22" w:rsidP="00CE1B3F" w14:paraId="139858C7" w14:textId="77777777">
      <w:pPr>
        <w:pStyle w:val="NormalHanging12a"/>
      </w:pPr>
      <w:r w:rsidRPr="00706F22">
        <w:t>–</w:t>
      </w:r>
      <w:r w:rsidRPr="00706F22">
        <w:tab/>
        <w:t xml:space="preserve">uwzględniając szczyty UE–Bałkany Zachodnie, które odbyły się w Sofii, Zagrzebiu i Brdzie </w:t>
      </w:r>
      <w:r w:rsidRPr="00706F22">
        <w:t>pri</w:t>
      </w:r>
      <w:r w:rsidRPr="00706F22">
        <w:t xml:space="preserve"> </w:t>
      </w:r>
      <w:r w:rsidRPr="00706F22">
        <w:t>Kranju</w:t>
      </w:r>
      <w:r w:rsidRPr="00706F22">
        <w:t> w latach 2018, 2020 i 2021, oraz deklaracje z tych szczytów,</w:t>
      </w:r>
    </w:p>
    <w:p w:rsidR="00CE1B3F" w:rsidRPr="00706F22" w:rsidP="00CE1B3F" w14:paraId="56929512" w14:textId="77777777">
      <w:pPr>
        <w:pStyle w:val="NormalHanging12a"/>
      </w:pPr>
      <w:r w:rsidRPr="00706F22">
        <w:t>–</w:t>
      </w:r>
      <w:r w:rsidRPr="00706F22">
        <w:tab/>
        <w:t>uwzględniając spotkanie przywódców państw Bałkanów Zachodnich w sprawie planu wzrostu gospodarczego dla Bałkanów Zachodnich, które odbyło się 1 lipca 2025 r. w Skopje (Macedonia Północna),</w:t>
      </w:r>
    </w:p>
    <w:p w:rsidR="00CE1B3F" w:rsidRPr="00706F22" w:rsidP="00CE1B3F" w14:paraId="506DB804" w14:textId="77777777">
      <w:pPr>
        <w:pStyle w:val="NormalHanging12a"/>
      </w:pPr>
      <w:r w:rsidRPr="00706F22">
        <w:t>–</w:t>
      </w:r>
      <w:r w:rsidRPr="00706F22">
        <w:tab/>
        <w:t>uwzględniając deklarację przyjętą 17 grudnia 2025 r. podczas szczytu UE–Bałkany Zachodnie,</w:t>
      </w:r>
    </w:p>
    <w:p w:rsidR="00CE1B3F" w:rsidRPr="00706F22" w:rsidP="00CE1B3F" w14:paraId="1C39618C" w14:textId="5494ECE9">
      <w:pPr>
        <w:pStyle w:val="NormalHanging12a"/>
      </w:pPr>
      <w:r w:rsidRPr="00706F22">
        <w:t>–</w:t>
      </w:r>
      <w:r w:rsidRPr="00706F22">
        <w:tab/>
        <w:t xml:space="preserve">uwzględniając konkluzje prezydencji z </w:t>
      </w:r>
      <w:r w:rsidRPr="00706F22" w:rsidR="00614497">
        <w:t xml:space="preserve">dnia </w:t>
      </w:r>
      <w:r w:rsidRPr="00706F22">
        <w:t>16 grudnia 2025 r. w sprawie rozszerzenia,</w:t>
      </w:r>
    </w:p>
    <w:p w:rsidR="00CE1B3F" w:rsidRPr="00706F22" w:rsidP="00CE1B3F" w14:paraId="60600782" w14:textId="77777777">
      <w:pPr>
        <w:pStyle w:val="NormalHanging12a"/>
      </w:pPr>
      <w:r w:rsidRPr="00706F22">
        <w:t>–</w:t>
      </w:r>
      <w:r w:rsidRPr="00706F22">
        <w:tab/>
        <w:t>uwzględniając proces berliński zapoczątkowany 28 sierpnia 2014 r.,</w:t>
      </w:r>
    </w:p>
    <w:p w:rsidR="00CE1B3F" w:rsidRPr="00706F22" w:rsidP="00CE1B3F" w14:paraId="5F0CE349" w14:textId="77777777">
      <w:pPr>
        <w:pStyle w:val="NormalHanging12a"/>
      </w:pPr>
      <w:r w:rsidRPr="00706F22">
        <w:t>–</w:t>
      </w:r>
      <w:r w:rsidRPr="00706F22">
        <w:tab/>
        <w:t>uwzględniając wnioski przewodniczącego ze szczytu w sprawie procesu berlińskiego, który odbył się 22 października 2025 r.,</w:t>
      </w:r>
    </w:p>
    <w:p w:rsidR="00CE1B3F" w:rsidRPr="00706F22" w:rsidP="00CE1B3F" w14:paraId="0C78584A" w14:textId="70519469">
      <w:pPr>
        <w:pStyle w:val="NormalHanging12a"/>
      </w:pPr>
      <w:r w:rsidRPr="00706F22">
        <w:t>–</w:t>
      </w:r>
      <w:r w:rsidRPr="00706F22">
        <w:tab/>
        <w:t xml:space="preserve">uwzględniając komunikat Komisji z </w:t>
      </w:r>
      <w:r w:rsidRPr="00706F22" w:rsidR="00614497">
        <w:t xml:space="preserve">dnia </w:t>
      </w:r>
      <w:r w:rsidRPr="00706F22">
        <w:t>6 października 2020 r. pt. „Plan gospodarczo-inwestycyjny dla Bałkanów Zachodnich” (</w:t>
      </w:r>
      <w:hyperlink r:id="rId7" w:tgtFrame="https://eur-lex.europa.eu/legal-content/EN/ALL/?uri=CELEX:52020DC0641" w:history="1">
        <w:r w:rsidRPr="00706F22">
          <w:t>COM(</w:t>
        </w:r>
        <w:r w:rsidRPr="00706F22">
          <w:t>2020)0641</w:t>
        </w:r>
      </w:hyperlink>
      <w:r w:rsidRPr="00706F22">
        <w:t>),</w:t>
      </w:r>
    </w:p>
    <w:p w:rsidR="00CE1B3F" w:rsidRPr="00706F22" w:rsidP="00CE1B3F" w14:paraId="7FDFD084" w14:textId="04B78452">
      <w:pPr>
        <w:pStyle w:val="NormalHanging12a"/>
      </w:pPr>
      <w:r w:rsidRPr="00706F22">
        <w:t>–</w:t>
      </w:r>
      <w:r w:rsidRPr="00706F22">
        <w:tab/>
        <w:t xml:space="preserve">uwzględniając komunikat Komisji z </w:t>
      </w:r>
      <w:r w:rsidRPr="00706F22" w:rsidR="00614497">
        <w:t xml:space="preserve">dnia </w:t>
      </w:r>
      <w:r w:rsidRPr="00706F22">
        <w:t>8 listopada 2023 r. pt. „Nowy plan wzrostu gospodarczego dla Bałkanów Zachodnich” (</w:t>
      </w:r>
      <w:hyperlink r:id="rId8" w:tgtFrame="https://eur-lex.europa.eu/legal-content/EN/ALL/?uri=CELEX:52023DC0691" w:history="1">
        <w:r w:rsidRPr="00706F22">
          <w:t>COM(</w:t>
        </w:r>
        <w:r w:rsidRPr="00706F22">
          <w:t>2023)0691</w:t>
        </w:r>
      </w:hyperlink>
      <w:r w:rsidRPr="00706F22">
        <w:t>),</w:t>
      </w:r>
    </w:p>
    <w:p w:rsidR="00CE1B3F" w:rsidRPr="00706F22" w:rsidP="00CE1B3F" w14:paraId="484F5CA7" w14:textId="0F5C0127">
      <w:pPr>
        <w:pStyle w:val="NormalHanging12a"/>
      </w:pPr>
      <w:r w:rsidRPr="00706F22">
        <w:t>–</w:t>
      </w:r>
      <w:r w:rsidRPr="00706F22">
        <w:tab/>
        <w:t xml:space="preserve">uwzględniając komunikat Komisji z </w:t>
      </w:r>
      <w:r w:rsidRPr="00706F22" w:rsidR="00614497">
        <w:t xml:space="preserve">dnia </w:t>
      </w:r>
      <w:r w:rsidRPr="00706F22">
        <w:t>20 marca 2024 r. w sprawie reform poprzedzających rozszerzenie oraz przeglądów polityki (</w:t>
      </w:r>
      <w:hyperlink r:id="rId9" w:tgtFrame="https://eur-lex.europa.eu/legal-content/EN/ALL/?uri=CELEX:52024DC0146" w:history="1">
        <w:r w:rsidRPr="00706F22">
          <w:t>COM(</w:t>
        </w:r>
        <w:r w:rsidRPr="00706F22">
          <w:t>2024)0146</w:t>
        </w:r>
      </w:hyperlink>
      <w:r w:rsidRPr="00706F22">
        <w:t>),</w:t>
      </w:r>
    </w:p>
    <w:p w:rsidR="00CE1B3F" w:rsidRPr="00706F22" w:rsidP="00CE1B3F" w14:paraId="27A24085" w14:textId="57A4F3F5">
      <w:pPr>
        <w:pStyle w:val="NormalHanging12a"/>
      </w:pPr>
      <w:r w:rsidRPr="00706F22">
        <w:t>–</w:t>
      </w:r>
      <w:r w:rsidRPr="00706F22">
        <w:tab/>
        <w:t>uwzględniając komunikat Komisji z </w:t>
      </w:r>
      <w:r w:rsidRPr="00706F22" w:rsidR="00614497">
        <w:t xml:space="preserve">dnia </w:t>
      </w:r>
      <w:r w:rsidRPr="00706F22">
        <w:t>4 listopada 2025 r. pt. „Komunikat z 2025 r. w sprawie polityki rozszerzenia UE” (</w:t>
      </w:r>
      <w:r w:rsidRPr="00706F22">
        <w:t>COM(</w:t>
      </w:r>
      <w:r w:rsidRPr="00706F22">
        <w:t>2025)0690), któremu towarzyszy dokument roboczy służb Komisji pt. „Sprawozdanie za rok 2025 dotyczące Kosowa” (SWD(2025)0752),</w:t>
      </w:r>
    </w:p>
    <w:p w:rsidR="00CE1B3F" w:rsidRPr="00706F22" w:rsidP="00CE1B3F" w14:paraId="1691FD98" w14:textId="77777777">
      <w:pPr>
        <w:pStyle w:val="NormalHanging12a"/>
      </w:pPr>
      <w:r w:rsidRPr="00706F22">
        <w:t>–</w:t>
      </w:r>
      <w:r w:rsidRPr="00706F22">
        <w:tab/>
        <w:t>uwzględniając Traktat o Wspólnocie Energetycznej, podpisany w Atenach 25 października 2005 r., którego celem jest rozszerzenie zasad wewnętrznego rynku energii UE na Europę Południowo-Wschodnią,</w:t>
      </w:r>
    </w:p>
    <w:p w:rsidR="00CE1B3F" w:rsidRPr="00706F22" w:rsidP="00CE1B3F" w14:paraId="79BA6A6F" w14:textId="77777777">
      <w:pPr>
        <w:pStyle w:val="NormalHanging12a"/>
      </w:pPr>
      <w:r w:rsidRPr="00706F22">
        <w:t>–</w:t>
      </w:r>
      <w:r w:rsidRPr="00706F22">
        <w:tab/>
        <w:t xml:space="preserve">uwzględniając rezolucję Rady Bezpieczeństwa ONZ nr 1244 z dnia 10 czerwca 1999 r., opinię doradczą Międzynarodowego Trybunału Sprawiedliwości (MTS) z dnia 22 lipca 2010 r. w sprawie kwestii zgodności jednostronnej deklaracji niepodległości Kosowa z prawem międzynarodowym oraz rezolucję Zgromadzenia Ogólnego ONZ nr 64/298 z dnia 9 września 2010 r., w której uznano treść opinii MTS i z zadowoleniem przyjęto </w:t>
      </w:r>
      <w:r w:rsidRPr="00706F22">
        <w:t>gotowość UE do ułatwienia dialogu między Serbią a Kosowem,</w:t>
      </w:r>
    </w:p>
    <w:p w:rsidR="00CE1B3F" w:rsidRPr="00706F22" w:rsidP="00CE1B3F" w14:paraId="7F9229B1" w14:textId="77777777">
      <w:pPr>
        <w:pStyle w:val="NormalHanging12a"/>
      </w:pPr>
      <w:r w:rsidRPr="00706F22">
        <w:t>–</w:t>
      </w:r>
      <w:r w:rsidRPr="00706F22">
        <w:tab/>
        <w:t>uwzględniając stałe dostosowywanie się Kosowa do wspólnej polityki zagranicznej i bezpieczeństwa UE,</w:t>
      </w:r>
    </w:p>
    <w:p w:rsidR="00CE1B3F" w:rsidRPr="00706F22" w:rsidP="00CE1B3F" w14:paraId="255677CB" w14:textId="6E2FE015">
      <w:pPr>
        <w:pStyle w:val="NormalHanging12a"/>
      </w:pPr>
      <w:r w:rsidRPr="00706F22">
        <w:t>–</w:t>
      </w:r>
      <w:r w:rsidRPr="00706F22">
        <w:tab/>
        <w:t>uwzględniając pierwsze porozumienie w sprawie zasad dotyczących normalizacji stosunków między Serbią i Kosowem z </w:t>
      </w:r>
      <w:r w:rsidRPr="00706F22" w:rsidR="00614497">
        <w:t xml:space="preserve">dnia </w:t>
      </w:r>
      <w:r w:rsidRPr="00706F22">
        <w:t>19 kwietnia 2013 r., porozumienia z 25 sierpnia 2015 r. oraz bieżący dialog wspierany przez UE, który ma na celu normalizację stosunków,</w:t>
      </w:r>
    </w:p>
    <w:p w:rsidR="00CE1B3F" w:rsidRPr="00706F22" w:rsidP="00CE1B3F" w14:paraId="013E7068" w14:textId="3DB47CEA">
      <w:pPr>
        <w:pStyle w:val="NormalHanging12a"/>
      </w:pPr>
      <w:r w:rsidRPr="00706F22">
        <w:t>–</w:t>
      </w:r>
      <w:r w:rsidRPr="00706F22">
        <w:tab/>
        <w:t xml:space="preserve">uwzględniając porozumienie brukselskie z </w:t>
      </w:r>
      <w:r w:rsidRPr="00706F22" w:rsidR="00614497">
        <w:t xml:space="preserve">dnia </w:t>
      </w:r>
      <w:r w:rsidRPr="00706F22">
        <w:t>27 lutego 2023 r. i umowę z Ochrydy z 18 marca 2023 r. oraz załącznik realizacyjny do niej,</w:t>
      </w:r>
    </w:p>
    <w:p w:rsidR="00CE1B3F" w:rsidRPr="00706F22" w:rsidP="00CE1B3F" w14:paraId="536AE819" w14:textId="77777777">
      <w:pPr>
        <w:pStyle w:val="NormalHanging12a"/>
      </w:pPr>
      <w:r w:rsidRPr="00706F22">
        <w:t>–</w:t>
      </w:r>
      <w:r w:rsidRPr="00706F22">
        <w:tab/>
        <w:t>uwzględniając stałą obecność i mandat sił pokojowych pod dowództwem NATO w Kosowie, które nadal pomagają utrzymać bezpieczeństwo i swobodę przemieszczania się w Kosowie,</w:t>
      </w:r>
    </w:p>
    <w:p w:rsidR="00CE1B3F" w:rsidRPr="00706F22" w:rsidP="00CE1B3F" w14:paraId="4756E844" w14:textId="77777777">
      <w:pPr>
        <w:pStyle w:val="NormalHanging12a"/>
      </w:pPr>
      <w:r w:rsidRPr="00706F22">
        <w:t>–</w:t>
      </w:r>
      <w:r w:rsidRPr="00706F22">
        <w:tab/>
        <w:t>uwzględniając decyzję Rady (</w:t>
      </w:r>
      <w:r w:rsidRPr="00706F22">
        <w:t>WPZiB</w:t>
      </w:r>
      <w:r w:rsidRPr="00706F22">
        <w:t>) 2025/1161 z dnia 5 czerwca 2025 r. zmieniającą wspólne działanie 2008/124/</w:t>
      </w:r>
      <w:r w:rsidRPr="00706F22">
        <w:t>WPZiB</w:t>
      </w:r>
      <w:r w:rsidRPr="00706F22">
        <w:t xml:space="preserve"> w sprawie misji Unii Europejskiej w zakresie praworządności w Kosowie, EULEX Kosowo</w:t>
      </w:r>
      <w:r>
        <w:rPr>
          <w:rStyle w:val="FootnoteReference"/>
        </w:rPr>
        <w:footnoteReference w:id="7"/>
      </w:r>
      <w:r w:rsidRPr="00706F22">
        <w:t>, która wydłużyła mandat misji do 14 czerwca 2027 r.,</w:t>
      </w:r>
    </w:p>
    <w:p w:rsidR="00CE1B3F" w:rsidRPr="00706F22" w:rsidP="00CE1B3F" w14:paraId="6C194E32" w14:textId="77777777">
      <w:pPr>
        <w:pStyle w:val="NormalHanging12a"/>
      </w:pPr>
      <w:r w:rsidRPr="00706F22">
        <w:t>–</w:t>
      </w:r>
      <w:r w:rsidRPr="00706F22">
        <w:tab/>
        <w:t>uwzględniając sprawozdanie końcowe misji obserwacji wyborów z ramienia Unii Europejskiej w sprawie wyborów parlamentarnych, które odbyły się w Kosowie w 2025 r.,</w:t>
      </w:r>
    </w:p>
    <w:p w:rsidR="00CE1B3F" w:rsidRPr="00706F22" w:rsidP="00CE1B3F" w14:paraId="21D9B7AC" w14:textId="77777777">
      <w:pPr>
        <w:pStyle w:val="NormalHanging12a"/>
      </w:pPr>
      <w:r w:rsidRPr="00706F22">
        <w:t>–</w:t>
      </w:r>
      <w:r w:rsidRPr="00706F22">
        <w:tab/>
        <w:t>uwzględniając swoje poprzednie rezolucje w sprawie Kosowa,</w:t>
      </w:r>
    </w:p>
    <w:p w:rsidR="00CE1B3F" w:rsidRPr="00706F22" w:rsidP="00CE1B3F" w14:paraId="3867FD5A" w14:textId="77777777">
      <w:pPr>
        <w:pStyle w:val="NormalHanging12a"/>
      </w:pPr>
      <w:r w:rsidRPr="00706F22">
        <w:t>–</w:t>
      </w:r>
      <w:r w:rsidRPr="00706F22">
        <w:tab/>
        <w:t xml:space="preserve">uwzględniając wspólne rekomendacje przyjęte na 12. posiedzeniu Parlamentarnego Komitetu Stabilizacji i Stowarzyszenia UE–Kosowo, które odbyło się 9 grudnia 2024 r., </w:t>
      </w:r>
    </w:p>
    <w:p w:rsidR="00CE1B3F" w:rsidRPr="00706F22" w:rsidP="00CE1B3F" w14:paraId="086F448F" w14:textId="77777777">
      <w:pPr>
        <w:pStyle w:val="NormalHanging12a"/>
      </w:pPr>
      <w:r w:rsidRPr="00706F22">
        <w:t>–</w:t>
      </w:r>
      <w:r w:rsidRPr="00706F22">
        <w:tab/>
        <w:t xml:space="preserve">uwzględniając wskaźnik postrzegania korupcji z 2025 r. opublikowany przez </w:t>
      </w:r>
      <w:r w:rsidRPr="00706F22">
        <w:t>Transparency</w:t>
      </w:r>
      <w:r w:rsidRPr="00706F22">
        <w:t xml:space="preserve"> International,</w:t>
      </w:r>
    </w:p>
    <w:p w:rsidR="00CE1B3F" w:rsidRPr="00706F22" w:rsidP="00CE1B3F" w14:paraId="2FA5D3C7" w14:textId="77777777">
      <w:pPr>
        <w:pStyle w:val="NormalHanging12a"/>
      </w:pPr>
      <w:r w:rsidRPr="00706F22">
        <w:t>–</w:t>
      </w:r>
      <w:r w:rsidRPr="00706F22">
        <w:tab/>
        <w:t>uwzględniając światowy ranking wolności prasy za 2025 r. przygotowany przez Reporterów bez Granic,</w:t>
      </w:r>
    </w:p>
    <w:p w:rsidR="00CE1B3F" w:rsidRPr="00706F22" w:rsidP="00CE1B3F" w14:paraId="07BA4B1E" w14:textId="77777777">
      <w:pPr>
        <w:pStyle w:val="NormalHanging12a"/>
        <w:rPr>
          <w:i/>
        </w:rPr>
      </w:pPr>
      <w:r w:rsidRPr="00706F22">
        <w:rPr>
          <w:i/>
        </w:rPr>
        <w:t>–</w:t>
      </w:r>
      <w:r w:rsidRPr="00706F22">
        <w:rPr>
          <w:i/>
        </w:rPr>
        <w:tab/>
      </w:r>
      <w:r w:rsidRPr="00706F22">
        <w:t>uwzględniając misję informacyjną Platformy ds. Bezpieczeństwa Dziennikarzy Rady Europy w Prisztinie w dniach 24–25 marca 2026 r.,</w:t>
      </w:r>
    </w:p>
    <w:p w:rsidR="00CE1B3F" w:rsidRPr="00706F22" w:rsidP="00CE1B3F" w14:paraId="10E07EDD" w14:textId="77777777">
      <w:pPr>
        <w:pStyle w:val="NormalHanging12a"/>
      </w:pPr>
      <w:r w:rsidRPr="00706F22">
        <w:t>–</w:t>
      </w:r>
      <w:r w:rsidRPr="00706F22">
        <w:tab/>
        <w:t>uwzględniając art. 55 Regulaminu,</w:t>
      </w:r>
    </w:p>
    <w:p w:rsidR="00CE1B3F" w:rsidRPr="00706F22" w:rsidP="00CE1B3F" w14:paraId="0F6FAA45" w14:textId="77777777">
      <w:pPr>
        <w:pStyle w:val="NormalHanging12a"/>
      </w:pPr>
      <w:r w:rsidRPr="00706F22">
        <w:t>–</w:t>
      </w:r>
      <w:r w:rsidRPr="00706F22">
        <w:tab/>
        <w:t xml:space="preserve">uwzględniając sprawozdanie Komisji Spraw Zagranicznych (A10-0166/2026), </w:t>
      </w:r>
    </w:p>
    <w:p w:rsidR="00CE1B3F" w:rsidRPr="00706F22" w:rsidP="00CE1B3F" w14:paraId="49E3E591" w14:textId="77777777">
      <w:pPr>
        <w:pStyle w:val="NormalHanging12a"/>
      </w:pPr>
      <w:bookmarkStart w:id="6" w:name="_Hlk222084676"/>
      <w:r w:rsidRPr="00706F22">
        <w:t>A.</w:t>
      </w:r>
      <w:r w:rsidRPr="00706F22">
        <w:tab/>
        <w:t>mając na uwadze, że polityka rozszerzenia jest jednym z najskuteczniejszych instrumentów polityki zagranicznej UE i jedną z najskuteczniejszych strategii politycznych motywujących i zachęcających do podstawowych reform w krajach objętych procesem rozszerzenia i wspierających je, a także strategiczną inwestycją geopolityczną w długotrwały pokój, stabilność i bezpieczeństwo na kontynencie;</w:t>
      </w:r>
    </w:p>
    <w:p w:rsidR="00CE1B3F" w:rsidRPr="00706F22" w:rsidP="00CE1B3F" w14:paraId="46EAD6F9" w14:textId="77777777">
      <w:pPr>
        <w:pStyle w:val="NormalHanging12a"/>
      </w:pPr>
      <w:r w:rsidRPr="00706F22">
        <w:t>B.</w:t>
      </w:r>
      <w:r w:rsidRPr="00706F22">
        <w:tab/>
        <w:t>mając na uwadze, że demokracja, prawa człowieka i praworządność są podstawowymi wartościami, na których opiera się UE; mając na uwadze, że proces rozszerzenia nie może się odbywać kosztem tych podstawowych wartości;</w:t>
      </w:r>
    </w:p>
    <w:p w:rsidR="00CE1B3F" w:rsidRPr="00706F22" w:rsidP="00CE1B3F" w14:paraId="3A45EC7E" w14:textId="77777777">
      <w:pPr>
        <w:pStyle w:val="NormalHanging12a"/>
        <w:rPr>
          <w:szCs w:val="24"/>
        </w:rPr>
      </w:pPr>
      <w:r w:rsidRPr="00706F22">
        <w:t>C.</w:t>
      </w:r>
      <w:r w:rsidRPr="00706F22">
        <w:tab/>
        <w:t>mając na uwadze, że konstytucja Republiki Kosowa jest jedną z najbardziej postępowych pod względem praw mniejszości;</w:t>
      </w:r>
    </w:p>
    <w:p w:rsidR="00CE1B3F" w:rsidRPr="00706F22" w:rsidP="00CE1B3F" w14:paraId="278E760A" w14:textId="77777777">
      <w:pPr>
        <w:pStyle w:val="NormalHanging12a"/>
        <w:rPr>
          <w:b/>
        </w:rPr>
      </w:pPr>
      <w:r w:rsidRPr="00706F22">
        <w:t>D.</w:t>
      </w:r>
      <w:r w:rsidRPr="00706F22">
        <w:tab/>
        <w:t>mając na uwadze, że każdy kraj objęty procesem rozszerzenia jest oceniany wyłącznie na podstawie własnych osiągnięć; mając na uwadze, że harmonogram i zaawansowanie procesu akcesyjnego zależą od wdrożenia niezbędnych reform i zgodności z zestawem kryteriów i wspólnych wartości europejskich;</w:t>
      </w:r>
      <w:r w:rsidRPr="00706F22">
        <w:rPr>
          <w:b/>
        </w:rPr>
        <w:t xml:space="preserve"> </w:t>
      </w:r>
      <w:r w:rsidRPr="00706F22">
        <w:t>mając na uwadze, że proces akcesyjny nie może być kontynuowany bez wdrożenia niezbędnych reform;</w:t>
      </w:r>
    </w:p>
    <w:p w:rsidR="00CE1B3F" w:rsidRPr="00706F22" w:rsidP="00CE1B3F" w14:paraId="1F53366D" w14:textId="77777777">
      <w:pPr>
        <w:pStyle w:val="NormalHanging12a"/>
      </w:pPr>
      <w:r w:rsidRPr="00706F22">
        <w:t>E.</w:t>
      </w:r>
      <w:r w:rsidRPr="00706F22">
        <w:tab/>
        <w:t>mając na uwadze, że droga Kosowa do członkostwa w UE zależy także od normalizacji stosunków z Serbią oraz od utrzymywania dobrych stosunków sąsiedzkich;</w:t>
      </w:r>
    </w:p>
    <w:p w:rsidR="00CE1B3F" w:rsidRPr="00706F22" w:rsidP="00CE1B3F" w14:paraId="565BB070" w14:textId="77777777">
      <w:pPr>
        <w:pStyle w:val="NormalHanging12a"/>
      </w:pPr>
      <w:r w:rsidRPr="00706F22">
        <w:t>F.</w:t>
      </w:r>
      <w:r w:rsidRPr="00706F22">
        <w:tab/>
        <w:t>mając na uwadze, że ochrona integralności procesów demokratycznych stała się centralnym elementem polityki rozszerzenia UE; mając na uwadze, że Kosowo padło ofiarą obcych ingerencji i kampanii dezinformacyjnych, zwłaszcza ze strony Rosji, w tym za pośrednictwem serbskich nacjonalistycznych mediów, których celem była destabilizacja instytucji demokratycznych, podważanie spójności społecznej i utrudnianie integracji Kosowa z Unią Europejską; mając na uwadze, że wzmocnienie odporności demokratycznej stanowi integralną część spełnienia politycznych kryteriów przystąpienia;</w:t>
      </w:r>
    </w:p>
    <w:p w:rsidR="00CE1B3F" w:rsidRPr="00706F22" w:rsidP="00CE1B3F" w14:paraId="168CA569" w14:textId="77777777">
      <w:pPr>
        <w:pStyle w:val="NormalHanging12a"/>
        <w:rPr>
          <w:bCs/>
        </w:rPr>
      </w:pPr>
      <w:r w:rsidRPr="00706F22">
        <w:t>G.</w:t>
      </w:r>
      <w:r w:rsidRPr="00706F22">
        <w:tab/>
        <w:t>mając na uwadze, że wbrew ogólnej linii europejskiej Cypr, Grecja, Hiszpania, Rumunia i Słowacja nie uznały jeszcze niepodległości Kosowa;</w:t>
      </w:r>
    </w:p>
    <w:p w:rsidR="00CE1B3F" w:rsidRPr="00706F22" w:rsidP="00CE1B3F" w14:paraId="2CB27620" w14:textId="77777777">
      <w:pPr>
        <w:pStyle w:val="NormalHanging12a"/>
        <w:rPr>
          <w:b/>
          <w:bCs/>
        </w:rPr>
      </w:pPr>
      <w:r w:rsidRPr="00706F22">
        <w:rPr>
          <w:b/>
          <w:i/>
        </w:rPr>
        <w:t>Zaangażowanie na rzecz przystąpienia do UE</w:t>
      </w:r>
    </w:p>
    <w:p w:rsidR="00CE1B3F" w:rsidRPr="00706F22" w:rsidP="00CE1B3F" w14:paraId="556A8051" w14:textId="77777777">
      <w:pPr>
        <w:pStyle w:val="NormalHanging12a"/>
      </w:pPr>
      <w:r w:rsidRPr="00706F22">
        <w:t>1.</w:t>
      </w:r>
      <w:r w:rsidRPr="00706F22">
        <w:tab/>
        <w:t>pochwala stałe zaangażowanie Kosowa na rzecz przystąpienia do UE, odzwierciedlające wyraźny strategiczny wybór geopolityczny zwiększający bezpieczeństwo, silną więź z Europą, szeroki ponadpartyjny konsensus w sprawie integracji z UE oraz wysokie poparcie opinii publicznej dla proeuropejskiego kursu tego kraju, w szczególności poprzez rozwój bliskich i konkretnych stosunków z UE;</w:t>
      </w:r>
    </w:p>
    <w:p w:rsidR="00CE1B3F" w:rsidRPr="00706F22" w:rsidP="00CE1B3F" w14:paraId="71C98355" w14:textId="77777777">
      <w:pPr>
        <w:pStyle w:val="NormalHanging12a"/>
        <w:rPr>
          <w:color w:val="0070C0"/>
        </w:rPr>
      </w:pPr>
      <w:r w:rsidRPr="00706F22">
        <w:t>2.</w:t>
      </w:r>
      <w:r w:rsidRPr="00706F22">
        <w:tab/>
        <w:t>ponownie wyraża głębokie przekonanie, że przyszłość Kosowa leży w UE, zwłaszcza biorąc pod uwagę obecną dynamikę geopolityczną w regionie, gwałtowne i głębokie zmiany w polityce światowej oraz rosnącą rywalizację z reżimami autorytarnymi; podkreśla, że zbliżenie Kosowa z UE stanowi część stopniowego procesu integracji, który wykracza poza samo formalne przystąpienie; podkreśla, że konkretne formy współpracy i stopniowej integracji, w tym partnerstwa sektorowe, udział w programach UE, takich jak Erasmus+, a także włączenie do niektórych strategii politycznych UE, są kluczowymi dźwigniami wzmacniania więzi z Kosowem; podkreśla, że instrumenty te pomagają umocnić przywiązanie Kosowa do Europy i sprostać wyzwaniom geostrategicznym w regionie, w tym poprzez zapobieganie wpływom podmiotów zewnętrznych, bez przesądzania o tempie ani wyniku procesu rozszerzenia;</w:t>
      </w:r>
    </w:p>
    <w:p w:rsidR="00CE1B3F" w:rsidRPr="00706F22" w:rsidP="00CE1B3F" w14:paraId="5AC040E6" w14:textId="77777777">
      <w:pPr>
        <w:pStyle w:val="NormalHanging12a"/>
        <w:rPr>
          <w:bCs/>
        </w:rPr>
      </w:pPr>
      <w:r w:rsidRPr="00706F22">
        <w:t>3.</w:t>
      </w:r>
      <w:r w:rsidRPr="00706F22">
        <w:tab/>
        <w:t xml:space="preserve">z zadowoleniem przyjmuje utworzenie nowego Zgromadzenia i rządu Kosowa 12 lutego 2026 r., w wyniku demokratycznych przedterminowych wyborów parlamentarnych, które odbyły się w grudniu 2025 r., oraz po ponad roku impasu </w:t>
      </w:r>
      <w:r w:rsidRPr="00706F22">
        <w:t>politycznego i głębokiej polaryzacji politycznej; ubolewa jednak nad paraliżem procesu politycznego w 2025 r., który przyniósł Kosowu „stracony rok”; ubolewa ponadto, że Zgromadzenie Narodowe nie wybrało nowego prezydenta w terminie przewidzianym w konstytucji; odnotowuje rozwiązanie Zgromadzenia Narodowego dekretem prezydenckim 6 marca 2026 r. oraz późniejszy wyrok Trybunału Konstytucyjnego Kosowa, który unieważnił tę decyzję i przyznał członkom Zgromadzenia 34 dni na wybór nowego prezydenta, po upływie których w kraju należało przeprowadzić nowe wybory; odnotowuje nieudane próby wyboru prezydenta w wyznaczonym terminie oraz wynikające z tego ogłoszenie nowych wyborów parlamentarnych 7 czerwca 2026 r.;</w:t>
      </w:r>
    </w:p>
    <w:p w:rsidR="00CE1B3F" w:rsidRPr="00706F22" w:rsidP="00CE1B3F" w14:paraId="1C869C7C" w14:textId="77777777">
      <w:pPr>
        <w:pStyle w:val="NormalHanging12a"/>
        <w:rPr>
          <w:i/>
        </w:rPr>
      </w:pPr>
      <w:r w:rsidRPr="00706F22">
        <w:t>4.</w:t>
      </w:r>
      <w:r w:rsidRPr="00706F22">
        <w:tab/>
        <w:t>ponadto wyraża zadowolenie, że 13 lutego 2026 r. Zgromadzenie Narodowe Kosowa ratyfikowało porozumienia zawarte w ramach Instrumentu Wsparcia Reform i Wzrostu Gospodarczego; zauważa, że umożliwi to Kosowu dostęp do znacznych dotacji i pożyczek preferencyjnych mających na celu wspieranie kluczowych reform, przyspieszenie konwergencji gospodarczej oraz osiągnięcie dalszych postępów na drodze do integracji z Unią Europejską; głęboko ubolewa, że z uwagi na „stracony rok” oraz w obliczu potencjalnej utraty kolejnych miesięcy na kampanię wyborczą kraj ten może nie być w stanie przeprowadzić wszystkich niezbędnych reform w wyznaczonych terminach, co groziłoby utratą znacznych kwot wsparcia finansowego z Instrumentu Wsparcia Reform i Wzrostu Gospodarczego;</w:t>
      </w:r>
    </w:p>
    <w:p w:rsidR="00CE1B3F" w:rsidRPr="00706F22" w:rsidP="00CE1B3F" w14:paraId="732E0E38" w14:textId="77777777">
      <w:pPr>
        <w:pStyle w:val="NormalHanging12a"/>
      </w:pPr>
      <w:r w:rsidRPr="00706F22">
        <w:t>5.</w:t>
      </w:r>
      <w:r w:rsidRPr="00706F22">
        <w:tab/>
        <w:t>podkreśla, że wiarygodne rozszerzenie opiera się na procesie opartym na osiągnięciach, wymagającym stałej i nieodwracalnej dynamiki reform i ich rygorystycznego wdrażania zgodnie ze standardami europejskimi, w tym kryteriami kopenhaskimi;</w:t>
      </w:r>
      <w:r w:rsidRPr="00706F22">
        <w:rPr>
          <w:i/>
        </w:rPr>
        <w:t xml:space="preserve"> </w:t>
      </w:r>
      <w:r w:rsidRPr="00706F22">
        <w:t>wzywa Kosowo do przyspieszenia postępów we wdrażaniu reform związanych z wejściem do UE, zwłaszcza w dziedzinach praworządności, podstawowych wolności i zwalczania korupcji, zwłaszcza tej na wysokim szczeblu, oraz do kontynuowania wysiłków poprzez zwiększenie zaangażowania na rzecz europejskich wartości i standardów; podkreśla, że wszelka pomoc przedakcesyjna i powiązana z nią pomoc finansowa muszą być ściśle uzależnione od osiągania wymiernych i weryfikowalnych wyników w tych obszarach; przypomina w związku z tym o znaczeniu przestrzegania zasad praworządności, gwarantowania poszanowania poglądów wszystkich oraz skutecznego stosowania przepisów w praktyce; podkreśla, że zmiana priorytetów tych reform i konkretne przyspieszenie ich realizacji są niezbędne, aby Kosowo mogło umocnić swoje przywiązanie do Europy i kontynuować drogę prowadzącą do powrotu na kurs prowadzący do członkostwa w UE; podkreśla, że rozszerzenie wymaga również gruntownego przygotowania ze strony instytucji UE i państw członkowskich w celu zapewnienia pomyślnej integracji potencjalnych nowych członków, przy jednoczesnym poszanowaniu stabilności gospodarczej rynku wewnętrznego, norm społecznych i środowiskowych oraz właściwego funkcjonowania instytucji europejskich;</w:t>
      </w:r>
    </w:p>
    <w:p w:rsidR="00CE1B3F" w:rsidRPr="00706F22" w:rsidP="00CE1B3F" w14:paraId="48E47DFE" w14:textId="77777777">
      <w:pPr>
        <w:pStyle w:val="NormalHanging12a"/>
      </w:pPr>
      <w:r w:rsidRPr="00706F22">
        <w:t>6.</w:t>
      </w:r>
      <w:r w:rsidRPr="00706F22">
        <w:tab/>
        <w:t>popiera wniosek Kosowa o członkostwo w UE złożony w grudniu 2022 r.; ponawia apel do państw członkowskich w Radzie, aby zwróciły się do Komisji o niezwłoczne przedstawienie swojego kwestionariusza oraz o przedstawienie opinii na temat zasadności wniosku tego kraju o członkostwo, a także aby wezwały Radę do szybkiego działania, w tym do przyznania statusu kraju kandydującego, gdy zostaną spełnione odpowiednie kryteria; wzywa pięć państw członkowskich, które jeszcze nie uznały niepodległości Kosowa, aby uczyniły to bez dalszej zwłoki, co umożliwi Kosowu postępy na równi z innymi kandydatami; przypomina opinię doradczą MTS z 22 lipca 2010 r., w której stwierdzono, że jednostronna deklaracja niepodległości Kosowa nie narusza ogólnego prawa międzynarodowego;</w:t>
      </w:r>
    </w:p>
    <w:p w:rsidR="00CE1B3F" w:rsidRPr="00706F22" w:rsidP="00CE1B3F" w14:paraId="00C258A9" w14:textId="77777777">
      <w:pPr>
        <w:pStyle w:val="NormalHanging12a"/>
      </w:pPr>
      <w:r w:rsidRPr="00706F22">
        <w:t>7.</w:t>
      </w:r>
      <w:r w:rsidRPr="00706F22">
        <w:tab/>
        <w:t>ponownie wyraża pełne poparcie dla wniosku Kosowa o członkostwo w Radzie Europy oraz dla planu orientacji strategicznej tego kraju, zakładającego przystąpienie do programu NATO „Partnerstwo dla pokoju”, oraz dla jego starań o przystąpienie do innych organizacji międzynarodowych; wzywa odpowiednie organizacje i państwa członkowskie do aktywnego wspierania tych starań; zauważa, że zbliżenie Kosowa z NATO wzmacnia europejskie bezpieczeństwo; wzywa Komisję i Biuro UE w Kosowie do wzmożenia wysiłków na rzecz zwiększenia widoczności i zrozumienia w Kosowie roli UE oraz konkretnych korzyści wynikających z bliższego partnerstwa między UE a Kosowem; wzywa Serbię, by nie sprzeciwiała się przystąpieniu Kosowa do Rady Europy i innych organizacji międzynarodowych, co byłoby sprzeczne z porozumieniem zawartym w 2023 r. między Kosowem a Serbią w sprawie drogi do normalizacji stosunków między tymi krajami;</w:t>
      </w:r>
    </w:p>
    <w:p w:rsidR="00CE1B3F" w:rsidRPr="00706F22" w:rsidP="00CE1B3F" w14:paraId="3AD007A3" w14:textId="77777777">
      <w:pPr>
        <w:pStyle w:val="NormalHanging12a"/>
      </w:pPr>
      <w:r w:rsidRPr="00706F22">
        <w:t>8.</w:t>
      </w:r>
      <w:r w:rsidRPr="00706F22">
        <w:tab/>
        <w:t>wyraża uznanie dla Kosowa jako wiarygodnego partnera UE, czego dowodem jest jego stałe dobrowolne dostosowywanie się do wspólnej polityki zagranicznej i bezpieczeństwa UE (</w:t>
      </w:r>
      <w:r w:rsidRPr="00706F22">
        <w:t>WPZiB</w:t>
      </w:r>
      <w:r w:rsidRPr="00706F22">
        <w:t>), w tym dalsze stosowanie unijnych środków ograniczających wobec Rosji i Białorusi, wyraźne potępienie rosyjskiej wojny napastniczej przeciwko Ukrainie oraz niezmiennie wysoki poziom poparcia społecznego dla integracji z UE wśród obywateli tego kraju; oczekuje, że Kosowo utrzyma ten kurs i będzie kontynuować wysiłki na rzecz powstrzymania rosyjskiego zagrożenia;</w:t>
      </w:r>
    </w:p>
    <w:p w:rsidR="00CE1B3F" w:rsidRPr="00706F22" w:rsidP="00CE1B3F" w14:paraId="59C1D38D" w14:textId="77777777">
      <w:pPr>
        <w:pStyle w:val="NormalHanging12a"/>
      </w:pPr>
      <w:r w:rsidRPr="00706F22">
        <w:t>9.</w:t>
      </w:r>
      <w:r w:rsidRPr="00706F22">
        <w:tab/>
        <w:t>z zadowoleniem przyjmuje podpisanie 18 marca 2025 r. trójstronnej deklaracji w sprawie współpracy obronnej między Kosowem, Albanią i Chorwacją, mającej na celu wzmocnienie zdolności obronnych i zacieśnienie współpracy w zakresie przeciwdziałania zagrożeniom hybrydowym;</w:t>
      </w:r>
    </w:p>
    <w:p w:rsidR="00CE1B3F" w:rsidRPr="00706F22" w:rsidP="00CE1B3F" w14:paraId="7BDDBDA2" w14:textId="77777777">
      <w:pPr>
        <w:pStyle w:val="NormalHanging12a"/>
      </w:pPr>
      <w:r w:rsidRPr="00706F22">
        <w:t>10.</w:t>
      </w:r>
      <w:r w:rsidRPr="00706F22">
        <w:tab/>
        <w:t>z zadowoleniem przyjmuje długo oczekiwaną decyzję o zniesieniu unijnych środków wobec Kosowa, w tym o uruchomieniu w grudniu 2025 r. kwoty 216 mln EUR w ramach priorytetowych umów i programów oraz o uruchomieniu pozostałych 205 mln EUR na początku 2026 r.; uważa, że środki te stały w jawnej sprzeczności z wykazanym przez Kosowo przywiązaniem do wartości europejskich oraz dostosowaniem do polityki UE i nie miały już uzasadnienia, biorąc pod uwagę, że wszystkie niezbędne wymogi zostały spełnione; zwraca uwagę na negatywny wpływ, jaki środki te wywarły na społeczeństwo Kosowa, a zwłaszcza na społeczności lokalne, organizacje społeczeństwa obywatelskiego oraz małe i średnie przedsiębiorstwa (MŚP); kwestionuje brak przejrzystości i przewidywalności, nieodpowiednie informowanie opinii publicznej i przedłużający się okres obowiązywania środków, mimo że Kosowo spełniło wymogi określone przez UE;</w:t>
      </w:r>
    </w:p>
    <w:p w:rsidR="00CE1B3F" w:rsidRPr="00706F22" w:rsidP="00CE1B3F" w14:paraId="04C0E1E5" w14:textId="77777777">
      <w:pPr>
        <w:pStyle w:val="NormalHanging12a"/>
        <w:rPr>
          <w:b/>
          <w:i/>
        </w:rPr>
      </w:pPr>
      <w:r w:rsidRPr="00706F22">
        <w:rPr>
          <w:b/>
          <w:i/>
        </w:rPr>
        <w:t>Demokracja i praworządność</w:t>
      </w:r>
    </w:p>
    <w:p w:rsidR="00CE1B3F" w:rsidRPr="00706F22" w:rsidP="00CE1B3F" w14:paraId="76A6D359" w14:textId="77777777">
      <w:pPr>
        <w:pStyle w:val="NormalHanging12a"/>
      </w:pPr>
      <w:r w:rsidRPr="00706F22">
        <w:t>11.</w:t>
      </w:r>
      <w:r w:rsidRPr="00706F22">
        <w:tab/>
        <w:t>z zadowoleniem przyjmuje ogólnie pozytywną ocenę przebiegu wyborów parlamentarnych i lokalnych w 2025 r., zauważając, że odbyły się one w spokojnej atmosferze, w duchu rywalizacji i z poszanowaniem zasad integracji społecznej, w oparciu o zaktualizowane ramy wyborcze zgodne z wcześniejszymi zaleceniami unijnej misji obserwacyjnej; wyraża uznanie dla władz za wprowadzenie elektronicznego systemu głosowania w Kosowie; zauważa jednak, że w przebiegu wyborów stwierdzono też pewne niedociągnięcia, oraz wzywa władze Kosowa, by wzięły to pod uwagę przy organizacji przyszłych wyborów;</w:t>
      </w:r>
    </w:p>
    <w:p w:rsidR="00CE1B3F" w:rsidRPr="00706F22" w:rsidP="00CE1B3F" w14:paraId="7906F045" w14:textId="77777777">
      <w:pPr>
        <w:pStyle w:val="NormalHanging12a"/>
      </w:pPr>
      <w:r w:rsidRPr="00706F22">
        <w:t>12.</w:t>
      </w:r>
      <w:r w:rsidRPr="00706F22">
        <w:tab/>
        <w:t>z zadowoleniem przyjmuje udział kosowskich Serbów w wyborach parlamentarnych i lokalnych w 2025 r. oraz wybór czterech burmistrzów serbskich, którzy przejęli obowiązki od swoich albańskich poprzedników w gminach zamieszkiwanych w większości przez Serbów na północy Kosowa; wyraża jednak zaniepokojenie presją wywieraną na wyborców zależnych od serbskiej pomocy społecznej i zatrudnienia, aby głosowali na przedstawicieli Serbskiej Listy w wyborach parlamentarnych w lutym 2025 r.;</w:t>
      </w:r>
    </w:p>
    <w:p w:rsidR="00CE1B3F" w:rsidRPr="00706F22" w:rsidP="00CE1B3F" w14:paraId="1A3C797C" w14:textId="77777777">
      <w:pPr>
        <w:pStyle w:val="NormalHanging12a"/>
        <w:rPr>
          <w:bCs/>
        </w:rPr>
      </w:pPr>
      <w:r w:rsidRPr="00706F22">
        <w:t>13.</w:t>
      </w:r>
      <w:r w:rsidRPr="00706F22">
        <w:tab/>
        <w:t>ubolewa nad ciągłymi próbami upolitycznienia niezależnych instytucji, w tym Centralnej Komisji Wyborczej, oraz nad niedociągnięciami w zarządzaniu Niezależną Komisją ds. Mediów; wzywa Kosowo do dalszego dostosowania ram prawnych regulujących działalność Niezależnej Komisji ds. Mediów do zaleceń Rady Europy i norm UE w celu wzmocnienia niezależności regulacyjnej, pewności prawa i zaufania publicznego do nadzoru nad mediami; wzywa władze, by zadbały o merytoryczne kryteria mianowania, przejrzystość procedur rekrutacji i pełne poszanowanie niezależności tych instytucji; podkreśla, że odporne instytucje demokratyczne stanowią pierwszą linię obrony przed manipulacją środowiskiem informacyjnym, ukrytymi wpływami i politycznymi zakłóceniami debaty publicznej; wzywa Kosowo do ustanowienia zinstytucjonalizowanych ram odporności demokratycznej skupiających Zgromadzenie, rząd, niezależne organy regulacyjne i administrację wyborczą, z jasno określonymi obowiązkami, regularnymi ocenami ryzyka i sprawozdaniami publicznymi;</w:t>
      </w:r>
    </w:p>
    <w:p w:rsidR="00CE1B3F" w:rsidRPr="00706F22" w:rsidP="00CE1B3F" w14:paraId="1D0D4B9D" w14:textId="77777777">
      <w:pPr>
        <w:pStyle w:val="NormalHanging12a"/>
      </w:pPr>
      <w:r w:rsidRPr="00706F22">
        <w:t>14.</w:t>
      </w:r>
      <w:r w:rsidRPr="00706F22">
        <w:tab/>
        <w:t>z zadowoleniem przyjmuje fakt, że organizacje społeczeństwa obywatelskiego działają w ogólnie sprzyjających warunkach, i wzywa władze do zadbania, by społeczeństwo obywatelskie było od samego początku w znaczący sposób angażowane w przygotowanie i wdrażanie reform związanych z UE; podkreśla znaczenie zwiększenia odpowiedzialności i przejrzystości w odniesieniu do finansowania publicznego organizacji społeczeństwa obywatelskiego; podkreśla, że społeczeństwo obywatelskie ma podstawowe znaczenie dla wspierania demokracji i pluralizmu oraz promowania dobrych rządów i postępu społecznego;</w:t>
      </w:r>
    </w:p>
    <w:p w:rsidR="00CE1B3F" w:rsidRPr="00706F22" w:rsidP="00CE1B3F" w14:paraId="221A770A" w14:textId="77777777">
      <w:pPr>
        <w:pStyle w:val="NormalHanging12a"/>
        <w:rPr>
          <w:bCs/>
        </w:rPr>
      </w:pPr>
      <w:r w:rsidRPr="00706F22">
        <w:t>15.</w:t>
      </w:r>
      <w:r w:rsidRPr="00706F22">
        <w:tab/>
        <w:t>wyraża uznanie dla władz za skonsultowanie się z Komisją Wenecką w sprawie pakietu projektów ustaw o sądownictwie, w tym ustawy o Radzie Prokuratorów Kosowa; jest jednak nadal zaniepokojony ograniczonym wdrażaniem strategii na rzecz praworządności i niewystarczającą konsekwencją rządu w realizacji reform, niepełnym składem kosowskiej Rady Sędziów oraz opóźnieniami we wdrażaniu reform wymiaru sprawiedliwości; wyraża zaniepokojenie faktem, że rząd nie przyjął niezbędnych przepisów wykonawczych określających strukturę organizacyjną i mechanizmy współpracy między specjalną jednostką dochodzeniową kosowskiej policji a prokuraturą specjalną; z zadowoleniem przyjmuje postępy przy mianowaniu nowego przewodniczącego Rady Prokuratorów Kosowa i oczekuje, że jej nowy skład zostanie ustalony po wznowieniu prac przez Zgromadzenie Narodowe; z zadowoleniem przyjmuje zatrudnienie 17 nowych sędziów przez Radę Sądowniczą Kosowa w przejrzystym i opartym na osiągnięciach procesie i wzywa prezydenta Kosowa do niezwłocznego zatwierdzenia tych nominacji; wzywa Kosowo do podjęcia zdecydowanych działań w celu usunięcia niedociągnięć oraz dopilnowania, by przepisy dotyczące niezależności i odpowiedzialności wymiaru sprawiedliwości były zgodne ze standardami europejskimi oraz odpowiednimi zaleceniami Komisji Weneckiej;</w:t>
      </w:r>
    </w:p>
    <w:p w:rsidR="00CE1B3F" w:rsidRPr="00706F22" w:rsidP="00CE1B3F" w14:paraId="6C558C87" w14:textId="77777777">
      <w:pPr>
        <w:pStyle w:val="NormalHanging12a"/>
      </w:pPr>
      <w:r w:rsidRPr="00706F22">
        <w:t>16.</w:t>
      </w:r>
      <w:r w:rsidRPr="00706F22">
        <w:tab/>
        <w:t xml:space="preserve">z zadowoleniem przyjmuje fakt, że Kosowo zmniejszyło obciążenie administracyjne </w:t>
      </w:r>
      <w:r w:rsidRPr="00706F22">
        <w:t>poprzez wdrożenie programu zapobiegania obciążeniom administracyjnym i ich zmniejszania na lata 2025–2028 oraz planu działania na lata 2025–2026; z zadowoleniem przyjmuje to ulepszenie i przyjęcie zmian do ustawy o urzędnikach publicznych i wzywa Kosowo do dalszego usprawniania swojej administracji publicznej i systemu służby cywilnej opartego na osiągnięciach; zauważa, że w Kosowie istnieją ramy strategiczne na rzecz administracji publicznej, ale nie są one skutecznie wdrażane;</w:t>
      </w:r>
    </w:p>
    <w:p w:rsidR="00CE1B3F" w:rsidRPr="00706F22" w:rsidP="00CE1B3F" w14:paraId="28FD0557" w14:textId="77777777">
      <w:pPr>
        <w:pStyle w:val="NormalHanging12a"/>
      </w:pPr>
      <w:r w:rsidRPr="00706F22">
        <w:t xml:space="preserve">17. </w:t>
      </w:r>
      <w:r w:rsidRPr="00706F22">
        <w:tab/>
      </w:r>
      <w:bookmarkStart w:id="7" w:name="_Hlk227243576"/>
      <w:r w:rsidRPr="00706F22">
        <w:t>wyraża głębokie zaniepokojenie niewystarczającymi postępami w ogólnej walce z korupcją; ubolewa nad brakiem wymiernych i strukturalnych postępów w tej dziedzinie pomimo podjętych zobowiązań i podkreśla, że korupcja pozostaje problemem systemowym, który podważa funkcjonowanie instytucji publicznych i zaufanie społeczne; z niepokojem odnotowuje spadek Kosowa w rankingu postrzegania korupcji za rok 2025, w którym kraj ten uplasował się na 76. miejscu spośród 182 krajów i terytoriów, czyli o trzy miejsca niżej niż w 2024 r., co stanowi niepokojące odwrócenie poprzedniego trendu stopniowej poprawy, choć Kosowo nadal plasuje się przed niektórymi innymi krajami regionu; wzywa władze do niezwłocznego przyjęcia i wdrożenia konkretnych, skutecznych i weryfikowalnych środków mających na celu skuteczniejsze zapobieganie korupcji, prowadzenie dochodzeń w jej sprawie i jej ściganie; wzywa w szczególności do szybkiego przyjęcia krajowej strategii antykorupcyjnej i planu działania na lata 2025–2028, wykorzystywania w większej mierze oświadczeń majątkowych i planów na rzecz uczciwości oraz skuteczniejszego stosowania narzędzi konfiskaty w sprawach korupcyjnych; podkreśla potrzebę wzmocnienia niezależności i zdolności operacyjnych organów antykorupcyjnych oraz zapewnienia skutecznej koordynacji między prokuratorami, policją i jednostkami wywiadu finansowego; zwraca uwagę na fakt, że dotychczasowe zalecenia Komisji dotyczące wzmocnienia potencjału Agencji ds. Zapobiegania Korupcji oraz wdrożenia przepisów antykorupcyjnych nadal nie zostały zrealizowane; wzywa do ciągłej poprawy jakości dochodzeń w sprawach dotyczących korupcji na wysokim szczeblu;</w:t>
      </w:r>
      <w:bookmarkEnd w:id="7"/>
    </w:p>
    <w:p w:rsidR="00CE1B3F" w:rsidRPr="00706F22" w:rsidP="00CE1B3F" w14:paraId="0DC29C79" w14:textId="77777777">
      <w:pPr>
        <w:pStyle w:val="NormalHanging12a"/>
      </w:pPr>
      <w:r w:rsidRPr="00706F22">
        <w:t>18.</w:t>
      </w:r>
      <w:r w:rsidRPr="00706F22">
        <w:tab/>
        <w:t>z zaniepokojeniem przyjmuje jedynie niewielkie postępy w walce z przestępczością zorganizowaną; apeluje o szybkie przyjęcie krajowej strategii i planu działania przeciwko przestępczości zorganizowanej; podkreśla, że należy zwalczać siatki przestępcze, zacieśniając współpracę międzynarodową dzięki wymianie danych wywiadowczych oraz wzmocnieniu współpracy między organami ścigania a prokuraturą; wzywa sąsiadów Kosowa do umożliwienia Kosowu udziału we współpracy międzynarodowej na wszystkich szczeblach, aby zmaksymalizować wpływ walki z przestępczością zorganizowaną; podkreśla konieczność pogłębienia współpracy w walce z przestępczością narkotykową; wzywa do dalszego dostosowania w zakresie zwalczania terroryzmu;</w:t>
      </w:r>
    </w:p>
    <w:p w:rsidR="00CE1B3F" w:rsidRPr="00706F22" w:rsidP="00CE1B3F" w14:paraId="7DF97477" w14:textId="77777777">
      <w:pPr>
        <w:pStyle w:val="NormalHanging12a"/>
      </w:pPr>
      <w:r w:rsidRPr="00706F22">
        <w:t>19.</w:t>
      </w:r>
      <w:r w:rsidRPr="00706F22">
        <w:tab/>
        <w:t>podkreśla ustawiczne starania misji EULEX we wspieraniu władz Kosowa w ustanowieniu stabilnych i niezależnych instytucji państwa prawa; zauważa, że utrzymujące się wyzwania, w tym ograniczone uprawnienia wykonawcze, ograniczyły skuteczność jej działań; wzywa do ciągłej ponownej oceny wartości dodanej, zakresu i celów strategicznych misji, aby zapewnić jej adekwatność i skuteczność;</w:t>
      </w:r>
    </w:p>
    <w:p w:rsidR="00CE1B3F" w:rsidRPr="00706F22" w:rsidP="00CE1B3F" w14:paraId="65F6075E" w14:textId="77777777">
      <w:pPr>
        <w:pStyle w:val="NormalHanging12a"/>
      </w:pPr>
      <w:r w:rsidRPr="00706F22">
        <w:t>20.</w:t>
      </w:r>
      <w:r w:rsidRPr="00706F22">
        <w:tab/>
        <w:t xml:space="preserve">jest zaniepokojony doniesieniami o przypadkach nadmiernego użycia siły i uchybień ze strony niektórych funkcjonariuszy policji kosowskiej na północy Kosowa; wzywa policję kosowską do dopilnowania, aby jej personel w pełni przestrzegał wszystkich wymogów dotyczących praworządności i praw człowieka; przypomina o wspólnej odpowiedzialności wszystkich przedstawicieli politycznych i wszystkich mieszkańców </w:t>
      </w:r>
      <w:r w:rsidRPr="00706F22">
        <w:t>Kosowa za utrzymanie pokoju i praworządności;</w:t>
      </w:r>
    </w:p>
    <w:p w:rsidR="00CE1B3F" w:rsidRPr="00706F22" w:rsidP="00CE1B3F" w14:paraId="2A859105" w14:textId="77777777">
      <w:pPr>
        <w:pStyle w:val="NormalHanging12a"/>
        <w:rPr>
          <w:b/>
          <w:i/>
        </w:rPr>
      </w:pPr>
      <w:r w:rsidRPr="00706F22">
        <w:rPr>
          <w:b/>
          <w:i/>
        </w:rPr>
        <w:t>Podstawowe wolności i prawa człowieka</w:t>
      </w:r>
    </w:p>
    <w:p w:rsidR="00CE1B3F" w:rsidRPr="00706F22" w:rsidP="00CE1B3F" w14:paraId="6119278F" w14:textId="77777777">
      <w:pPr>
        <w:pStyle w:val="NormalHanging12a"/>
        <w:rPr>
          <w:bCs/>
        </w:rPr>
      </w:pPr>
      <w:r w:rsidRPr="00706F22">
        <w:t>21.</w:t>
      </w:r>
      <w:r w:rsidRPr="00706F22">
        <w:tab/>
        <w:t>zauważa, że chociaż ramy prawne i instytucjonalne w zakresie praw człowieka zasadniczo istnieją, ich wdrażanie jest nadal niewystarczające;</w:t>
      </w:r>
      <w:r w:rsidRPr="00706F22">
        <w:rPr>
          <w:i/>
        </w:rPr>
        <w:t xml:space="preserve"> </w:t>
      </w:r>
      <w:r w:rsidRPr="00706F22">
        <w:t xml:space="preserve">wyraża zadowolenie z przyjęcia strategii na rzecz ochrony i propagowania praw społeczności; z zadowoleniem przyjmuje wdrożenie przez Kosowo wyroku Trybunału Konstytucyjnego w sprawie własności gruntów klasztoru </w:t>
      </w:r>
      <w:r w:rsidRPr="00706F22">
        <w:t>Dečani</w:t>
      </w:r>
      <w:r w:rsidRPr="00706F22">
        <w:t>; wzywa Kosowo do zainwestowania w skuteczniejsze wdrażanie ram prawnych dotyczących praw człowieka;</w:t>
      </w:r>
    </w:p>
    <w:p w:rsidR="00CE1B3F" w:rsidRPr="00706F22" w:rsidP="00CE1B3F" w14:paraId="1D0F8260" w14:textId="77777777">
      <w:pPr>
        <w:pStyle w:val="NormalHanging12a"/>
      </w:pPr>
      <w:r w:rsidRPr="00706F22">
        <w:t>22.</w:t>
      </w:r>
      <w:r w:rsidRPr="00706F22">
        <w:tab/>
        <w:t>zauważa, że konstytucja Kosowa jest bardzo postępowa pod względem praw mniejszości; z ubolewaniem odnotowuje w tym kontekście, że petycja podpisana przez prawie 500 osób, które historycznie identyfikują się jako Bułgarzy, zarejestrowana na posiedzeniu Zgromadzenia Narodowego Kosowa w styczniu 2023 r., w dalszym ciągu nie została rozpatrzona, i zaleca, by ich prawa zostały zapisane w przepisach i zagwarantowane w praktyce w celu ochrony historycznej, kulturowej i politycznej tożsamości mniejszości bułgarskiej; wzywa Kosowo do zadbania, by wszystkie mniejszości uznane na mocy ustawy o ochronie i promowaniu praw społeczności oraz ich członków zostały w pełni objęte konstytucją tego kraju;</w:t>
      </w:r>
    </w:p>
    <w:p w:rsidR="00CE1B3F" w:rsidRPr="00706F22" w:rsidP="00CE1B3F" w14:paraId="77096627" w14:textId="77777777">
      <w:pPr>
        <w:pStyle w:val="NormalHanging12a"/>
      </w:pPr>
      <w:r w:rsidRPr="00706F22">
        <w:t>23.</w:t>
      </w:r>
      <w:r w:rsidRPr="00706F22">
        <w:tab/>
        <w:t>zauważa, że system więziennictwa w Kosowie jest zasadniczo zgodny z wzorcowymi regułami minimum ONZ i Rady Europy; wzywa do lepszej ochrony praw więźniów, w szczególności kobiet, więźniów należących do mniejszości i więźniów z problemami ze zdrowiem psychicznym;</w:t>
      </w:r>
    </w:p>
    <w:p w:rsidR="00CE1B3F" w:rsidRPr="00706F22" w:rsidP="00CE1B3F" w14:paraId="3EA0D8BC" w14:textId="77777777">
      <w:pPr>
        <w:pStyle w:val="NormalHanging12a"/>
        <w:rPr>
          <w:bCs/>
        </w:rPr>
      </w:pPr>
      <w:r w:rsidRPr="00706F22">
        <w:t>24.</w:t>
      </w:r>
      <w:r w:rsidRPr="00706F22">
        <w:tab/>
      </w:r>
      <w:bookmarkStart w:id="8" w:name="_Hlk227248502"/>
      <w:r w:rsidRPr="00706F22">
        <w:t>podkreśla, że należy wzmocnić wdrażanie przepisów chroniących prawa grup znajdujących się w trudnej sytuacji i członków społeczności niezaliczających się do większości, w szczególności w odniesieniu do ich reprezentacji w instytucjach publicznych i używania języków, m.in. przez zapewnienie równego i skutecznego dostępu do edukacji publicznej w ich języku ojczystym, a także dostępu do opieki zdrowotnej i usług publicznych, poszanowania praw językowych i praw własności, odpowiedniej reprezentacji w rządzie i samorządzie oraz ochrony materialnego i niematerialnego dziedzictwa religijnego, tradycyjnego i kulturowego; wzywa Kosowo do wzmożenia starań o zapewnienie grupom mniejszościowym równych szans oraz odpowiedniej reprezentacji w życiu politycznym i kulturalnym, mediach publicznych, administracji oraz wymiarze sprawiedliwości; wzywa do ochrony mniejszości religijnych w Kosowie oraz do zapewnienia im dostępu do miejsc</w:t>
      </w:r>
      <w:bookmarkEnd w:id="8"/>
      <w:r w:rsidRPr="00706F22">
        <w:t xml:space="preserve"> kultu;</w:t>
      </w:r>
    </w:p>
    <w:p w:rsidR="00CE1B3F" w:rsidRPr="00706F22" w:rsidP="00CE1B3F" w14:paraId="3BA773CC" w14:textId="77777777">
      <w:pPr>
        <w:pStyle w:val="NormalHanging12a"/>
      </w:pPr>
      <w:r w:rsidRPr="00706F22">
        <w:t>25.</w:t>
      </w:r>
      <w:r w:rsidRPr="00706F22">
        <w:tab/>
        <w:t xml:space="preserve">ubolewa nad faktem, że kobiety z grup mniejszościowych, zwłaszcza społeczności Romów, </w:t>
      </w:r>
      <w:r w:rsidRPr="00706F22">
        <w:t>Aszkali</w:t>
      </w:r>
      <w:r w:rsidRPr="00706F22">
        <w:t xml:space="preserve"> i Egipcjan, spotykają się z licznymi formami dyskryminacji, głównie w edukacji, zatrudnieniu i dostępie do opieki zdrowotnej; wyraża obawy, że administracja Kosowa nie reprezentuje odpowiednio społeczności mniejszościowych oraz że liczba kobiet na wyższych stanowiskach pozostaje niska;</w:t>
      </w:r>
    </w:p>
    <w:p w:rsidR="00CE1B3F" w:rsidRPr="00706F22" w:rsidP="00CE1B3F" w14:paraId="2212283C" w14:textId="77777777">
      <w:pPr>
        <w:pStyle w:val="NormalHanging12a"/>
      </w:pPr>
      <w:r w:rsidRPr="00706F22">
        <w:t>26.</w:t>
      </w:r>
      <w:r w:rsidRPr="00706F22">
        <w:tab/>
        <w:t>wzywa Kosowo do skuteczniejszego wdrażania istniejących mechanizmów ochrony praw społeczności niezaliczających się do większości oraz wspólnot religijnych i społeczności LGBTIQ+ poprzez sfinalizowanie prac nad nowym kodeksem cywilnym, którego przyjęcie jest wciąż w toku; jest nadal zaniepokojony tym, że nadal używa się dyskryminacyjnego języka wobec kobiet i osób LGBTIQ+;</w:t>
      </w:r>
    </w:p>
    <w:p w:rsidR="00CE1B3F" w:rsidRPr="00706F22" w:rsidP="00CE1B3F" w14:paraId="2D9E5872" w14:textId="77777777">
      <w:pPr>
        <w:pStyle w:val="NormalHanging12a"/>
      </w:pPr>
      <w:r w:rsidRPr="00706F22">
        <w:t>27.</w:t>
      </w:r>
      <w:r w:rsidRPr="00706F22">
        <w:tab/>
        <w:t>podkreśla potrzebę wzmocnienia równouprawnienia płci i praw kobiet w Kosowie; zauważa, że ramy prawne i instytucjonalne równości płci i zwalczania przemocy ze względu na płeć w dużej mierze istnieją; z zadowoleniem przyjmuje zwiększone finansowanie specjalistycznych usług wsparcia, w tym schronisk dla ofiar przemocy ze względu na płeć, w pełni funkcjonalnej bazy danych rejestrującej przypadki przemocy domowej oraz bieżących wysiłków na rzecz podnoszenia świadomości; wyraża jednak zaniepokojenie utrzymującą się przemocą ze względu na płeć oraz niewystarczającym wdrażaniem i egzekwowaniem przepisów, zwłaszcza biorąc pod uwagę, że kobiety, zwłaszcza te ze społeczności mniejszościowych, nadal doświadczają wielorakich form dyskryminacji;</w:t>
      </w:r>
    </w:p>
    <w:p w:rsidR="00CE1B3F" w:rsidRPr="00706F22" w:rsidP="00CE1B3F" w14:paraId="2EB3CE4E" w14:textId="77777777">
      <w:pPr>
        <w:pStyle w:val="NormalHanging12a"/>
      </w:pPr>
      <w:r w:rsidRPr="00706F22">
        <w:t>28.</w:t>
      </w:r>
      <w:r w:rsidRPr="00706F22">
        <w:tab/>
        <w:t>ponownie apeluje do władz o poprawę dialogu wewnętrznego i rzeczywistą, bezpośrednią współpracę z niezależnymi organizacjami społeczeństwa obywatelskiego kosowskich Serbów, w szczególności na północy kraju, w celu budowania zaufania, ułatwienia codziennego życia kosowskich Serbów i ich skutecznej integracji;</w:t>
      </w:r>
    </w:p>
    <w:p w:rsidR="00CE1B3F" w:rsidRPr="00706F22" w:rsidP="00CE1B3F" w14:paraId="42FE455A" w14:textId="77777777">
      <w:pPr>
        <w:pStyle w:val="NormalHanging12a"/>
      </w:pPr>
      <w:r w:rsidRPr="00706F22">
        <w:t>29.</w:t>
      </w:r>
      <w:r w:rsidRPr="00706F22">
        <w:tab/>
        <w:t>wyraża uznanie dla rządu za zatwierdzenie strategii na rzecz praw osób z niepełnosprawnościami na lata 2025–2030 oraz powiązanego z nią planu działania na lata 2025–2027; ubolewa jednak, że Kosowo nadal nie przyjęło Konwencji ONZ o prawach osób niepełnosprawnych; wyraża zaniepokojenie niewystarczającym dostosowaniem Kosowa do dorobku prawnego UE w tym zakresie oraz dyskryminacją i barierami napotykanymi przez osoby z niepełnosprawnościami, w tym dzieci, w dostępie do edukacji, opieki zdrowotnej i usług społecznych; wzywa władze do lepszej ochrony praw osób z niepełnosprawnościami oraz do przyjęcia projektu ustawy o uznawaniu statusu, usługach i świadczeniach;</w:t>
      </w:r>
    </w:p>
    <w:p w:rsidR="00CE1B3F" w:rsidRPr="00706F22" w:rsidP="00CE1B3F" w14:paraId="2FB75E52" w14:textId="77777777">
      <w:pPr>
        <w:pStyle w:val="NormalHanging12a"/>
        <w:rPr>
          <w:bCs/>
        </w:rPr>
      </w:pPr>
      <w:r w:rsidRPr="00706F22">
        <w:t>30.</w:t>
      </w:r>
      <w:r w:rsidRPr="00706F22">
        <w:tab/>
        <w:t xml:space="preserve">podkreśla znaczenie ochrony wielokulturowego dziedzictwa Kosowa, w tym dziedzictwa społeczności chorwackiej, przy jednoczesnym wspieraniu zrównoważonego lokalnego rozwoju gospodarczego i zaangażowania społeczności; z zadowoleniem przyjmuje finansowany przez UE a realizowany w ramach Programu Narodów Zjednoczonych ds. Rozwoju projekt mający na celu zachowanie i rewitalizacja dziedzictwa kulturowego </w:t>
      </w:r>
      <w:r w:rsidRPr="00706F22">
        <w:t>Janjeva</w:t>
      </w:r>
      <w:r w:rsidRPr="00706F22">
        <w:t>;</w:t>
      </w:r>
    </w:p>
    <w:p w:rsidR="00CE1B3F" w:rsidRPr="00706F22" w:rsidP="00CE1B3F" w14:paraId="28AA345A" w14:textId="77777777">
      <w:pPr>
        <w:pStyle w:val="NormalHanging12a"/>
        <w:rPr>
          <w:bCs/>
        </w:rPr>
      </w:pPr>
      <w:r w:rsidRPr="00706F22">
        <w:t>31.</w:t>
      </w:r>
      <w:r w:rsidRPr="00706F22">
        <w:tab/>
        <w:t>ubolewa nad faktem, że projekt nowej ustawy o podręcznikach nadal nie został przyjęty przez Zgromadzenie Narodowe Kosowa; wyraża zaniepokojenie, że realizacja strategii edukacyjnej Kosowa na lata 2022–2026 opóźnia się oraz że finansowanie publicznej edukacji podstawowej wciąż maleje; wzywa Kosowo do ostatecznego przyjęcia projektu ustawy o podręcznikach, zakończenia przeglądu obecnych podręczników oraz zapewnienia nauczycielom trwałych i systematycznych szkoleń;</w:t>
      </w:r>
    </w:p>
    <w:p w:rsidR="00CE1B3F" w:rsidRPr="00706F22" w:rsidP="00CE1B3F" w14:paraId="24A71BE4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06F22">
        <w:t>32.</w:t>
      </w:r>
      <w:r w:rsidRPr="00706F22">
        <w:tab/>
        <w:t>odnotowuje pluralistyczny krajobraz medialny Kosowa, ale podkreśla, że pozostaje on niestabilny i narażony na różne formy nacisków; głęboko ubolewa nad brakiem postępów w gwarantowaniu wolności wypowiedzi i skutecznej ochrony dziennikarzy; ubolewa nad faktem, że w światowym rankingu wolności prasy za 2025 r. Kosowo spadło o 24 miejsca na 99. pozycję, co stanowi znaczący i niepokojący regres; zauważa, że wolność prasy jest jedną z głównych wartości europejskich oraz że Kosowo musi podjąć skuteczniejsze działania niż dotychczas, aby ją zapewnić;</w:t>
      </w:r>
    </w:p>
    <w:p w:rsidR="00CE1B3F" w:rsidRPr="00706F22" w:rsidP="00CE1B3F" w14:paraId="39E5C056" w14:textId="77777777">
      <w:pPr>
        <w:pStyle w:val="NormalHanging12a"/>
      </w:pPr>
      <w:r w:rsidRPr="00706F22">
        <w:t>33.</w:t>
      </w:r>
      <w:r w:rsidRPr="00706F22">
        <w:tab/>
        <w:t xml:space="preserve">ponownie wyraża głębokie zaniepokojenie pogorszeniem się środowiska medialnego i atmosfery, w jakiej pracują specjaliści ds. informacji, a w szczególności atakami i groźbami wobec dziennikarzy i pracowników mediów, w tym używaniem wobec </w:t>
      </w:r>
      <w:r w:rsidRPr="00706F22">
        <w:t>mediów obraźliwego języka przez wysokich rangą kosowskich urzędników podczas kampanii wyborczej; ubolewa nad faktem, że nadal nie przyjęto projektu ustawy o ochronie źródeł dziennikarskich, pozbawiając dziennikarzy odpowiedniej ochrony prawnej; podkreśla, że musi być zerowa tolerancja na ataki fizyczne na dziennikarzy, i wzywa do wzmocnienia dochodzeń i ścigania wszystkich gróźb wobec pracowników mediów oraz do dostosowania przepisów dotyczących mediów do dorobku prawnego UE, w szczególności europejskiego aktu o wolności mediów</w:t>
      </w:r>
      <w:r>
        <w:rPr>
          <w:rStyle w:val="FootnoteReference"/>
        </w:rPr>
        <w:footnoteReference w:id="8"/>
      </w:r>
      <w:r w:rsidRPr="00706F22">
        <w:t xml:space="preserve"> i unijnej dyrektywy w sprawie przeciwdziałania strategicznym powództwom zmierzającym do stłumienia debaty publicznej</w:t>
      </w:r>
      <w:r>
        <w:rPr>
          <w:rStyle w:val="FootnoteReference"/>
        </w:rPr>
        <w:footnoteReference w:id="9"/>
      </w:r>
      <w:r w:rsidRPr="00706F22">
        <w:t>, a także do innych odpowiednich międzynarodowych zobowiązań w zakresie praw człowieka; w związku z tym wzywa władze do podjęcia natychmiastowych i konkretnych działań gwarantujących niezależność mediów, do walki z zastraszaniem i do zapewnienia ram sprzyjających wolnemu i pluralistycznemu dziennikarstwu;</w:t>
      </w:r>
    </w:p>
    <w:p w:rsidR="00CE1B3F" w:rsidRPr="00706F22" w:rsidP="00CE1B3F" w14:paraId="3E107A29" w14:textId="77777777">
      <w:pPr>
        <w:pStyle w:val="NormalHanging12a"/>
      </w:pPr>
      <w:r w:rsidRPr="00706F22">
        <w:t>34.</w:t>
      </w:r>
      <w:r w:rsidRPr="00706F22">
        <w:tab/>
        <w:t>wyraża poważne zaniepokojenie doniesieniami o presji wywieranej na dziennikarzy przez podmioty polityczne i zorganizowane grupy przestępcze, co prowadzi do przypadków autocenzury; zauważa, że dziennikarze mogą powstrzymywać się od angażowania się w krytyczne dziennikarstwo śledcze z obawy o swoje bezpieczeństwo fizyczne lub bezpieczeństwo zatrudnienia; ponadto podkreśla, że według doniesień organy publiczne mogą wycofywać reklamy z mediów publikujących krytyczne treści, wywierając tym samym pośrednio presję ekonomiczną;</w:t>
      </w:r>
    </w:p>
    <w:p w:rsidR="00CE1B3F" w:rsidRPr="00706F22" w:rsidP="00CE1B3F" w14:paraId="192B4559" w14:textId="77777777">
      <w:pPr>
        <w:pStyle w:val="NormalHanging12a"/>
        <w:rPr>
          <w:rFonts w:ascii="Europea" w:hAnsi="Europea"/>
          <w:bCs/>
        </w:rPr>
      </w:pPr>
      <w:bookmarkStart w:id="9" w:name="_Hlk231922376"/>
      <w:r w:rsidRPr="00706F22">
        <w:t>35.</w:t>
      </w:r>
      <w:r w:rsidRPr="00706F22">
        <w:rPr>
          <w:i/>
        </w:rPr>
        <w:tab/>
      </w:r>
      <w:r w:rsidRPr="00706F22">
        <w:t xml:space="preserve">wyraża zaniepokojenie faktem, że nadal nie przyjęto projektu ustawy o Radiu i Telewizji Kosowa (RTK) – kosowskim nadawcy publicznym, i dlatego wzywa do jego szybkiego przyjęcia; </w:t>
      </w:r>
      <w:bookmarkEnd w:id="9"/>
      <w:r w:rsidRPr="00706F22">
        <w:t>podkreśla potrzebę zapewnienia zrównoważonego finansowania i niezależności nadawcy publicznego; ubolewa, że stanowisko dyrektora generalnego RTK jest nieobsadzone od września 2024 r. oraz że od grudnia 2024 r. w zarządzie RTK brakuje kworum, co sprawia, że nadawca publiczny jest faktycznie dysfunkcyjny i nie jest w stanie pełnić swojej roli; apeluje o wprowadzenie zrównoważonego, reprezentatywnego i niezależnego politycznie nadzoru nad RTK; wzywa władze Kosowa do powołania członków zarządu RTK i dyrektora generalnego RTK w drodze przejrzystego i merytorycznego procesu, co zagwarantuje skuteczne funkcjonowanie radiofonii i telewizji publicznej w Kosowie; podkreśla, że każda reforma nadawcy publicznego musi chronić niezależność redakcyjną, unikać wpływów politycznych oraz zapewniać zrównoważone i przejrzyste finansowanie;</w:t>
      </w:r>
    </w:p>
    <w:p w:rsidR="00CE1B3F" w:rsidRPr="00706F22" w:rsidP="00CE1B3F" w14:paraId="2C1021A1" w14:textId="77777777">
      <w:pPr>
        <w:pStyle w:val="NormalHanging12a"/>
        <w:rPr>
          <w:bCs/>
        </w:rPr>
      </w:pPr>
      <w:r w:rsidRPr="00706F22">
        <w:t>36.</w:t>
      </w:r>
      <w:r w:rsidRPr="00706F22">
        <w:tab/>
        <w:t>z zaniepokojeniem zauważa, że w sprawozdaniu z 2025 r. w sprawie handlu ludźmi podkreślono, że właściwe organy w Kosowie nie spełniły wszystkich minimalnych standardów w zakresie wyeliminowania handlu ludźmi mimo wykazania zwiększonych wysiłków, w tym poprawy wskaźników ścigania i wzmocnionego wsparcia dla ofiar;</w:t>
      </w:r>
    </w:p>
    <w:p w:rsidR="00CE1B3F" w:rsidRPr="00706F22" w:rsidP="00CE1B3F" w14:paraId="01E6DD1B" w14:textId="77777777">
      <w:pPr>
        <w:pStyle w:val="NormalHanging12a"/>
        <w:rPr>
          <w:i/>
        </w:rPr>
      </w:pPr>
      <w:r w:rsidRPr="00706F22">
        <w:t>37.</w:t>
      </w:r>
      <w:r w:rsidRPr="00706F22">
        <w:tab/>
        <w:t xml:space="preserve">wyraża zaniepokojenie nasileniem dezinformacji rozpowszechnianej np. na temat napięć </w:t>
      </w:r>
      <w:r w:rsidRPr="00706F22">
        <w:t>międzyetnicznych</w:t>
      </w:r>
      <w:r w:rsidRPr="00706F22">
        <w:t xml:space="preserve"> przez podmioty zagraniczne w krajach regionu, głównie przez źródła powiązane z Rosją i Serbią i przede wszystkim przed wyborami, co pogłębia polaryzację polityczną; jest nadal poważnie zaniepokojony szkodliwymi obcymi ingerencjami, próbami zdestabilizowania sytuacji i zagrożeniami hybrydowymi, w tym dezinformacją generowaną przez sztuczną inteligencję i skoordynowanymi kampaniami internetowymi mającymi wpływać na procesy polityczne i opinię publiczną; wzywa do silniejszej reakcji instytucjonalnej i poprawy umiejętności korzystania z mediów za pomocą środków obejmujących udoskonalone szkolenia dla nauczycieli i nowoczesne zasoby edukacyjne oraz bliższej współpracy z niezależnymi mediami, organizacjami zajmującymi się weryfikacją faktów i odpowiednimi programami Unii w celu propagowania krytycznego myślenia i odpowiedzialnego zaangażowania cyfrowego; apeluje do Kosowa i jego partnerów w regionie o dalszą jedność i zacieśnienie współpracy regionalnej oraz europejskiej współpracy z Kosowem w dziedzinie przeciwdziałania zagrożeniom zewnętrznym, dezinformacji, ingerencji zagranicznej, zagrożeniom dla </w:t>
      </w:r>
      <w:r w:rsidRPr="00706F22">
        <w:t>cyberbezpieczeństwa</w:t>
      </w:r>
      <w:r w:rsidRPr="00706F22">
        <w:t xml:space="preserve"> i zagrożeniom hybrydowym, których celem jest osłabienie europejskiej perspektywy tego kraju i regionu;</w:t>
      </w:r>
    </w:p>
    <w:p w:rsidR="00CE1B3F" w:rsidRPr="00706F22" w:rsidP="00CE1B3F" w14:paraId="10BD1074" w14:textId="77777777">
      <w:pPr>
        <w:pStyle w:val="NormalHanging12a"/>
        <w:rPr>
          <w:bCs/>
        </w:rPr>
      </w:pPr>
      <w:r w:rsidRPr="00706F22">
        <w:t>38.</w:t>
      </w:r>
      <w:r w:rsidRPr="00706F22">
        <w:tab/>
        <w:t>wyraża uznanie dla Kosowa za aktywne zaangażowanie w szereg inicjatyw współpracy regionalnej, takich jak Środkowoeuropejska umowa o wolnym handlu, Wspólnota Energetyczna, Wspólnota Transportowa, proces współpracy w Europie Południowo-Wschodniej i Rada Współpracy Regionalnej;</w:t>
      </w:r>
    </w:p>
    <w:p w:rsidR="00CE1B3F" w:rsidRPr="00706F22" w:rsidP="00CE1B3F" w14:paraId="402CFC19" w14:textId="77777777">
      <w:pPr>
        <w:pStyle w:val="NormalHanging12a"/>
      </w:pPr>
      <w:r w:rsidRPr="00706F22">
        <w:t>39.</w:t>
      </w:r>
      <w:r w:rsidRPr="00706F22">
        <w:tab/>
        <w:t>wyraża uznanie dla władz Kosowa za pomyślne wdrożenie planu działania na rzecz trwałego rozwiązania kwestii nielegalnego posiadania i niewłaściwego wykorzystywania broni strzeleckiej i lekkiej oraz materiałów wybuchowych i nielegalnego handlu nimi; z zadowoleniem przyjmuje wysoki poziom przestrzegania zasad protokołu NZ w sprawie broni palnej;</w:t>
      </w:r>
    </w:p>
    <w:p w:rsidR="00CE1B3F" w:rsidRPr="00706F22" w:rsidP="00CE1B3F" w14:paraId="18D02047" w14:textId="77777777">
      <w:pPr>
        <w:pStyle w:val="NormalHanging12a"/>
        <w:rPr>
          <w:b/>
        </w:rPr>
      </w:pPr>
      <w:r w:rsidRPr="00706F22">
        <w:rPr>
          <w:b/>
          <w:i/>
        </w:rPr>
        <w:t>Pojednanie i stosunki dobrosąsiedzkie</w:t>
      </w:r>
    </w:p>
    <w:p w:rsidR="00CE1B3F" w:rsidRPr="00706F22" w:rsidP="00CE1B3F" w14:paraId="03730B6E" w14:textId="77777777">
      <w:pPr>
        <w:pStyle w:val="NormalHanging12a"/>
      </w:pPr>
      <w:r w:rsidRPr="00706F22">
        <w:t>40.</w:t>
      </w:r>
      <w:r w:rsidRPr="00706F22">
        <w:tab/>
        <w:t>przypomina, że normalizacja stosunków z Serbią i realizacja wszystkich porozumień osiągniętych w ramach dialogu między Belgradem a Prisztiną pozostają integralną częścią oraz podstawowym i niezbędnym elementem europejskiej perspektywy Kosowa; podkreśla, że konkretne, trwałe i możliwe do zweryfikowania postępy w tej dziedzinie mają zasadnicze znaczenie dla wzmocnienia stabilności w regionie i rozwoju perspektywy europejskiej Kosowa; podkreśla, że normalizacji tej nie można postrzegać jako kwestii drugorzędnej, lecz musi ona pozostać absolutnym priorytetem politycznym; zwraca uwagę na znaczenie dalszego wzmacniania wysiłków UE na rzecz ułatwiania kontaktów między stronami w celu przezwyciężenia obecnego impasu;</w:t>
      </w:r>
    </w:p>
    <w:p w:rsidR="00CE1B3F" w:rsidRPr="00706F22" w:rsidP="00CE1B3F" w14:paraId="6F8A20F2" w14:textId="77777777">
      <w:pPr>
        <w:pStyle w:val="NormalHanging12a"/>
      </w:pPr>
      <w:r w:rsidRPr="00706F22">
        <w:t>41.</w:t>
      </w:r>
      <w:r w:rsidRPr="00706F22">
        <w:tab/>
        <w:t xml:space="preserve">ponownie wyraża pełne poparcie dla wspieranego przez UE dialogu i z zadowoleniem przyjmuje przedłużenie mandatu specjalnego przedstawiciela UE ds. dialogu między Belgradem a Prisztiną Petera </w:t>
      </w:r>
      <w:r w:rsidRPr="00706F22">
        <w:t>Sørensena</w:t>
      </w:r>
      <w:r w:rsidRPr="00706F22">
        <w:t xml:space="preserve"> do 29 lutego 2028 r.;</w:t>
      </w:r>
    </w:p>
    <w:p w:rsidR="00CE1B3F" w:rsidRPr="00706F22" w:rsidP="00CE1B3F" w14:paraId="211EE7A4" w14:textId="77777777">
      <w:pPr>
        <w:pStyle w:val="NormalHanging12a"/>
      </w:pPr>
      <w:r w:rsidRPr="00706F22">
        <w:t>42.</w:t>
      </w:r>
      <w:r w:rsidRPr="00706F22">
        <w:tab/>
        <w:t>ponawia apel o poprawę jakości dialogu przez zaangażowanie kobiet, większą przejrzystość wobec społeczeństwa i znaczące zaangażowanie społeczeństwa obywatelskiego;</w:t>
      </w:r>
    </w:p>
    <w:p w:rsidR="00CE1B3F" w:rsidRPr="00706F22" w:rsidP="00CE1B3F" w14:paraId="39A93EA4" w14:textId="77777777">
      <w:pPr>
        <w:pStyle w:val="NormalHanging12a"/>
        <w:rPr>
          <w:rFonts w:eastAsiaTheme="minorHAnsi"/>
        </w:rPr>
      </w:pPr>
      <w:r w:rsidRPr="00706F22">
        <w:t>43.</w:t>
      </w:r>
      <w:r w:rsidRPr="00706F22">
        <w:tab/>
        <w:t xml:space="preserve">ponownie podkreśla znaczenie konstruktywnego zaangażowania władz Kosowa i Serbii, tak aby przyspieszyć wdrażanie porozumienia w sprawie ścieżki normalizacji </w:t>
      </w:r>
      <w:r w:rsidRPr="00706F22">
        <w:t>stosunków i załącznika wykonawczego do tego porozumienia, które pozostaje ważne i prawnie wiążące dla obu stron; wzywa zarówno Kosowo, jak i Serbię do pełnego wdrożenia porozumienia brukselskiego i umowy z Ochrydy, np. za pomocą ustanowienia stowarzyszenia lub wspólnoty gmin zamieszkanych w większości przez Serbów oraz zniesienia sprzeciwu Serbii wobec członkostwa Kosowa w organizacjach regionalnych i międzynarodowych, a także do unikania jednostronnych działań, które mogłyby osłabić dialog;</w:t>
      </w:r>
    </w:p>
    <w:p w:rsidR="00CE1B3F" w:rsidRPr="00706F22" w:rsidP="00CE1B3F" w14:paraId="2CD4FF08" w14:textId="77777777">
      <w:pPr>
        <w:pStyle w:val="NormalHanging12a"/>
      </w:pPr>
      <w:r w:rsidRPr="00706F22">
        <w:t>44.</w:t>
      </w:r>
      <w:r w:rsidRPr="00706F22">
        <w:tab/>
        <w:t>z zadowoleniem przyjmuje porozumienie osiągnięte 14 marca 2026 r. w sprawie wdrożenia kosowskiego ustawodawstwa dotyczącego cudzoziemców, które wprowadza środki łagodzące dla członków społeczności serbskiej; zauważa, że rozwiązanie to pomaga zapewnić ciągłość dostępu do usług publicznych i pozwala uniknąć ryzyka faktycznego wykluczenia kosowskich Serbów; podkreśla, że takie rozwiązania przyczyniają się do budowania zaufania i stanowią pozytywny krok w kierunku normalizacji stosunków między Belgradem a Prisztiną oraz promowania stosunków dobrosąsiedzkich;</w:t>
      </w:r>
    </w:p>
    <w:p w:rsidR="00CE1B3F" w:rsidRPr="00706F22" w:rsidP="00CE1B3F" w14:paraId="0248AD80" w14:textId="77777777">
      <w:pPr>
        <w:pStyle w:val="NormalHanging12a"/>
      </w:pPr>
      <w:r w:rsidRPr="00706F22">
        <w:t>45.</w:t>
      </w:r>
      <w:r w:rsidRPr="00706F22">
        <w:tab/>
        <w:t>zwraca uwagę, że na północy Kosowa zamknięto w sposób nieskoordynowany kilkadziesiąt instytucji wspieranych przez Serbię;</w:t>
      </w:r>
    </w:p>
    <w:p w:rsidR="00CE1B3F" w:rsidRPr="00706F22" w:rsidP="00CE1B3F" w14:paraId="3934C7F0" w14:textId="77777777">
      <w:pPr>
        <w:pStyle w:val="NormalHanging12a"/>
      </w:pPr>
      <w:r w:rsidRPr="00706F22">
        <w:t>46.</w:t>
      </w:r>
      <w:r w:rsidRPr="00706F22">
        <w:tab/>
        <w:t xml:space="preserve">oczekuje, że Serbia będzie w pełni współpracować z Kosowem, aby w końcu postawić przed sądem sprawców ataku terrorystycznego w </w:t>
      </w:r>
      <w:r w:rsidRPr="00706F22">
        <w:t>Banjskiej</w:t>
      </w:r>
      <w:r w:rsidRPr="00706F22">
        <w:t xml:space="preserve"> z 2023 r.; ubolewa, że Serbia nadal nie pociągnęła sprawców do odpowiedzialności, a zwłaszcza Milana </w:t>
      </w:r>
      <w:r w:rsidRPr="00706F22">
        <w:t>Radoičicia</w:t>
      </w:r>
      <w:r w:rsidRPr="00706F22">
        <w:t xml:space="preserve">, byłego wiceprzewodniczącego Serbskiej Listy; przypomina, że wszystkie osoby odpowiedzialne za akty przemocy muszą zostać pociągnięte do odpowiedzialności i bezzwłocznie stanąć przed wymiarem sprawiedliwości zgodnie z zasadami praworządności i sprawiedliwości proceduralnej; zdecydowanie potępia atak na kanał </w:t>
      </w:r>
      <w:r w:rsidRPr="00706F22">
        <w:t>Ibar-Lepenac</w:t>
      </w:r>
      <w:r w:rsidRPr="00706F22">
        <w:t xml:space="preserve"> na północy Kosowa w listopadzie 2024 r. i wzywa do szybkiego zatrzymania sprawców i postawienia ich przed sądem; wzywa Serbię do bezzwłocznej odpowiedzi na złożony w styczniu 2025 r. wniosek Kosowa o wzajemną pomoc prawną w związku z tym atakiem oraz do pełnej współpracy w ramach dochodzenia;</w:t>
      </w:r>
    </w:p>
    <w:p w:rsidR="00CE1B3F" w:rsidRPr="00706F22" w:rsidP="00CE1B3F" w14:paraId="38E7241F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706F22">
        <w:t>47.</w:t>
      </w:r>
      <w:r w:rsidRPr="00706F22">
        <w:tab/>
      </w:r>
      <w:bookmarkStart w:id="10" w:name="_Hlk227242454"/>
      <w:r w:rsidRPr="00706F22">
        <w:t xml:space="preserve">odnotowuje, że wciąż nieznany jest los nawet 1590 zaginionych, a między kwietniem 2024 r. a końcem okresu sprawozdawczego we wrześniu 2025 r. wyjaśnił się los jedynie 26 zaginionych; wzywa Kosowo i Serbię do konstruktywnego zaangażowania się w dobrej wierze we wszystkie dyskusje techniczne mające na celu wyjaśnienie losu pozostałych zaginionych, np. za pośrednictwem podgrupy roboczej ds. kryminalistycznych, oraz do powstrzymania się od upolityczniania sprawy; z zadowoleniem przyjmuje pierwsze posiedzenie Wspólnej Komisji ds. Osób Zaginionych, zwołane przez głównych negocjatorów Kosowa i Serbii w styczniu 2026 r. w ramach dialogu wspieranego przez UE, i wzywa do dalszej współpracy w celu przyspieszenia identyfikacji masowych grobów i wymiany informacji; </w:t>
      </w:r>
      <w:bookmarkEnd w:id="10"/>
    </w:p>
    <w:p w:rsidR="00CE1B3F" w:rsidRPr="00706F22" w:rsidP="00CE1B3F" w14:paraId="16619341" w14:textId="77777777">
      <w:pPr>
        <w:pStyle w:val="NormalHanging12a"/>
      </w:pPr>
      <w:r w:rsidRPr="00706F22">
        <w:t>48.</w:t>
      </w:r>
      <w:r w:rsidRPr="00706F22">
        <w:tab/>
        <w:t>wzywa Serbię do otwarcia i udostępnienia całej istotnej dokumentacji policyjnej, wojskowej i archiwalnej związanej z wojną w Kosowie w latach 1998–1999, aby wesprzeć dochodzenie prawdy, sprawiedliwości i rozliczalności, również w przypadkach przemocy seksualnej związanej z konfliktami; zauważa, że nie wdrożono jeszcze ogólnego porozumienia w sprawie wymiany takich informacji, i wyraża zaniepokojenie rozszerzeniem klauzuli tajności, co grozi dalszym opóźnieniem dochodzenia sprawiedliwości i uznania dla osób, które przeżyły;</w:t>
      </w:r>
    </w:p>
    <w:p w:rsidR="00CE1B3F" w:rsidRPr="00706F22" w:rsidP="00CE1B3F" w14:paraId="385ADDDC" w14:textId="77777777">
      <w:pPr>
        <w:pStyle w:val="NormalHanging12a"/>
      </w:pPr>
      <w:r w:rsidRPr="00706F22">
        <w:t xml:space="preserve">49. </w:t>
      </w:r>
      <w:r w:rsidRPr="00706F22">
        <w:tab/>
        <w:t xml:space="preserve">przypomina, że ważne jest zapewnienie pełnego dostępu do archiwów byłych jugosłowiańskich służb specjalnych (UDBA) i tajnych służb Jugosłowiańskiej Armii Ludowej (KOS), również do tych, które znajdują się w Prisztinie i Belgradzie, aby gruntownie zbadać zbrodnie i organizacje przestępcze z czasów komunistycznych i podjąć stosowne działania; podkreśla, że otwarcie tych archiwów w całym regionie przyczyniłoby się do poszukiwania prawdy, sprawiedliwości dla ofiar, pojednania i konsolidacji demokratycznych rządów; </w:t>
      </w:r>
    </w:p>
    <w:p w:rsidR="00CE1B3F" w:rsidRPr="00706F22" w:rsidP="00CE1B3F" w14:paraId="10FE1213" w14:textId="77777777">
      <w:pPr>
        <w:pStyle w:val="NormalHanging12a"/>
      </w:pPr>
      <w:r w:rsidRPr="00706F22">
        <w:t>50.</w:t>
      </w:r>
      <w:r w:rsidRPr="00706F22">
        <w:tab/>
        <w:t xml:space="preserve">zachęca Kosowo do dalszego angażowania się w inicjatywy współpracy regionalnej; ponownie podkreśla znaczenie dowodzonych przez NATO sił w Kosowie dla szerszego bezpieczeństwa i pochwala ich nieustające wysiłki na rzecz budowania i utrzymania bezpieczeństwa w Kosowie i w całym regionie Bałkanów Zachodnich; przypomina o znaczeniu tej misji dla trwającego rozwoju kosowskich sił bezpieczeństwa dzięki doradztwu, szkoleniom i budowaniu zdolności; wzywa państwa członkowskie wnoszące wkład w </w:t>
      </w:r>
      <w:r w:rsidRPr="00706F22">
        <w:t>Kosovo</w:t>
      </w:r>
      <w:r w:rsidRPr="00706F22">
        <w:t xml:space="preserve"> Force, by nie ograniczyły swojej obecności;</w:t>
      </w:r>
    </w:p>
    <w:p w:rsidR="00CE1B3F" w:rsidRPr="00706F22" w:rsidP="00CE1B3F" w14:paraId="7E080B83" w14:textId="77777777">
      <w:pPr>
        <w:pStyle w:val="NormalHanging12a"/>
        <w:rPr>
          <w:szCs w:val="24"/>
        </w:rPr>
      </w:pPr>
      <w:r w:rsidRPr="00706F22">
        <w:t>51.</w:t>
      </w:r>
      <w:r w:rsidRPr="00706F22">
        <w:tab/>
        <w:t>wzywa do wznowienia wysiłków na rzecz ochrony dziedzictwa religijnego i kulturowego w Kosowie, w tym miejsc kultu prawosławnego, islamskiego i katolickiego oraz innych miejsc, w ramach szerszego zaangażowania na rzecz pluralizmu, pojednania i poszanowania wspólnego dziedzictwa kulturowego Europy;</w:t>
      </w:r>
    </w:p>
    <w:p w:rsidR="00CE1B3F" w:rsidRPr="00706F22" w:rsidP="00CE1B3F" w14:paraId="15AE8BAA" w14:textId="77777777">
      <w:pPr>
        <w:pStyle w:val="NormalHanging12a"/>
        <w:rPr>
          <w:b/>
          <w:bCs/>
          <w:i/>
        </w:rPr>
      </w:pPr>
      <w:r w:rsidRPr="00706F22">
        <w:rPr>
          <w:b/>
          <w:i/>
        </w:rPr>
        <w:t>Reformy społeczno-gospodarcze</w:t>
      </w:r>
    </w:p>
    <w:p w:rsidR="00CE1B3F" w:rsidRPr="00706F22" w:rsidP="00CE1B3F" w14:paraId="6430C1F6" w14:textId="77777777">
      <w:pPr>
        <w:pStyle w:val="NormalHanging12a"/>
      </w:pPr>
      <w:r w:rsidRPr="00706F22">
        <w:t>52.</w:t>
      </w:r>
      <w:r w:rsidRPr="00706F22">
        <w:tab/>
        <w:t>zauważa, że Kosowo jest w umiarkowanym stopniu przygotowane w dziedzinie polityki gospodarczej i pieniężnej oraz konkurencyjności; podkreśla, że Kosowo musi dostosować swoje ramy budżetowe do dorobku prawnego UE i przezwyciężyć słabości strukturalne, zwłaszcza takie jak znikoma baza produkcyjna i utrudnienia w dostępie do finansowania dla MŚP; podkreśla znaczenie zapewnienia trwałego wzrostu gospodarczego, zmniejszenia bezrobocia i wzmocnienia krajowego systemu ochrony socjalnej zgodnie z dorobkiem socjalnym UE; podkreśla, że Kosowo musi podjąć szersze reformy, aby zaradzić utrzymującym się słabościom strukturalnym;</w:t>
      </w:r>
    </w:p>
    <w:p w:rsidR="00CE1B3F" w:rsidRPr="00706F22" w:rsidP="00CE1B3F" w14:paraId="3D8DE5F7" w14:textId="77777777">
      <w:pPr>
        <w:pStyle w:val="NormalHanging12a"/>
        <w:rPr>
          <w:bCs/>
        </w:rPr>
      </w:pPr>
      <w:r w:rsidRPr="00706F22">
        <w:t>53.</w:t>
      </w:r>
      <w:r w:rsidRPr="00706F22">
        <w:tab/>
        <w:t>z zadowoleniem przyjmuje ustalenie Komisji, że Kosowo poczyniło pewne postępy w rozwijaniu funkcjonującej gospodarki rynkowej, przede wszystkim dzięki silniejszemu wzrostowi gospodarczemu, solidnemu i odpornemu sektorowi bankowemu, ograniczeniu sektora nieformalnego i szybszemu rozstrzyganiu sporów handlowych; zwraca uwagę na ciągłe istnienie gospodarki nieformalnej i wzywa władze do zapewnienia inspektoratowi pracy niezbędnych zasobów, aby mógł w pełni wykonywać swoje zadania;</w:t>
      </w:r>
    </w:p>
    <w:p w:rsidR="00CE1B3F" w:rsidRPr="00706F22" w:rsidP="00CE1B3F" w14:paraId="07BC0847" w14:textId="77777777">
      <w:pPr>
        <w:pStyle w:val="NormalHanging12a"/>
        <w:rPr>
          <w:bCs/>
        </w:rPr>
      </w:pPr>
      <w:r w:rsidRPr="00706F22">
        <w:t>54.</w:t>
      </w:r>
      <w:r w:rsidRPr="00706F22">
        <w:tab/>
        <w:t>z zadowoleniem przyjmuje fakt, że Sąd Gospodarczy Kosowa skutecznie rozpatruje sprawy dotyczące praw własności intelektualnej; wzywa Sąd Gospodarczy do dalszej współpracy z Urzędem Unii Europejskiej ds. Własności Intelektualnej;</w:t>
      </w:r>
    </w:p>
    <w:p w:rsidR="00CE1B3F" w:rsidRPr="00706F22" w:rsidP="00CE1B3F" w14:paraId="53965393" w14:textId="77777777">
      <w:pPr>
        <w:pStyle w:val="NormalHanging12a"/>
        <w:rPr>
          <w:rFonts w:eastAsiaTheme="minorHAnsi"/>
          <w:color w:val="000000" w:themeColor="text1"/>
          <w:kern w:val="2"/>
          <w:szCs w:val="24"/>
          <w14:ligatures w14:val="standardContextual"/>
        </w:rPr>
      </w:pPr>
      <w:r w:rsidRPr="00706F22">
        <w:t>55.</w:t>
      </w:r>
      <w:r w:rsidRPr="00706F22">
        <w:tab/>
        <w:t xml:space="preserve">wzywa do zapewnienia odpowiedniej ochrony pracy, sprawiedliwych wynagrodzeń i egzekwowania prawa pracy zgodnie ze standardami UE; ubolewa nad faktem, że dialog społeczny w Kosowie pozostaje ograniczony; apeluje o ukierunkowane wsparcie na rzecz budowania zdolności partnerów społecznych; wzywa władze do ochrony niezależności i uzasadnionej roli związków zawodowych reprezentujących pracowników oraz podstawowych praw pracowniczych, w tym prawa do rokowań zbiorowych, w prawie i w praktyce, zarówno w sektorze publicznym, jak i prywatnym; </w:t>
      </w:r>
      <w:r w:rsidRPr="00706F22">
        <w:t>wzywa władze Kosowa do odnowienia mandatu Rady Społeczno-Gospodarczej, do promowania dialogu społecznego oraz do wykorzystania Instrumentu Wsparcia Reform i Wzrostu Gospodarczego na Bałkanach Zachodnich, aby pomóc w budowaniu zdolności partnerów społecznych;</w:t>
      </w:r>
    </w:p>
    <w:p w:rsidR="00CE1B3F" w:rsidRPr="00706F22" w:rsidP="00CE1B3F" w14:paraId="491108B1" w14:textId="77777777">
      <w:pPr>
        <w:pStyle w:val="NormalHanging12a"/>
      </w:pPr>
      <w:r w:rsidRPr="00706F22">
        <w:rPr>
          <w:color w:val="000000" w:themeColor="text1"/>
        </w:rPr>
        <w:t>56.</w:t>
      </w:r>
      <w:r w:rsidRPr="00706F22">
        <w:rPr>
          <w:color w:val="000000" w:themeColor="text1"/>
        </w:rPr>
        <w:tab/>
      </w:r>
      <w:r w:rsidRPr="00706F22">
        <w:t>z zadowoleniem przyjmuje konsolidację systemu wynagrodzeń na mocy ustawy o wynagrodzeniach w sektorze publicznym; ubolewa jednak nad faktem, że nadal nie zajęto się klasyfikacją zawodów, systematyzacją stanowisk i wyrokiem Trybunału Konstytucyjnego w sprawie przepisów niezgodnych z konstytucją; wzywa władze do przyjęcia projektu ustawy o zarządzaniu finansami publicznymi oraz do włączenia do niego oceny ryzyka fiskalnego i metodologii inwestycji publicznych;</w:t>
      </w:r>
    </w:p>
    <w:p w:rsidR="00CE1B3F" w:rsidRPr="00706F22" w:rsidP="00CE1B3F" w14:paraId="2D87436C" w14:textId="77777777">
      <w:pPr>
        <w:pStyle w:val="NormalHanging12a"/>
      </w:pPr>
      <w:r w:rsidRPr="00706F22">
        <w:t>57.</w:t>
      </w:r>
      <w:r w:rsidRPr="00706F22">
        <w:tab/>
        <w:t>wyraża zaniepokojenie, że przeciętne dalsze trwanie życia w momencie urodzenia pozostaje niższe niż średnia UE oraz że umieralność dzieci pozostaje najwyższa w regionie i znacznie wyższa niż średnia UE; ubolewa nad faktem, że postępy na drodze do powszechnego zabezpieczenia zdrowotnego są nadal bardzo ograniczone i że nadal występują poważne niedociągnięcia; wzywa władze do zapewnienia wszystkim obywatelom lepszego dostępu do usług opieki zdrowotnej;</w:t>
      </w:r>
    </w:p>
    <w:p w:rsidR="00CE1B3F" w:rsidRPr="00706F22" w:rsidP="00CE1B3F" w14:paraId="393246E6" w14:textId="77777777">
      <w:pPr>
        <w:pStyle w:val="NormalHanging12a"/>
      </w:pPr>
      <w:r w:rsidRPr="00706F22">
        <w:t>58.</w:t>
      </w:r>
      <w:r w:rsidRPr="00706F22">
        <w:tab/>
        <w:t>wzywa Kosowo do priorytetowego traktowania wysokiej jakości kształcenia zawodowego, silniejszych powiązań między edukacją a potrzebami rynku pracy oraz ukierunkowanego wsparcia dla młodych przedsiębiorców i naukowców, aby stworzyć wiarygodne perspektywy dla młodych ludzi w tym kraju;</w:t>
      </w:r>
    </w:p>
    <w:p w:rsidR="00CE1B3F" w:rsidRPr="00706F22" w:rsidP="00CE1B3F" w14:paraId="58D6B607" w14:textId="77777777">
      <w:pPr>
        <w:pStyle w:val="NormalHanging12a"/>
      </w:pPr>
      <w:r w:rsidRPr="00706F22">
        <w:t>59.</w:t>
      </w:r>
      <w:r w:rsidRPr="00706F22">
        <w:tab/>
        <w:t>zachęca Kosowo do dalszego zawierania umów w sprawie koordynacji systemów zabezpieczenia społecznego z państwami członkowskimi UE;</w:t>
      </w:r>
    </w:p>
    <w:p w:rsidR="00CE1B3F" w:rsidRPr="00706F22" w:rsidP="00CE1B3F" w14:paraId="40120788" w14:textId="77777777">
      <w:pPr>
        <w:pStyle w:val="NormalHanging12a"/>
      </w:pPr>
      <w:r w:rsidRPr="00706F22">
        <w:t>60.</w:t>
      </w:r>
      <w:r w:rsidRPr="00706F22">
        <w:tab/>
        <w:t xml:space="preserve">zauważa, że Kosowo poczyniło pewne postępy w przygotowaniach do transformacji cyfrowej, np. w zakresie rozszerzenia usług online i zasięgu sieci 5G; ubolewa, że jedynie 10 % usług publicznych jest obecnie oferowanych online oraz że cyfryzacja pozostaje fragmentaryczna; podkreśla, że Kosowo musi dostosować się do odpowiednich przepisów cyfrowych UE, w tym Europejskiego kodeksu łączności elektronicznej, dyrektywy NIS 2, unijnego zestawu narzędzi na potrzeby </w:t>
      </w:r>
      <w:r w:rsidRPr="00706F22">
        <w:t>cyberbezpieczeństwa</w:t>
      </w:r>
      <w:r w:rsidRPr="00706F22">
        <w:t xml:space="preserve"> sieci 5G, aktu o usługach cyfrowych, aktu o rynkach cyfrowych oraz unijnych ram tożsamości cyfrowej; ubolewa nad faktem, że Kosowo przyjęło jedynie 8 z 14 aktów prawa wtórnego wynikających z ustawy o </w:t>
      </w:r>
      <w:r w:rsidRPr="00706F22">
        <w:t>cyberbezpieczeństwie</w:t>
      </w:r>
      <w:r w:rsidRPr="00706F22">
        <w:t xml:space="preserve"> oraz że zarówno Agencja ds. </w:t>
      </w:r>
      <w:r w:rsidRPr="00706F22">
        <w:t>Cyberbezpieczeństwa</w:t>
      </w:r>
      <w:r w:rsidRPr="00706F22">
        <w:t xml:space="preserve">, jak i Krajowa Rada ds. </w:t>
      </w:r>
      <w:r w:rsidRPr="00706F22">
        <w:t>Cyberbezpieczeństwa</w:t>
      </w:r>
      <w:r w:rsidRPr="00706F22">
        <w:t xml:space="preserve"> muszą dopiero osiągnąć pełną operacyjność; wzywa do przyjęcia kompleksowej strategii e-rządzenia dostosowanej do norm UE, a także do poprawy interoperacyjności systemów administracji publicznej; wzywa Kosowo do intensywniejszego promowania cyfryzacji oraz do dalszego rozwijania bezpiecznych cyfrowych usług publicznych;</w:t>
      </w:r>
    </w:p>
    <w:p w:rsidR="00CE1B3F" w:rsidRPr="00706F22" w:rsidP="00CE1B3F" w14:paraId="0EB7AFD8" w14:textId="77777777">
      <w:pPr>
        <w:pStyle w:val="NormalHanging12a"/>
      </w:pPr>
      <w:r w:rsidRPr="00706F22">
        <w:t>61.</w:t>
      </w:r>
      <w:r w:rsidRPr="00706F22">
        <w:tab/>
        <w:t>z zadowoleniem przyjmuje pierwsze kroki podjęte przez Kosowo w kierunku bardziej strategicznego podejścia do badań naukowych i innowacji, w tym rozpoczęcie finansowania środków wsparcia innowacji oraz udział Kosowa w sieci europejskich centrów innowacji cyfrowych;</w:t>
      </w:r>
    </w:p>
    <w:p w:rsidR="00CE1B3F" w:rsidRPr="00706F22" w:rsidP="00CE1B3F" w14:paraId="37E1B73A" w14:textId="77777777">
      <w:pPr>
        <w:pStyle w:val="NormalHanging12a"/>
      </w:pPr>
      <w:r w:rsidRPr="00706F22">
        <w:t>62.</w:t>
      </w:r>
      <w:r w:rsidRPr="00706F22">
        <w:tab/>
        <w:t xml:space="preserve">z zadowoleniem przyjmuje wniosek Komisji dotyczący rozpoczęcia negocjacji w sprawie rozszerzenia unijnego systemu znoszącego opłaty </w:t>
      </w:r>
      <w:r w:rsidRPr="00706F22">
        <w:t>roamingowe</w:t>
      </w:r>
      <w:r w:rsidRPr="00706F22">
        <w:t xml:space="preserve"> na Bałkany Zachodnie, w tym Kosowo, z myślą o zapewnieniu wymiernych korzyści obywatelom i </w:t>
      </w:r>
      <w:r w:rsidRPr="00706F22">
        <w:t xml:space="preserve">przedsiębiorstwom oraz o lepszym połączeniu regionu; zauważa, że inicjatywa ta opiera się na istniejących regionalnych ustaleniach dotyczących </w:t>
      </w:r>
      <w:r w:rsidRPr="00706F22">
        <w:t>roamingu</w:t>
      </w:r>
      <w:r w:rsidRPr="00706F22">
        <w:t xml:space="preserve">; wzywa do szybkiego przyjęcia mandatów negocjacyjnych i terminowego zawarcia umów, aby zapewnić szybkie i skuteczne włączenie Kosowa do unijnego obszaru bez opłat </w:t>
      </w:r>
      <w:r w:rsidRPr="00706F22">
        <w:t>roamingowych</w:t>
      </w:r>
      <w:r w:rsidRPr="00706F22">
        <w:t>;</w:t>
      </w:r>
    </w:p>
    <w:p w:rsidR="00CE1B3F" w:rsidRPr="00706F22" w:rsidP="00CE1B3F" w14:paraId="693F0A07" w14:textId="77777777">
      <w:pPr>
        <w:pStyle w:val="NormalHanging12a"/>
        <w:rPr>
          <w:b/>
          <w:bCs/>
        </w:rPr>
      </w:pPr>
      <w:r w:rsidRPr="00706F22">
        <w:rPr>
          <w:b/>
          <w:i/>
        </w:rPr>
        <w:t>Energia, środowisko, zrównoważony rozwój i łączność</w:t>
      </w:r>
    </w:p>
    <w:p w:rsidR="00CE1B3F" w:rsidRPr="00706F22" w:rsidP="00CE1B3F" w14:paraId="3270A634" w14:textId="77777777">
      <w:pPr>
        <w:pStyle w:val="NormalHanging12a"/>
        <w:rPr>
          <w:bCs/>
        </w:rPr>
      </w:pPr>
      <w:r w:rsidRPr="00706F22">
        <w:t>63.</w:t>
      </w:r>
      <w:r w:rsidRPr="00706F22">
        <w:tab/>
        <w:t>zauważa, że Kosowo jest nadal w dużym stopniu uzależnione od przestarzałych elektrowni węglowych, dlatego musi przyspieszyć inwestycje w efektywność energetyczną; z zadowoleniem przyjmuje fakt, że poczyniono pewne postępy w sektorze energetycznym, w szczególności dzięki uruchomieniu aukcji energii wiatrowej o mocy 100 MW; wzywa Kosowo do przyspieszenia transformacji ekologicznej i znacznego zmniejszenia zależności od paliw kopalnych i elektrowni węglowych; wzywa UE do intensywniejszych wysiłków, aby pomóc Kosowu osiągnąć te cele; wzywa rząd Kosowa do inwestycji w dywersyfikację koszyka energetycznego, która zwiększy bezpieczeństwo dostaw; zachęca Kosowo do dalszych wysiłków na rzecz integracji krajowego rynku energii elektrycznej z europejskimi rynkami energii elektrycznej, w tym poprzez skuteczne wdrożenie reform rynku energii elektrycznej i zacieśnienie współpracy transgranicznej w sektorze energii elektrycznej;</w:t>
      </w:r>
    </w:p>
    <w:p w:rsidR="00CE1B3F" w:rsidRPr="00706F22" w:rsidP="00CE1B3F" w14:paraId="26A4F5CE" w14:textId="77777777">
      <w:pPr>
        <w:pStyle w:val="NormalHanging12a"/>
      </w:pPr>
      <w:r w:rsidRPr="00706F22">
        <w:t>64.</w:t>
      </w:r>
      <w:r w:rsidRPr="00706F22">
        <w:tab/>
        <w:t>zachęca władze Kosowa, by wzmocniły zdolności instytucjonalne i administracyjne w celu realizacji strategicznych projektów infrastrukturalnych, np. dzięki wykorzystywaniu kompleksowych ocen oddziaływania na środowisko i środków zrównoważonego rozwoju na etapie planowania, oraz by kontynuowały wdrażanie wciąż niezrealizowanych projektów w dziedzinie połączeń transportowych i energetycznych; wzywa Komisję i Kosowo do priorytetowego traktowania strategicznych projektów w dziedzinie łączności, łączących Bałkany Zachodnie z europejskimi korytarzami transportowymi, energetycznymi i cyfrowymi oraz obszarem Morza Czarnego, np. poprzez połączenia międzysystemowe, środki w zakresie efektywności energetycznej, inwestycje w odnawialne źródła energii, integrację z jednolitym obszarem płatności w euro (SEPA) i lepszy dostęp MŚP do finansowania; podkreśla, że inwestycje te zwiększają konwergencję społeczno-gospodarczą, odporność geostrategiczną i europejskie bezpieczeństwo gospodarcze;</w:t>
      </w:r>
    </w:p>
    <w:p w:rsidR="00CE1B3F" w:rsidRPr="00706F22" w:rsidP="00CE1B3F" w14:paraId="21769C4E" w14:textId="77777777">
      <w:pPr>
        <w:pStyle w:val="NormalHanging12a"/>
      </w:pPr>
      <w:r w:rsidRPr="00706F22">
        <w:t>65.</w:t>
      </w:r>
      <w:r w:rsidRPr="00706F22">
        <w:tab/>
        <w:t xml:space="preserve">wzywa Kosowo do powiększenia obszarów chronionych w kraju oraz do podjęcia odpowiednich środków w celu zarządzania obszarami chronionymi i miejscami dziedzictwa kulturowo-historycznego z myślą o ochronie różnorodności biologicznej, w tym kluczowych siedlisk krytycznie zagrożonego rysia bałkańskiego; z zadowoleniem przyjmuje stałą współpracę Kosowa z Macedonią Północną i Albanią w zakresie transgranicznego Parku Narodowego </w:t>
      </w:r>
      <w:r w:rsidRPr="00706F22">
        <w:t>Szar</w:t>
      </w:r>
      <w:r w:rsidRPr="00706F22">
        <w:t xml:space="preserve"> Płaniny; zachęca Kosowo do dalszego zintensyfikowania i przyspieszenia wspólnych działań z krajami sąsiadującymi, aby wyznaczyć transgraniczne obszary chronione i opracować spójne transgraniczne plany zarządzania; wzywa Kosowo do zmiany ustawy o gospodarowaniu odpadami oraz wdrożenia ustawy o zmianie klimatu;</w:t>
      </w:r>
    </w:p>
    <w:p w:rsidR="00CE1B3F" w:rsidRPr="00706F22" w:rsidP="00CE1B3F" w14:paraId="5E572637" w14:textId="77777777">
      <w:pPr>
        <w:pStyle w:val="NormalHanging12a"/>
        <w:jc w:val="center"/>
      </w:pPr>
      <w:r w:rsidRPr="00706F22">
        <w:t>°</w:t>
      </w:r>
    </w:p>
    <w:p w:rsidR="00CE1B3F" w:rsidRPr="00706F22" w:rsidP="00CE1B3F" w14:paraId="5061E991" w14:textId="77777777">
      <w:pPr>
        <w:pStyle w:val="NormalHanging12a"/>
        <w:jc w:val="center"/>
      </w:pPr>
      <w:r w:rsidRPr="00706F22">
        <w:t>°</w:t>
      </w:r>
      <w:r w:rsidRPr="00706F22">
        <w:tab/>
        <w:t>°</w:t>
      </w:r>
    </w:p>
    <w:p w:rsidR="00706F22" w:rsidRPr="00706F22" w:rsidP="00706F22" w14:paraId="574A347E" w14:textId="455B19AB">
      <w:pPr>
        <w:pStyle w:val="NormalHanging12a"/>
      </w:pPr>
      <w:r w:rsidRPr="00706F22">
        <w:t>66.</w:t>
      </w:r>
      <w:r w:rsidRPr="00706F22">
        <w:tab/>
        <w:t xml:space="preserve">zobowiązuje swoją przewodniczącą do przekazania niniejszej rezolucji </w:t>
      </w:r>
      <w:r w:rsidRPr="00706F22">
        <w:t xml:space="preserve">przewodniczącemu Rady Europejskiej, Komisji, wiceprzewodniczącej Komisji / wysokiej przedstawicielce Unii do spraw zagranicznych i polityki bezpieczeństwa, rządom i parlamentom państw członkowskich oraz prezydentce, rządowi i Zgromadzeniu Narodowemu </w:t>
      </w:r>
      <w:bookmarkEnd w:id="6"/>
      <w:r w:rsidRPr="00706F22">
        <w:t>Kosowa.</w:t>
      </w:r>
    </w:p>
    <w:p w:rsidR="00E365E1" w:rsidRPr="00706F22" w:rsidP="001A6C2E" w14:paraId="12AE9B3D" w14:textId="5B015024"/>
    <w:sectPr w:rsidSect="00706F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06F22" w14:paraId="1F5EE25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06F22" w14:paraId="416A0E1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06F22" w14:paraId="1B83600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A6C2E" w:rsidRPr="00706F22" w14:paraId="30157755" w14:textId="77777777">
      <w:r w:rsidRPr="00706F22">
        <w:separator/>
      </w:r>
    </w:p>
  </w:footnote>
  <w:footnote w:type="continuationSeparator" w:id="1">
    <w:p w:rsidR="001A6C2E" w:rsidRPr="00706F22" w14:paraId="1EA77CF9" w14:textId="77777777">
      <w:r w:rsidRPr="00706F22">
        <w:continuationSeparator/>
      </w:r>
    </w:p>
  </w:footnote>
  <w:footnote w:id="2">
    <w:p w:rsidR="00CE1B3F" w:rsidRPr="00706F22" w:rsidP="00706F22" w14:paraId="42627D98" w14:textId="3E926859">
      <w:pPr>
        <w:pStyle w:val="FootnoteText"/>
        <w:ind w:left="567" w:hanging="567"/>
        <w:rPr>
          <w:sz w:val="24"/>
          <w:u w:val="single" w:color="0000FF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Dz.U. L 71 z </w:t>
      </w:r>
      <w:r w:rsidRPr="00706F22">
        <w:rPr>
          <w:sz w:val="24"/>
          <w:lang w:val="pl-PL"/>
        </w:rPr>
        <w:t>16.3.2016</w:t>
      </w:r>
      <w:r w:rsidRPr="00706F22">
        <w:rPr>
          <w:sz w:val="24"/>
          <w:lang w:val="pl-PL"/>
        </w:rPr>
        <w:t xml:space="preserve">, s. 3, ELI: </w:t>
      </w:r>
      <w:hyperlink r:id="rId1" w:history="1">
        <w:r w:rsidRPr="00706F22">
          <w:rPr>
            <w:rStyle w:val="Hyperlink"/>
            <w:sz w:val="24"/>
            <w:lang w:val="pl-PL"/>
          </w:rPr>
          <w:t>http://data.europa.eu/eli/agree_internation/2016/342/oj</w:t>
        </w:r>
      </w:hyperlink>
      <w:r w:rsidRPr="00706F22">
        <w:rPr>
          <w:sz w:val="24"/>
          <w:lang w:val="pl-PL"/>
        </w:rPr>
        <w:t>.</w:t>
      </w:r>
    </w:p>
  </w:footnote>
  <w:footnote w:id="3">
    <w:p w:rsidR="00CE1B3F" w:rsidRPr="00706F22" w:rsidP="00706F22" w14:paraId="577901BD" w14:textId="22FA499F">
      <w:pPr>
        <w:pStyle w:val="FootnoteText"/>
        <w:ind w:left="567" w:hanging="567"/>
        <w:rPr>
          <w:sz w:val="24"/>
          <w:u w:val="single" w:color="0000FF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Dz.U. L 195 z </w:t>
      </w:r>
      <w:r w:rsidRPr="00706F22">
        <w:rPr>
          <w:sz w:val="24"/>
          <w:lang w:val="pl-PL"/>
        </w:rPr>
        <w:t>27.7.2017</w:t>
      </w:r>
      <w:r w:rsidRPr="00706F22">
        <w:rPr>
          <w:sz w:val="24"/>
          <w:lang w:val="pl-PL"/>
        </w:rPr>
        <w:t xml:space="preserve">, s. 3, ELI: </w:t>
      </w:r>
      <w:hyperlink r:id="rId2" w:history="1">
        <w:r w:rsidRPr="00706F22">
          <w:rPr>
            <w:rStyle w:val="Hyperlink"/>
            <w:sz w:val="24"/>
            <w:lang w:val="pl-PL"/>
          </w:rPr>
          <w:t>http://data.europa.eu/eli/agree_internation/2017/1388/oj</w:t>
        </w:r>
      </w:hyperlink>
      <w:r w:rsidRPr="00706F22">
        <w:rPr>
          <w:sz w:val="24"/>
          <w:lang w:val="pl-PL"/>
        </w:rPr>
        <w:t>.</w:t>
      </w:r>
    </w:p>
  </w:footnote>
  <w:footnote w:id="4">
    <w:p w:rsidR="00CE1B3F" w:rsidRPr="00706F22" w:rsidP="00706F22" w14:paraId="5844A17A" w14:textId="19D8A5CF">
      <w:pPr>
        <w:pStyle w:val="FootnoteText"/>
        <w:ind w:left="567" w:hanging="567"/>
        <w:rPr>
          <w:sz w:val="24"/>
          <w:u w:val="single" w:color="0000FF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Dz.U. L 330 z </w:t>
      </w:r>
      <w:r w:rsidRPr="00706F22">
        <w:rPr>
          <w:sz w:val="24"/>
          <w:lang w:val="pl-PL"/>
        </w:rPr>
        <w:t>20.9.2021</w:t>
      </w:r>
      <w:r w:rsidRPr="00706F22">
        <w:rPr>
          <w:sz w:val="24"/>
          <w:lang w:val="pl-PL"/>
        </w:rPr>
        <w:t xml:space="preserve">, s. 1, ELI: </w:t>
      </w:r>
      <w:hyperlink r:id="rId3" w:history="1">
        <w:r w:rsidRPr="00706F22">
          <w:rPr>
            <w:rStyle w:val="Hyperlink"/>
            <w:sz w:val="24"/>
            <w:lang w:val="pl-PL"/>
          </w:rPr>
          <w:t>http://data.europa.eu/eli/reg/2021/1529/oj</w:t>
        </w:r>
      </w:hyperlink>
      <w:r w:rsidRPr="00706F22">
        <w:rPr>
          <w:sz w:val="24"/>
          <w:lang w:val="pl-PL"/>
        </w:rPr>
        <w:t>.</w:t>
      </w:r>
    </w:p>
  </w:footnote>
  <w:footnote w:id="5">
    <w:p w:rsidR="00CE1B3F" w:rsidRPr="00706F22" w:rsidP="00706F22" w14:paraId="5BF39BC9" w14:textId="4F432385">
      <w:pPr>
        <w:pStyle w:val="FootnoteText"/>
        <w:ind w:left="567" w:hanging="567"/>
        <w:rPr>
          <w:sz w:val="24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Dz.U. L 110 z </w:t>
      </w:r>
      <w:r w:rsidRPr="00706F22">
        <w:rPr>
          <w:sz w:val="24"/>
          <w:lang w:val="pl-PL"/>
        </w:rPr>
        <w:t>25.4.2023</w:t>
      </w:r>
      <w:r w:rsidRPr="00706F22">
        <w:rPr>
          <w:sz w:val="24"/>
          <w:lang w:val="pl-PL"/>
        </w:rPr>
        <w:t>, s. 1, ELI: </w:t>
      </w:r>
      <w:hyperlink r:id="rId4" w:tooltip="Dostęp do dokumentu poprzez identyfikator URI w systemie ELI." w:history="1">
        <w:r w:rsidRPr="00706F22">
          <w:rPr>
            <w:rStyle w:val="Hyperlink"/>
            <w:sz w:val="24"/>
            <w:lang w:val="pl-PL"/>
          </w:rPr>
          <w:t>http://data.europa.eu/eli/reg/2023/850/oj</w:t>
        </w:r>
      </w:hyperlink>
      <w:r w:rsidRPr="00706F22">
        <w:rPr>
          <w:sz w:val="24"/>
          <w:lang w:val="pl-PL"/>
        </w:rPr>
        <w:t>.</w:t>
      </w:r>
    </w:p>
  </w:footnote>
  <w:footnote w:id="6">
    <w:p w:rsidR="00CE1B3F" w:rsidRPr="00706F22" w:rsidP="00706F22" w14:paraId="2BAC5F63" w14:textId="3D27B3FB">
      <w:pPr>
        <w:pStyle w:val="FootnoteText"/>
        <w:ind w:left="567" w:hanging="567"/>
        <w:rPr>
          <w:sz w:val="24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Dz.U. L, 2024/1449, </w:t>
      </w:r>
      <w:r w:rsidRPr="00706F22">
        <w:rPr>
          <w:sz w:val="24"/>
          <w:lang w:val="pl-PL"/>
        </w:rPr>
        <w:t>24.5.2024</w:t>
      </w:r>
      <w:r w:rsidRPr="00706F22">
        <w:rPr>
          <w:sz w:val="24"/>
          <w:lang w:val="pl-PL"/>
        </w:rPr>
        <w:t xml:space="preserve">, </w:t>
      </w:r>
      <w:r w:rsidRPr="00706F22">
        <w:rPr>
          <w:color w:val="333333"/>
          <w:sz w:val="24"/>
          <w:shd w:val="clear" w:color="auto" w:fill="FFFFFF"/>
          <w:lang w:val="pl-PL"/>
        </w:rPr>
        <w:t>ELI: </w:t>
      </w:r>
      <w:hyperlink r:id="rId5" w:tooltip="Dostęp do dokumentu poprzez identyfikator URI w systemie ELI." w:history="1">
        <w:r w:rsidRPr="00706F22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http://data.europa.eu/eli/reg/2024/1449/oj</w:t>
        </w:r>
      </w:hyperlink>
      <w:r w:rsidRPr="00706F22">
        <w:rPr>
          <w:sz w:val="24"/>
          <w:lang w:val="pl-PL"/>
        </w:rPr>
        <w:t>.</w:t>
      </w:r>
    </w:p>
  </w:footnote>
  <w:footnote w:id="7">
    <w:p w:rsidR="00CE1B3F" w:rsidRPr="00706F22" w:rsidP="00706F22" w14:paraId="0ED42BFD" w14:textId="5843162A">
      <w:pPr>
        <w:pStyle w:val="FootnoteText"/>
        <w:ind w:left="567" w:hanging="567"/>
        <w:rPr>
          <w:sz w:val="24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Dz.U. L, 2025/1161, </w:t>
      </w:r>
      <w:r w:rsidRPr="00706F22">
        <w:rPr>
          <w:sz w:val="24"/>
          <w:lang w:val="pl-PL"/>
        </w:rPr>
        <w:t>6.6.2025</w:t>
      </w:r>
      <w:r w:rsidRPr="00706F22">
        <w:rPr>
          <w:sz w:val="24"/>
          <w:lang w:val="pl-PL"/>
        </w:rPr>
        <w:t>, ELI: </w:t>
      </w:r>
      <w:hyperlink r:id="rId6" w:tgtFrame="_blank" w:tooltip="Dostęp do dokumentu poprzez identyfikator URI w systemie ELI." w:history="1">
        <w:r w:rsidRPr="00706F22">
          <w:rPr>
            <w:rStyle w:val="Hyperlink"/>
            <w:sz w:val="24"/>
            <w:lang w:val="pl-PL"/>
          </w:rPr>
          <w:t>http://data.europa.eu/eli/dec/2025/1161/oj</w:t>
        </w:r>
      </w:hyperlink>
      <w:r w:rsidRPr="00706F22">
        <w:rPr>
          <w:sz w:val="24"/>
          <w:lang w:val="pl-PL"/>
        </w:rPr>
        <w:t>.</w:t>
      </w:r>
    </w:p>
  </w:footnote>
  <w:footnote w:id="8">
    <w:p w:rsidR="00CE1B3F" w:rsidRPr="00706F22" w:rsidP="00706F22" w14:paraId="7CA84646" w14:textId="077B7B9A">
      <w:pPr>
        <w:pStyle w:val="FootnoteText"/>
        <w:ind w:left="567" w:hanging="567"/>
        <w:rPr>
          <w:sz w:val="24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Rozporządzenie Parlamentu Europejskiego i Rady (UE) 2024/1083 z dnia 11 kwietnia 2024 r. w sprawie ustanowienia wspólnych ram dla usług medialnych na rynku wewnętrznym i zmiany dyrektywy 2010/13/UE (europejski akt o wolności mediów) (Dz.U. L, 2024/1083, </w:t>
      </w:r>
      <w:r w:rsidRPr="00706F22">
        <w:rPr>
          <w:sz w:val="24"/>
          <w:lang w:val="pl-PL"/>
        </w:rPr>
        <w:t>17.4.2024</w:t>
      </w:r>
      <w:r w:rsidRPr="00706F22">
        <w:rPr>
          <w:sz w:val="24"/>
          <w:lang w:val="pl-PL"/>
        </w:rPr>
        <w:t xml:space="preserve">, ELI: </w:t>
      </w:r>
      <w:hyperlink r:id="rId7" w:history="1">
        <w:r w:rsidRPr="00706F22">
          <w:rPr>
            <w:rStyle w:val="Hyperlink"/>
            <w:sz w:val="24"/>
            <w:lang w:val="pl-PL"/>
          </w:rPr>
          <w:t>http://data.europa.eu/eli/reg/2024/1083/oj</w:t>
        </w:r>
      </w:hyperlink>
      <w:r w:rsidRPr="00706F22">
        <w:rPr>
          <w:sz w:val="24"/>
          <w:lang w:val="pl-PL"/>
        </w:rPr>
        <w:t>).</w:t>
      </w:r>
    </w:p>
  </w:footnote>
  <w:footnote w:id="9">
    <w:p w:rsidR="00CE1B3F" w:rsidRPr="00706F22" w:rsidP="00706F22" w14:paraId="5E9CE290" w14:textId="14C7E627">
      <w:pPr>
        <w:pStyle w:val="FootnoteText"/>
        <w:ind w:left="567" w:hanging="567"/>
        <w:rPr>
          <w:sz w:val="24"/>
          <w:lang w:val="pl-PL"/>
        </w:rPr>
      </w:pPr>
      <w:r w:rsidRPr="00706F22">
        <w:rPr>
          <w:rStyle w:val="FootnoteReference"/>
          <w:sz w:val="24"/>
          <w:lang w:val="pl-PL"/>
        </w:rPr>
        <w:footnoteRef/>
      </w:r>
      <w:r w:rsidRPr="00706F22" w:rsidR="00706F22">
        <w:rPr>
          <w:sz w:val="24"/>
          <w:lang w:val="pl-PL"/>
        </w:rPr>
        <w:t xml:space="preserve"> </w:t>
      </w:r>
      <w:r w:rsidRPr="00706F22" w:rsidR="00706F22">
        <w:rPr>
          <w:sz w:val="24"/>
          <w:lang w:val="pl-PL"/>
        </w:rPr>
        <w:tab/>
      </w:r>
      <w:r w:rsidRPr="00706F22">
        <w:rPr>
          <w:sz w:val="24"/>
          <w:lang w:val="pl-PL"/>
        </w:rPr>
        <w:t xml:space="preserve">Dyrektywa Parlamentu Europejskiego i Rady (UE) 2024/1069 z dnia 11 kwietnia 2024 r. w sprawie ochrony osób, które angażują się w debatę publiczną, przed oczywiście bezzasadnymi roszczeniami lub stanowiącymi nadużycie postępowaniami sądowymi („strategiczne powództwa zmierzające do stłumienia debaty publicznej”) (Dz.U. L, 2024/1069, </w:t>
      </w:r>
      <w:r w:rsidRPr="00706F22">
        <w:rPr>
          <w:sz w:val="24"/>
          <w:lang w:val="pl-PL"/>
        </w:rPr>
        <w:t>16.4.2024</w:t>
      </w:r>
      <w:r w:rsidRPr="00706F22">
        <w:rPr>
          <w:sz w:val="24"/>
          <w:lang w:val="pl-PL"/>
        </w:rPr>
        <w:t xml:space="preserve">, ELI: </w:t>
      </w:r>
      <w:hyperlink r:id="rId8" w:history="1">
        <w:r w:rsidRPr="00706F22">
          <w:rPr>
            <w:rStyle w:val="Hyperlink"/>
            <w:sz w:val="24"/>
            <w:lang w:val="pl-PL"/>
          </w:rPr>
          <w:t>http://data.europa.eu/eli/dir/2024/1069/oj</w:t>
        </w:r>
      </w:hyperlink>
      <w:r w:rsidRPr="00706F22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06F22" w14:paraId="00E6F31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06F22" w14:paraId="4DE13C3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06F22" w14:paraId="73BDE28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6179479">
    <w:abstractNumId w:val="9"/>
  </w:num>
  <w:num w:numId="2" w16cid:durableId="446698526">
    <w:abstractNumId w:val="9"/>
  </w:num>
  <w:num w:numId="3" w16cid:durableId="966474738">
    <w:abstractNumId w:val="7"/>
  </w:num>
  <w:num w:numId="4" w16cid:durableId="443378836">
    <w:abstractNumId w:val="7"/>
  </w:num>
  <w:num w:numId="5" w16cid:durableId="230191306">
    <w:abstractNumId w:val="6"/>
  </w:num>
  <w:num w:numId="6" w16cid:durableId="1622153244">
    <w:abstractNumId w:val="6"/>
  </w:num>
  <w:num w:numId="7" w16cid:durableId="1836218489">
    <w:abstractNumId w:val="5"/>
  </w:num>
  <w:num w:numId="8" w16cid:durableId="873883060">
    <w:abstractNumId w:val="5"/>
  </w:num>
  <w:num w:numId="9" w16cid:durableId="88627136">
    <w:abstractNumId w:val="4"/>
  </w:num>
  <w:num w:numId="10" w16cid:durableId="51315606">
    <w:abstractNumId w:val="4"/>
  </w:num>
  <w:num w:numId="11" w16cid:durableId="984160469">
    <w:abstractNumId w:val="8"/>
  </w:num>
  <w:num w:numId="12" w16cid:durableId="1585993695">
    <w:abstractNumId w:val="8"/>
  </w:num>
  <w:num w:numId="13" w16cid:durableId="1687559132">
    <w:abstractNumId w:val="3"/>
  </w:num>
  <w:num w:numId="14" w16cid:durableId="1379159587">
    <w:abstractNumId w:val="3"/>
  </w:num>
  <w:num w:numId="15" w16cid:durableId="1800369686">
    <w:abstractNumId w:val="2"/>
  </w:num>
  <w:num w:numId="16" w16cid:durableId="631791488">
    <w:abstractNumId w:val="2"/>
  </w:num>
  <w:num w:numId="17" w16cid:durableId="780144826">
    <w:abstractNumId w:val="1"/>
  </w:num>
  <w:num w:numId="18" w16cid:durableId="1826970650">
    <w:abstractNumId w:val="1"/>
  </w:num>
  <w:num w:numId="19" w16cid:durableId="921792769">
    <w:abstractNumId w:val="0"/>
  </w:num>
  <w:num w:numId="20" w16cid:durableId="442919184">
    <w:abstractNumId w:val="0"/>
  </w:num>
  <w:num w:numId="21" w16cid:durableId="1974872730">
    <w:abstractNumId w:val="9"/>
  </w:num>
  <w:num w:numId="22" w16cid:durableId="1331300017">
    <w:abstractNumId w:val="7"/>
  </w:num>
  <w:num w:numId="23" w16cid:durableId="1819297772">
    <w:abstractNumId w:val="6"/>
  </w:num>
  <w:num w:numId="24" w16cid:durableId="1178159579">
    <w:abstractNumId w:val="5"/>
  </w:num>
  <w:num w:numId="25" w16cid:durableId="2129426536">
    <w:abstractNumId w:val="4"/>
  </w:num>
  <w:num w:numId="26" w16cid:durableId="67502862">
    <w:abstractNumId w:val="8"/>
  </w:num>
  <w:num w:numId="27" w16cid:durableId="1971133892">
    <w:abstractNumId w:val="3"/>
  </w:num>
  <w:num w:numId="28" w16cid:durableId="417824398">
    <w:abstractNumId w:val="2"/>
  </w:num>
  <w:num w:numId="29" w16cid:durableId="512690008">
    <w:abstractNumId w:val="1"/>
  </w:num>
  <w:num w:numId="30" w16cid:durableId="1026832736">
    <w:abstractNumId w:val="0"/>
  </w:num>
  <w:num w:numId="31" w16cid:durableId="1970239231">
    <w:abstractNumId w:val="9"/>
  </w:num>
  <w:num w:numId="32" w16cid:durableId="1811432891">
    <w:abstractNumId w:val="7"/>
  </w:num>
  <w:num w:numId="33" w16cid:durableId="1776441746">
    <w:abstractNumId w:val="6"/>
  </w:num>
  <w:num w:numId="34" w16cid:durableId="859123933">
    <w:abstractNumId w:val="5"/>
  </w:num>
  <w:num w:numId="35" w16cid:durableId="643892735">
    <w:abstractNumId w:val="4"/>
  </w:num>
  <w:num w:numId="36" w16cid:durableId="944769161">
    <w:abstractNumId w:val="8"/>
  </w:num>
  <w:num w:numId="37" w16cid:durableId="764422615">
    <w:abstractNumId w:val="3"/>
  </w:num>
  <w:num w:numId="38" w16cid:durableId="1386636373">
    <w:abstractNumId w:val="2"/>
  </w:num>
  <w:num w:numId="39" w16cid:durableId="442579942">
    <w:abstractNumId w:val="1"/>
  </w:num>
  <w:num w:numId="40" w16cid:durableId="1996177623">
    <w:abstractNumId w:val="0"/>
  </w:num>
  <w:num w:numId="41" w16cid:durableId="430203957">
    <w:abstractNumId w:val="10"/>
  </w:num>
  <w:num w:numId="42" w16cid:durableId="930577470">
    <w:abstractNumId w:val="10"/>
  </w:num>
  <w:num w:numId="43" w16cid:durableId="1461073468">
    <w:abstractNumId w:val="10"/>
  </w:num>
  <w:num w:numId="44" w16cid:durableId="19882410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C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C2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9A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497"/>
    <w:rsid w:val="006631B6"/>
    <w:rsid w:val="00680577"/>
    <w:rsid w:val="006F74FA"/>
    <w:rsid w:val="00706F2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A0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B3F"/>
    <w:rsid w:val="00CF071A"/>
    <w:rsid w:val="00D058B8"/>
    <w:rsid w:val="00D56C11"/>
    <w:rsid w:val="00D612A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6/2026"/>
    <w:docVar w:name="dvlangue" w:val="PL"/>
    <w:docVar w:name="dvnumam" w:val="0"/>
    <w:docVar w:name="dvpe" w:val="784.231"/>
    <w:docVar w:name="dvrapporteur" w:val="Sprawozdawca: "/>
    <w:docVar w:name="dvstar" w:val="??"/>
    <w:docVar w:name="dvtitre" w:val="Rezolucja Parlamentu Europejskiego z dnia  2026 r. w sprawie sprawozdania Komisji dotyczącego Kosowa – 2025 r.(2025/225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8CC84D"/>
  <w15:chartTrackingRefBased/>
  <w15:docId w15:val="{2D36678C-A807-4FC2-9EF9-36AEF574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E1B3F"/>
    <w:pPr>
      <w:spacing w:after="240"/>
      <w:ind w:left="567" w:hanging="567"/>
    </w:pPr>
  </w:style>
  <w:style w:type="paragraph" w:customStyle="1" w:styleId="EPComma">
    <w:name w:val="EPComma"/>
    <w:basedOn w:val="Normal"/>
    <w:rsid w:val="00CE1B3F"/>
    <w:pPr>
      <w:spacing w:before="480" w:after="240"/>
    </w:pPr>
  </w:style>
  <w:style w:type="character" w:styleId="Hyperlink">
    <w:name w:val="Hyperlink"/>
    <w:basedOn w:val="DefaultParagraphFont"/>
    <w:rsid w:val="00CE1B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PL/ALL/?uri=CELEX:52020DC0641" TargetMode="External" /><Relationship Id="rId8" Type="http://schemas.openxmlformats.org/officeDocument/2006/relationships/hyperlink" Target="https://eur-lex.europa.eu/legal-content/PL/ALL/?uri=CELEX:52023DC0691" TargetMode="External" /><Relationship Id="rId9" Type="http://schemas.openxmlformats.org/officeDocument/2006/relationships/hyperlink" Target="https://eur-lex.europa.eu/legal-content/PL/ALL/?uri=CELEX:52024DC0146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6/342/oj" TargetMode="External" /><Relationship Id="rId2" Type="http://schemas.openxmlformats.org/officeDocument/2006/relationships/hyperlink" Target="http://data.europa.eu/eli/agree_internation/2017/1388/oj" TargetMode="External" /><Relationship Id="rId3" Type="http://schemas.openxmlformats.org/officeDocument/2006/relationships/hyperlink" Target="http://data.europa.eu/eli/reg/2021/1529/oj" TargetMode="External" /><Relationship Id="rId4" Type="http://schemas.openxmlformats.org/officeDocument/2006/relationships/hyperlink" Target="http://data.europa.eu/eli/reg/2023/850/oj" TargetMode="External" /><Relationship Id="rId5" Type="http://schemas.openxmlformats.org/officeDocument/2006/relationships/hyperlink" Target="http://data.europa.eu/eli/reg/2024/1449/oj" TargetMode="External" /><Relationship Id="rId6" Type="http://schemas.openxmlformats.org/officeDocument/2006/relationships/hyperlink" Target="http://data.europa.eu/eli/dec/2025/1161/oj" TargetMode="External" /><Relationship Id="rId7" Type="http://schemas.openxmlformats.org/officeDocument/2006/relationships/hyperlink" Target="http://data.europa.eu/eli/reg/2024/1083/oj" TargetMode="External" /><Relationship Id="rId8" Type="http://schemas.openxmlformats.org/officeDocument/2006/relationships/hyperlink" Target="http://data.europa.eu/eli/dir/2024/10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6339</Words>
  <Characters>43556</Characters>
  <Application>Microsoft Office Word</Application>
  <DocSecurity>0</DocSecurity>
  <Lines>362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2026-06-17T13:28:00Z</dcterms:created>
  <dcterms:modified xsi:type="dcterms:W3CDTF">2026-06-17T13:28:00Z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A10-0166/2026</vt:lpwstr>
  </property>
  <property fmtid="{D5CDD505-2E9C-101B-9397-08002B2CF9AE}" pid="4" name="&lt;Type&gt;">
    <vt:lpwstr>RR</vt:lpwstr>
  </property>
</Properties>
</file>