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7ED69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0BB1" w:rsidP="0010095E" w14:paraId="415E2EE7" w14:textId="77777777">
            <w:pPr>
              <w:pStyle w:val="EPName"/>
            </w:pPr>
            <w:r w:rsidRPr="004C0BB1">
              <w:t xml:space="preserve">Parlamento </w:t>
            </w:r>
            <w:r w:rsidRPr="004C0BB1">
              <w:t>Europeu</w:t>
            </w:r>
          </w:p>
          <w:p w:rsidR="00751A4A" w:rsidRPr="004C0BB1" w:rsidP="005F1B17" w14:paraId="553A247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0BB1">
              <w:t>2024</w:t>
            </w:r>
            <w:r w:rsidRPr="004C0BB1" w:rsidR="00817416">
              <w:t>-202</w:t>
            </w:r>
            <w:r w:rsidRPr="004C0B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C0BB1" w:rsidP="0010095E" w14:paraId="3295CD30" w14:textId="77777777">
            <w:pPr>
              <w:pStyle w:val="EPLogo"/>
            </w:pPr>
            <w:r w:rsidRPr="004C0BB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0BB1" w:rsidP="004C5D52" w14:paraId="29FED73F" w14:textId="77777777">
      <w:pPr>
        <w:pStyle w:val="LineTop"/>
      </w:pPr>
    </w:p>
    <w:p w:rsidR="00680577" w:rsidRPr="004C0BB1" w:rsidP="00680577" w14:paraId="30946654" w14:textId="77777777">
      <w:pPr>
        <w:pStyle w:val="EPBodyTA1"/>
      </w:pPr>
      <w:r w:rsidRPr="004C0BB1">
        <w:t>TEXTOS APROVADOS</w:t>
      </w:r>
    </w:p>
    <w:p w:rsidR="00D058B8" w:rsidRPr="004C0BB1" w:rsidP="00D058B8" w14:paraId="48266135" w14:textId="77777777">
      <w:pPr>
        <w:pStyle w:val="LineBottom"/>
      </w:pPr>
    </w:p>
    <w:p w:rsidR="00D40AA8" w:rsidRPr="004C0BB1" w:rsidP="00D40AA8" w14:paraId="036C0D0B" w14:textId="1DBD33A8">
      <w:pPr>
        <w:pStyle w:val="ATHeading1"/>
      </w:pPr>
      <w:bookmarkStart w:id="0" w:name="TANumber"/>
      <w:r w:rsidRPr="004C0BB1">
        <w:t>P10_TA(2026)0</w:t>
      </w:r>
      <w:bookmarkEnd w:id="0"/>
      <w:r w:rsidR="008D4410">
        <w:t>220</w:t>
      </w:r>
    </w:p>
    <w:p w:rsidR="00D40AA8" w:rsidRPr="004C0BB1" w:rsidP="00D40AA8" w14:paraId="633D09DA" w14:textId="77777777">
      <w:pPr>
        <w:pStyle w:val="ATHeading2"/>
      </w:pPr>
      <w:bookmarkStart w:id="1" w:name="title"/>
      <w:r w:rsidRPr="004C0BB1">
        <w:t>Relatório de 2025 da Comissão relativo ao Kosovo</w:t>
      </w:r>
      <w:bookmarkEnd w:id="1"/>
    </w:p>
    <w:p w:rsidR="00D40AA8" w:rsidRPr="004C0BB1" w:rsidP="00D40AA8" w14:paraId="37AFEC81" w14:textId="77777777">
      <w:pPr>
        <w:rPr>
          <w:i/>
          <w:vanish/>
        </w:rPr>
      </w:pPr>
      <w:r>
        <w:rPr>
          <w:i/>
        </w:rPr>
        <w:fldChar w:fldCharType="begin"/>
      </w:r>
      <w:r w:rsidRPr="004C0BB1">
        <w:rPr>
          <w:i/>
        </w:rPr>
        <w:instrText xml:space="preserve"> TC"(</w:instrText>
      </w:r>
      <w:bookmarkStart w:id="2" w:name="DocNumber"/>
      <w:r w:rsidRPr="004C0BB1">
        <w:rPr>
          <w:i/>
        </w:rPr>
        <w:instrText>A10-0166/2026</w:instrText>
      </w:r>
      <w:bookmarkEnd w:id="2"/>
      <w:r w:rsidRPr="004C0BB1">
        <w:rPr>
          <w:i/>
        </w:rPr>
        <w:instrText xml:space="preserve"> - Relator: </w:instrText>
      </w:r>
      <w:r w:rsidRPr="004C0BB1">
        <w:rPr>
          <w:i/>
        </w:rPr>
        <w:instrText>Riho</w:instrText>
      </w:r>
      <w:r w:rsidRPr="004C0BB1">
        <w:rPr>
          <w:i/>
        </w:rPr>
        <w:instrText xml:space="preserve"> Terras)"\l3 \n&gt; \* MERGEFORMAT </w:instrText>
      </w:r>
      <w:r>
        <w:rPr>
          <w:i/>
        </w:rPr>
        <w:fldChar w:fldCharType="end"/>
      </w:r>
    </w:p>
    <w:p w:rsidR="00D40AA8" w:rsidRPr="004C0BB1" w:rsidP="00D40AA8" w14:paraId="7310D173" w14:textId="77777777">
      <w:pPr>
        <w:rPr>
          <w:vanish/>
        </w:rPr>
      </w:pPr>
      <w:bookmarkStart w:id="3" w:name="Commission"/>
      <w:r w:rsidRPr="004C0BB1">
        <w:rPr>
          <w:vanish/>
        </w:rPr>
        <w:t>Comissão dos Assuntos Externos</w:t>
      </w:r>
      <w:bookmarkEnd w:id="3"/>
    </w:p>
    <w:p w:rsidR="00D40AA8" w:rsidRPr="004C0BB1" w:rsidP="00D40AA8" w14:paraId="674018A5" w14:textId="77777777">
      <w:pPr>
        <w:rPr>
          <w:vanish/>
        </w:rPr>
      </w:pPr>
      <w:bookmarkStart w:id="4" w:name="PE"/>
      <w:r w:rsidRPr="004C0BB1">
        <w:rPr>
          <w:vanish/>
        </w:rPr>
        <w:t>PE784.231</w:t>
      </w:r>
      <w:bookmarkEnd w:id="4"/>
    </w:p>
    <w:p w:rsidR="00D40AA8" w:rsidRPr="004C0BB1" w:rsidP="00D40AA8" w14:paraId="57C7BCA7" w14:textId="30058D7B">
      <w:pPr>
        <w:pStyle w:val="ATHeading3"/>
      </w:pPr>
      <w:bookmarkStart w:id="5" w:name="Sujet"/>
      <w:r w:rsidRPr="004C0BB1">
        <w:t xml:space="preserve">Resolução do Parlamento Europeu, de </w:t>
      </w:r>
      <w:r w:rsidR="004106B0">
        <w:t>17</w:t>
      </w:r>
      <w:r w:rsidRPr="004C0BB1" w:rsidR="004106B0">
        <w:t xml:space="preserve"> </w:t>
      </w:r>
      <w:r w:rsidRPr="004C0BB1">
        <w:t xml:space="preserve">de </w:t>
      </w:r>
      <w:r w:rsidR="004106B0">
        <w:t>junho</w:t>
      </w:r>
      <w:r w:rsidRPr="004C0BB1" w:rsidR="004106B0">
        <w:t xml:space="preserve"> </w:t>
      </w:r>
      <w:r w:rsidRPr="004C0BB1">
        <w:t>de 2026, sobre o relatório de 2025 da Comissão relativo ao Kosovo</w:t>
      </w:r>
      <w:bookmarkEnd w:id="5"/>
      <w:r w:rsidRPr="004C0BB1">
        <w:t xml:space="preserve"> </w:t>
      </w:r>
      <w:bookmarkStart w:id="6" w:name="References"/>
      <w:r w:rsidRPr="004C0BB1">
        <w:t>(2025/2252(INI))</w:t>
      </w:r>
      <w:bookmarkEnd w:id="6"/>
    </w:p>
    <w:p w:rsidR="00F13E75" w:rsidRPr="004C0BB1" w:rsidP="00F13E75" w14:paraId="0D4F6985" w14:textId="77777777">
      <w:pPr>
        <w:pStyle w:val="EPComma"/>
      </w:pPr>
      <w:bookmarkStart w:id="7" w:name="TextBodyBegin"/>
      <w:bookmarkEnd w:id="7"/>
      <w:r w:rsidRPr="004C0BB1">
        <w:rPr>
          <w:i/>
        </w:rPr>
        <w:t>O Parlamento Europeu</w:t>
      </w:r>
      <w:r w:rsidRPr="004C0BB1">
        <w:t>,</w:t>
      </w:r>
    </w:p>
    <w:p w:rsidR="00F13E75" w:rsidRPr="004C0BB1" w:rsidP="00F13E75" w14:paraId="3A8FD57B" w14:textId="77777777">
      <w:pPr>
        <w:pStyle w:val="NormalHanging12a"/>
      </w:pPr>
      <w:r w:rsidRPr="004C0BB1">
        <w:t>–</w:t>
      </w:r>
      <w:r w:rsidRPr="004C0BB1">
        <w:tab/>
        <w:t>Tendo em conta o Acordo de Estabilização e de Associação entre a União Europeia e a Comunidade Europeia da Energia Atómica, por um lado, e o Kosovo, por outro</w:t>
      </w:r>
      <w:r>
        <w:rPr>
          <w:rStyle w:val="FootnoteReference"/>
        </w:rPr>
        <w:footnoteReference w:id="2"/>
      </w:r>
      <w:r w:rsidRPr="004C0BB1">
        <w:t>, em vigor desde 1 de abril de 2016,</w:t>
      </w:r>
    </w:p>
    <w:p w:rsidR="00F13E75" w:rsidRPr="004C0BB1" w:rsidP="00F13E75" w14:paraId="3AFD9212" w14:textId="77777777">
      <w:pPr>
        <w:pStyle w:val="NormalHanging12a"/>
      </w:pPr>
      <w:r w:rsidRPr="004C0BB1">
        <w:t>–</w:t>
      </w:r>
      <w:r w:rsidRPr="004C0BB1">
        <w:tab/>
        <w:t>Tendo em conta o pedido do Kosovo de adesão à União Europeia, apresentado em 15 de dezembro de 2022,</w:t>
      </w:r>
    </w:p>
    <w:p w:rsidR="00F13E75" w:rsidRPr="004C0BB1" w:rsidP="00F13E75" w14:paraId="2CD993D5" w14:textId="77777777">
      <w:pPr>
        <w:pStyle w:val="NormalHanging12a"/>
      </w:pPr>
      <w:r w:rsidRPr="004C0BB1">
        <w:t>–</w:t>
      </w:r>
      <w:r w:rsidRPr="004C0BB1">
        <w:tab/>
        <w:t>Tendo em conta o pedido do Kosovo de adesão ao Conselho da Europa, apresentado em 12 de maio de 2022,</w:t>
      </w:r>
    </w:p>
    <w:p w:rsidR="00F13E75" w:rsidRPr="004C0BB1" w:rsidP="00F13E75" w14:paraId="32091D4F" w14:textId="77777777">
      <w:pPr>
        <w:pStyle w:val="NormalHanging12a"/>
      </w:pPr>
      <w:r w:rsidRPr="004C0BB1">
        <w:t>–</w:t>
      </w:r>
      <w:r w:rsidRPr="004C0BB1">
        <w:tab/>
        <w:t>Tendo em conta o Acordo-quadro entre a União Europeia e o Kosovo relativo aos princípios gerais da participação do Kosovo em programas da União</w:t>
      </w:r>
      <w:r>
        <w:rPr>
          <w:rStyle w:val="FootnoteReference"/>
        </w:rPr>
        <w:footnoteReference w:id="3"/>
      </w:r>
      <w:r w:rsidRPr="004C0BB1">
        <w:t>, em vigor desde 1 de agosto de 2017,</w:t>
      </w:r>
    </w:p>
    <w:p w:rsidR="00F13E75" w:rsidRPr="004C0BB1" w:rsidP="00F13E75" w14:paraId="22B62BC1" w14:textId="77777777">
      <w:pPr>
        <w:pStyle w:val="NormalHanging12a"/>
      </w:pPr>
      <w:r w:rsidRPr="004C0BB1">
        <w:t>–</w:t>
      </w:r>
      <w:r w:rsidRPr="004C0BB1">
        <w:tab/>
        <w:t>Tendo em conta o Regulamento (UE) 2021/1529 do Parlamento Europeu e do Conselho, de 15 de setembro de 2021, que cria o Instrumento de Assistência de Pré</w:t>
      </w:r>
      <w:r w:rsidRPr="004C0BB1">
        <w:noBreakHyphen/>
        <w:t>Adesão (IPA III)</w:t>
      </w:r>
      <w:r>
        <w:rPr>
          <w:rStyle w:val="FootnoteReference"/>
        </w:rPr>
        <w:footnoteReference w:id="4"/>
      </w:r>
      <w:r w:rsidRPr="004C0BB1">
        <w:t>,</w:t>
      </w:r>
    </w:p>
    <w:p w:rsidR="00F13E75" w:rsidRPr="004C0BB1" w:rsidP="00F13E75" w14:paraId="41B94C9A" w14:textId="701DCC18">
      <w:pPr>
        <w:pStyle w:val="NormalHanging12a"/>
      </w:pPr>
      <w:r w:rsidRPr="004C0BB1">
        <w:t>–</w:t>
      </w:r>
      <w:r w:rsidRPr="004C0BB1">
        <w:tab/>
        <w:t>Tendo em conta o Regulamento (UE) 2023/850 do Parlamento Europeu e do Conselho, de 19 de abril de 2023, que altera o Regulamento (UE) 2018/1806 que fixa a lista dos países terceiros cujos nacionais estão sujeitos à obrigação de visto para transpor as fronteiras externas e a lista dos países terceiros cujos nacionais estão isentos dessa obrigação</w:t>
      </w:r>
      <w:r>
        <w:rPr>
          <w:rStyle w:val="FootnoteReference"/>
        </w:rPr>
        <w:footnoteReference w:id="5"/>
      </w:r>
      <w:r w:rsidRPr="004C0BB1">
        <w:t xml:space="preserve"> no que respeita ao Kosovo e que isenta os titulares de passaportes biométricos emitidos pelo Kosovo da obrigação de visto a partir de 1 de janeiro </w:t>
      </w:r>
      <w:r w:rsidRPr="004C0BB1">
        <w:t>de</w:t>
      </w:r>
      <w:r w:rsidR="004106B0">
        <w:t> </w:t>
      </w:r>
      <w:r w:rsidRPr="004C0BB1">
        <w:t>2024,</w:t>
      </w:r>
    </w:p>
    <w:p w:rsidR="00F13E75" w:rsidRPr="004C0BB1" w:rsidP="00F13E75" w14:paraId="7CBC8057" w14:textId="77777777">
      <w:pPr>
        <w:pStyle w:val="NormalHanging12a"/>
      </w:pPr>
      <w:r w:rsidRPr="004C0BB1">
        <w:t>–</w:t>
      </w:r>
      <w:r w:rsidRPr="004C0BB1">
        <w:tab/>
        <w:t>Tendo em conta o Regulamento (UE) 2024/1449 do Parlamento Europeu e do Conselho, de 14 de maio de 2024, que cria o Mecanismo para as Reformas e o Crescimento nos Balcãs Ocidentais</w:t>
      </w:r>
      <w:r>
        <w:rPr>
          <w:rStyle w:val="FootnoteReference"/>
        </w:rPr>
        <w:footnoteReference w:id="6"/>
      </w:r>
      <w:r w:rsidRPr="004C0BB1">
        <w:t>,</w:t>
      </w:r>
    </w:p>
    <w:p w:rsidR="00F13E75" w:rsidRPr="004C0BB1" w:rsidP="00F13E75" w14:paraId="669485FC" w14:textId="77777777">
      <w:pPr>
        <w:pStyle w:val="NormalHanging12a"/>
      </w:pPr>
      <w:r w:rsidRPr="004C0BB1">
        <w:t>–</w:t>
      </w:r>
      <w:r w:rsidRPr="004C0BB1">
        <w:tab/>
        <w:t>Tendo em conta as conclusões da Presidência por ocasião do Conselho Europeu de Salónica de 19 e 20 de junho de 2003,</w:t>
      </w:r>
    </w:p>
    <w:p w:rsidR="00F13E75" w:rsidRPr="004C0BB1" w:rsidP="00F13E75" w14:paraId="6AE50277" w14:textId="77777777">
      <w:pPr>
        <w:pStyle w:val="NormalHanging12a"/>
      </w:pPr>
      <w:r w:rsidRPr="004C0BB1">
        <w:t>–</w:t>
      </w:r>
      <w:r w:rsidRPr="004C0BB1">
        <w:tab/>
        <w:t xml:space="preserve">Tendo em conta as cimeiras UE-Balcãs Ocidentais realizadas em Sófia, </w:t>
      </w:r>
      <w:r w:rsidRPr="004C0BB1">
        <w:t>Zagrebe</w:t>
      </w:r>
      <w:r w:rsidRPr="004C0BB1">
        <w:t xml:space="preserve"> e </w:t>
      </w:r>
      <w:r w:rsidRPr="004C0BB1">
        <w:t>Brdo</w:t>
      </w:r>
      <w:r w:rsidRPr="004C0BB1">
        <w:t xml:space="preserve"> </w:t>
      </w:r>
      <w:r w:rsidRPr="004C0BB1">
        <w:t>pri</w:t>
      </w:r>
      <w:r w:rsidRPr="004C0BB1">
        <w:t xml:space="preserve"> </w:t>
      </w:r>
      <w:r w:rsidRPr="004C0BB1">
        <w:t>Kranju</w:t>
      </w:r>
      <w:r w:rsidRPr="004C0BB1">
        <w:t>, em 2018, 2020 e 2021, respetivamente, e as suas declarações,</w:t>
      </w:r>
    </w:p>
    <w:p w:rsidR="00F13E75" w:rsidRPr="004C0BB1" w:rsidP="00F13E75" w14:paraId="6E9C7AFA" w14:textId="77777777">
      <w:pPr>
        <w:pStyle w:val="NormalHanging12a"/>
      </w:pPr>
      <w:r w:rsidRPr="004C0BB1">
        <w:t>–</w:t>
      </w:r>
      <w:r w:rsidRPr="004C0BB1">
        <w:tab/>
        <w:t xml:space="preserve">Tendo em conta a reunião dos dirigentes dos Balcãs Ocidentais, de 1 de julho de 2025, em </w:t>
      </w:r>
      <w:r w:rsidRPr="004C0BB1">
        <w:t>Escópia</w:t>
      </w:r>
      <w:r w:rsidRPr="004C0BB1">
        <w:t xml:space="preserve"> (Macedónia do Norte), sobre o Plano de Crescimento para os Balcãs Ocidentais,</w:t>
      </w:r>
    </w:p>
    <w:p w:rsidR="00F13E75" w:rsidRPr="004C0BB1" w:rsidP="00F13E75" w14:paraId="0426AA75" w14:textId="77777777">
      <w:pPr>
        <w:pStyle w:val="NormalHanging12a"/>
      </w:pPr>
      <w:r w:rsidRPr="004C0BB1">
        <w:t>–</w:t>
      </w:r>
      <w:r w:rsidRPr="004C0BB1">
        <w:tab/>
        <w:t>Tendo em conta a declaração da Cimeira UE-Balcãs Ocidentais de 17 de dezembro de 2025,</w:t>
      </w:r>
    </w:p>
    <w:p w:rsidR="00F13E75" w:rsidRPr="004C0BB1" w:rsidP="00F13E75" w14:paraId="5A65F1B1" w14:textId="77777777">
      <w:pPr>
        <w:pStyle w:val="NormalHanging12a"/>
      </w:pPr>
      <w:r w:rsidRPr="004C0BB1">
        <w:t>–</w:t>
      </w:r>
      <w:r w:rsidRPr="004C0BB1">
        <w:tab/>
        <w:t>Tendo em conta as Conclusões da Presidência de 16 de dezembro de 2025 sobre o alargamento,</w:t>
      </w:r>
    </w:p>
    <w:p w:rsidR="00F13E75" w:rsidRPr="004C0BB1" w:rsidP="00F13E75" w14:paraId="13F5ED11" w14:textId="77777777">
      <w:pPr>
        <w:pStyle w:val="NormalHanging12a"/>
      </w:pPr>
      <w:r w:rsidRPr="004C0BB1">
        <w:t>–</w:t>
      </w:r>
      <w:r w:rsidRPr="004C0BB1">
        <w:tab/>
        <w:t>Tendo em conta o Processo de Berlim, iniciado em 28 de agosto de 2014,</w:t>
      </w:r>
    </w:p>
    <w:p w:rsidR="00F13E75" w:rsidRPr="004C0BB1" w:rsidP="00F13E75" w14:paraId="5C946FE1" w14:textId="77777777">
      <w:pPr>
        <w:pStyle w:val="NormalHanging12a"/>
      </w:pPr>
      <w:r w:rsidRPr="004C0BB1">
        <w:t>–</w:t>
      </w:r>
      <w:r w:rsidRPr="004C0BB1">
        <w:tab/>
        <w:t>Tendo em conta as conclusões do presidente da Cimeira de 2025 sobre o Processo de Berlim, realizada em 22 de outubro de 2025,</w:t>
      </w:r>
    </w:p>
    <w:p w:rsidR="00F13E75" w:rsidRPr="004C0BB1" w:rsidP="00F13E75" w14:paraId="4594E840" w14:textId="77777777">
      <w:pPr>
        <w:pStyle w:val="NormalHanging12a"/>
      </w:pPr>
      <w:r w:rsidRPr="004C0BB1">
        <w:t>–</w:t>
      </w:r>
      <w:r w:rsidRPr="004C0BB1">
        <w:tab/>
        <w:t>Tendo em conta a Comunicação da Comissão, de 6 de outubro de 2020, intitulada «Um Plano Económico e de Investimento para os Balcãs Ocidentais» (</w:t>
      </w:r>
      <w:hyperlink r:id="rId7" w:tgtFrame="https://eur-lex.europa.eu/legal-content/EN/ALL/?uri=CELEX:52020DC0641" w:history="1">
        <w:r w:rsidRPr="004C0BB1">
          <w:t>COM(2020)0641</w:t>
        </w:r>
      </w:hyperlink>
      <w:r w:rsidRPr="004C0BB1">
        <w:t>),</w:t>
      </w:r>
    </w:p>
    <w:p w:rsidR="00F13E75" w:rsidRPr="004C0BB1" w:rsidP="00F13E75" w14:paraId="7C9EAD19" w14:textId="77777777">
      <w:pPr>
        <w:pStyle w:val="NormalHanging12a"/>
      </w:pPr>
      <w:r w:rsidRPr="004C0BB1">
        <w:t>–</w:t>
      </w:r>
      <w:r w:rsidRPr="004C0BB1">
        <w:tab/>
        <w:t>Tendo em conta a Comunicação da Comissão, de 8 de novembro de 2023, intitulada «Novo plano de crescimento para os Balcãs Ocidentais» (</w:t>
      </w:r>
      <w:hyperlink r:id="rId8" w:tgtFrame="https://eur-lex.europa.eu/legal-content/EN/ALL/?uri=CELEX:52023DC0691" w:history="1">
        <w:r w:rsidRPr="004C0BB1">
          <w:t>COM(2023)0691</w:t>
        </w:r>
      </w:hyperlink>
      <w:r w:rsidRPr="004C0BB1">
        <w:t>),</w:t>
      </w:r>
    </w:p>
    <w:p w:rsidR="00F13E75" w:rsidRPr="004C0BB1" w:rsidP="00F13E75" w14:paraId="6E638DB8" w14:textId="77777777">
      <w:pPr>
        <w:pStyle w:val="NormalHanging12a"/>
      </w:pPr>
      <w:r w:rsidRPr="004C0BB1">
        <w:t>–</w:t>
      </w:r>
      <w:r w:rsidRPr="004C0BB1">
        <w:tab/>
        <w:t>Tendo em conta a Comunicação da Comissão, de 20 de março de 2024, sobre reformas e revisões das políticas antes do alargamento (</w:t>
      </w:r>
      <w:hyperlink r:id="rId9" w:tgtFrame="https://eur-lex.europa.eu/legal-content/EN/ALL/?uri=CELEX:52024DC0146" w:history="1">
        <w:r w:rsidRPr="004C0BB1">
          <w:t>COM(2024)0146</w:t>
        </w:r>
      </w:hyperlink>
      <w:r w:rsidRPr="004C0BB1">
        <w:t>),</w:t>
      </w:r>
    </w:p>
    <w:p w:rsidR="00F13E75" w:rsidRPr="004C0BB1" w:rsidP="00F13E75" w14:paraId="7C40AC93" w14:textId="21109BC3">
      <w:pPr>
        <w:pStyle w:val="NormalHanging12a"/>
      </w:pPr>
      <w:r w:rsidRPr="004C0BB1">
        <w:t>–</w:t>
      </w:r>
      <w:r w:rsidRPr="004C0BB1">
        <w:tab/>
        <w:t>Tendo em conta a Comunicação da Comissão, de 4 de novembro de 2025, intitulada «Comunicação de 2025 sobre a política de alargamento da UE» (COM(2025)0690), acompanhada do documento de trabalho dos serviços da Comissão intitulado «Kosovo</w:t>
      </w:r>
      <w:r w:rsidR="004106B0">
        <w:t> </w:t>
      </w:r>
      <w:r w:rsidRPr="004C0BB1">
        <w:t xml:space="preserve">2025 </w:t>
      </w:r>
      <w:r w:rsidRPr="004C0BB1">
        <w:t>Report</w:t>
      </w:r>
      <w:r w:rsidRPr="004C0BB1">
        <w:t>» [Relatório de 2025 relativo ao Kosovo] (SWD(2025)0752),</w:t>
      </w:r>
    </w:p>
    <w:p w:rsidR="00F13E75" w:rsidRPr="004C0BB1" w:rsidP="00F13E75" w14:paraId="5829706C" w14:textId="77777777">
      <w:pPr>
        <w:pStyle w:val="NormalHanging12a"/>
      </w:pPr>
      <w:r w:rsidRPr="004C0BB1">
        <w:t>–</w:t>
      </w:r>
      <w:r w:rsidRPr="004C0BB1">
        <w:tab/>
        <w:t>Tendo em conta o Tratado da Comunidade da Energia, assinado em Atenas em 25 de outubro de 2005, que visa alargar as normas do mercado interno da energia da UE à Europa do Sudeste,</w:t>
      </w:r>
    </w:p>
    <w:p w:rsidR="00F13E75" w:rsidRPr="004C0BB1" w:rsidP="00F13E75" w14:paraId="48CAC42A" w14:textId="77777777">
      <w:pPr>
        <w:pStyle w:val="NormalHanging12a"/>
      </w:pPr>
      <w:r w:rsidRPr="004C0BB1">
        <w:t>–</w:t>
      </w:r>
      <w:r w:rsidRPr="004C0BB1">
        <w:tab/>
        <w:t xml:space="preserve">Tendo em conta a Resolução 1244 do Conselho de Segurança das Nações Unidas, de 10 de junho de 1999, o parecer consultivo do Tribunal Internacional de Justiça (TIJ), de 22 de julho de 2010, sobre a conformidade da declaração unilateral de independência do Kosovo com o direito internacional, e a Resolução 64/298 da Assembleia Geral das Nações Unidas, de 9 de setembro de 2010, que reconheceu o teor do parecer do TIJ e se </w:t>
      </w:r>
      <w:r w:rsidRPr="004C0BB1">
        <w:t>congratulou com a disponibilidade da UE para facilitar o diálogo entre a Sérvia e o Kosovo,</w:t>
      </w:r>
    </w:p>
    <w:p w:rsidR="00F13E75" w:rsidRPr="004C0BB1" w:rsidP="00F13E75" w14:paraId="25D44C70" w14:textId="77777777">
      <w:pPr>
        <w:pStyle w:val="NormalHanging12a"/>
      </w:pPr>
      <w:r w:rsidRPr="004C0BB1">
        <w:t>–</w:t>
      </w:r>
      <w:r w:rsidRPr="004C0BB1">
        <w:tab/>
        <w:t>Tendo em conta o alinhamento contínuo do Kosovo com a política externa e de segurança comum da UE,</w:t>
      </w:r>
    </w:p>
    <w:p w:rsidR="00F13E75" w:rsidRPr="004C0BB1" w:rsidP="00F13E75" w14:paraId="5C851B9C" w14:textId="77777777">
      <w:pPr>
        <w:pStyle w:val="NormalHanging12a"/>
      </w:pPr>
      <w:r w:rsidRPr="004C0BB1">
        <w:t>–</w:t>
      </w:r>
      <w:r w:rsidRPr="004C0BB1">
        <w:tab/>
        <w:t>Tendo em conta o primeiro acordo sobre os princípios que regem a normalização das relações entre a Sérvia e o Kosovo, de 19 de abril de 2013, e os acordos de 25 de agosto de 2015, bem como o diálogo em curso promovido pela UE em prol da normalização das relações,</w:t>
      </w:r>
    </w:p>
    <w:p w:rsidR="00F13E75" w:rsidRPr="004C0BB1" w:rsidP="00F13E75" w14:paraId="79810EFA" w14:textId="77777777">
      <w:pPr>
        <w:pStyle w:val="NormalHanging12a"/>
      </w:pPr>
      <w:r w:rsidRPr="004C0BB1">
        <w:t>–</w:t>
      </w:r>
      <w:r w:rsidRPr="004C0BB1">
        <w:tab/>
        <w:t xml:space="preserve">Tendo em conta o Acordo de Bruxelas, de 27 de fevereiro de 2023, e o Acordo de </w:t>
      </w:r>
      <w:r w:rsidRPr="004C0BB1">
        <w:t>Ocrida</w:t>
      </w:r>
      <w:r w:rsidRPr="004C0BB1">
        <w:t>, de 18 de março de 2023, bem como o respetivo anexo de aplicação,</w:t>
      </w:r>
    </w:p>
    <w:p w:rsidR="00F13E75" w:rsidRPr="004C0BB1" w:rsidP="00F13E75" w14:paraId="67288ED2" w14:textId="77777777">
      <w:pPr>
        <w:pStyle w:val="NormalHanging12a"/>
      </w:pPr>
      <w:r w:rsidRPr="004C0BB1">
        <w:t>–</w:t>
      </w:r>
      <w:r w:rsidRPr="004C0BB1">
        <w:tab/>
        <w:t>Tendo em conta a presença e o mandato contínuos da Força da OTAN no Kosovo, que continua a contribuir para um ambiente seguro e protegido e para a liberdade de circulação no Kosovo,</w:t>
      </w:r>
    </w:p>
    <w:p w:rsidR="00F13E75" w:rsidRPr="004C0BB1" w:rsidP="00F13E75" w14:paraId="19FBEDD3" w14:textId="77777777">
      <w:pPr>
        <w:pStyle w:val="NormalHanging12a"/>
      </w:pPr>
      <w:r w:rsidRPr="004C0BB1">
        <w:t>–</w:t>
      </w:r>
      <w:r w:rsidRPr="004C0BB1">
        <w:tab/>
        <w:t>Tendo em conta a Decisão (PESC) 2025/1161 do Conselho, de 5 de junho de 2025, que altera a Ação Comum 2008/124/PESC sobre a Missão da União Europeia para o Estado de Direito no Kosovo, EULEX Kosovo</w:t>
      </w:r>
      <w:r>
        <w:rPr>
          <w:rStyle w:val="FootnoteReference"/>
        </w:rPr>
        <w:footnoteReference w:id="7"/>
      </w:r>
      <w:r w:rsidRPr="004C0BB1">
        <w:t>, que prorrogou o mandato da missão até 14 de junho de 2027,</w:t>
      </w:r>
    </w:p>
    <w:p w:rsidR="00F13E75" w:rsidRPr="004C0BB1" w:rsidP="00F13E75" w14:paraId="70DF81D4" w14:textId="77777777">
      <w:pPr>
        <w:pStyle w:val="NormalHanging12a"/>
      </w:pPr>
      <w:r w:rsidRPr="004C0BB1">
        <w:t>–</w:t>
      </w:r>
      <w:r w:rsidRPr="004C0BB1">
        <w:tab/>
        <w:t>Tendo em conta o relatório final da Missão de Observação Eleitoral da União Europeia sobre as eleições legislativas realizadas no Kosovo em 2025,</w:t>
      </w:r>
    </w:p>
    <w:p w:rsidR="00F13E75" w:rsidRPr="004C0BB1" w:rsidP="00F13E75" w14:paraId="49849B79" w14:textId="77777777">
      <w:pPr>
        <w:pStyle w:val="NormalHanging12a"/>
      </w:pPr>
      <w:r w:rsidRPr="004C0BB1">
        <w:t>–</w:t>
      </w:r>
      <w:r w:rsidRPr="004C0BB1">
        <w:tab/>
        <w:t>Tendo em conta as suas resoluções anteriores sobre o Kosovo,</w:t>
      </w:r>
    </w:p>
    <w:p w:rsidR="00F13E75" w:rsidRPr="004C0BB1" w:rsidP="00F13E75" w14:paraId="7F4D5BBA" w14:textId="15343D0B">
      <w:pPr>
        <w:pStyle w:val="NormalHanging12a"/>
      </w:pPr>
      <w:r w:rsidRPr="004C0BB1">
        <w:t>–</w:t>
      </w:r>
      <w:r w:rsidRPr="004C0BB1">
        <w:tab/>
        <w:t>Tendo em conta as recomendações conjuntas adotadas na 12.ª reunião da Comissão Parlamentar de Estabilização e de Associação UE-Kosovo, realizada em 9 de dezembro de 2024,</w:t>
      </w:r>
    </w:p>
    <w:p w:rsidR="00F13E75" w:rsidRPr="004C0BB1" w:rsidP="00F13E75" w14:paraId="55C4E88D" w14:textId="77777777">
      <w:pPr>
        <w:pStyle w:val="NormalHanging12a"/>
      </w:pPr>
      <w:r w:rsidRPr="004C0BB1">
        <w:t>–</w:t>
      </w:r>
      <w:r w:rsidRPr="004C0BB1">
        <w:tab/>
        <w:t>Tendo em conta o Índice de Perceção da Corrupção de 2025, publicado pela Transparência Internacional,</w:t>
      </w:r>
    </w:p>
    <w:p w:rsidR="00F13E75" w:rsidRPr="004C0BB1" w:rsidP="00F13E75" w14:paraId="7E1A5E55" w14:textId="77777777">
      <w:pPr>
        <w:pStyle w:val="NormalHanging12a"/>
      </w:pPr>
      <w:r w:rsidRPr="004C0BB1">
        <w:t>–</w:t>
      </w:r>
      <w:r w:rsidRPr="004C0BB1">
        <w:tab/>
        <w:t>Tendo em conta o Índice Mundial da Liberdade de Imprensa de 2025, publicado pelos Repórteres Sem Fronteiras,</w:t>
      </w:r>
    </w:p>
    <w:p w:rsidR="00F13E75" w:rsidRPr="004C0BB1" w:rsidP="00F13E75" w14:paraId="54A1DF69" w14:textId="77777777">
      <w:pPr>
        <w:pStyle w:val="NormalHanging12a"/>
        <w:rPr>
          <w:i/>
        </w:rPr>
      </w:pPr>
      <w:r w:rsidRPr="004C0BB1">
        <w:rPr>
          <w:i/>
        </w:rPr>
        <w:t>–</w:t>
      </w:r>
      <w:r w:rsidRPr="004C0BB1">
        <w:rPr>
          <w:i/>
        </w:rPr>
        <w:tab/>
      </w:r>
      <w:r w:rsidRPr="004C0BB1">
        <w:t>Tendo em conta a missão de inquérito a Pristina da Plataforma Segurança dos Jornalistas do Conselho da Europa, de 24 e 25 de março de 2026,</w:t>
      </w:r>
    </w:p>
    <w:p w:rsidR="00F13E75" w:rsidRPr="004C0BB1" w:rsidP="00F13E75" w14:paraId="610494C9" w14:textId="77777777">
      <w:pPr>
        <w:pStyle w:val="NormalHanging12a"/>
      </w:pPr>
      <w:r w:rsidRPr="004C0BB1">
        <w:t>–</w:t>
      </w:r>
      <w:r w:rsidRPr="004C0BB1">
        <w:tab/>
        <w:t>Tendo em conta o artigo 55.º do seu Regimento,</w:t>
      </w:r>
    </w:p>
    <w:p w:rsidR="00F13E75" w:rsidRPr="004C0BB1" w:rsidP="00F13E75" w14:paraId="07CCD477" w14:textId="77777777">
      <w:pPr>
        <w:pStyle w:val="NormalHanging12a"/>
      </w:pPr>
      <w:r w:rsidRPr="004C0BB1">
        <w:t>–</w:t>
      </w:r>
      <w:r w:rsidRPr="004C0BB1">
        <w:tab/>
        <w:t xml:space="preserve">Tendo em conta o relatório da Comissão dos Assuntos Externos (A10-0166/2026), </w:t>
      </w:r>
    </w:p>
    <w:p w:rsidR="00F13E75" w:rsidRPr="004C0BB1" w:rsidP="00F13E75" w14:paraId="57FF8CDB" w14:textId="77777777">
      <w:pPr>
        <w:pStyle w:val="NormalHanging12a"/>
      </w:pPr>
      <w:bookmarkStart w:id="8" w:name="_Hlk222084676"/>
      <w:r w:rsidRPr="004C0BB1">
        <w:t>A.</w:t>
      </w:r>
      <w:r w:rsidRPr="004C0BB1">
        <w:tab/>
        <w:t xml:space="preserve">Considerando que a política de alargamento é um dos instrumentos de política externa da UE mais eficazes e uma das políticas que mais resultados têm produzido no que diz respeito a promover e incentivar reformas fundamentais nos países candidatos ou potenciais candidatos e que representa um investimento geopolítico estratégico na paz, </w:t>
      </w:r>
      <w:r w:rsidRPr="004C0BB1">
        <w:t>democracia, estabilidade e segurança a longo prazo em todo o continente;</w:t>
      </w:r>
    </w:p>
    <w:p w:rsidR="00F13E75" w:rsidRPr="004C0BB1" w:rsidP="00F13E75" w14:paraId="01CB8D2C" w14:textId="45F3CA53">
      <w:pPr>
        <w:pStyle w:val="NormalHanging12a"/>
      </w:pPr>
      <w:r w:rsidRPr="004C0BB1">
        <w:t>B.</w:t>
      </w:r>
      <w:r w:rsidRPr="004C0BB1">
        <w:tab/>
        <w:t>Considerando que a democracia, os direitos humanos e o Estado de direito são os valores fundamentais em que a UE se alicerça</w:t>
      </w:r>
      <w:r w:rsidR="004106B0">
        <w:t>; considerando que</w:t>
      </w:r>
      <w:r w:rsidRPr="004C0BB1">
        <w:t xml:space="preserve"> estes valores fundamentais não podem ser comprometidos no contexto do processo de alargamento;</w:t>
      </w:r>
    </w:p>
    <w:p w:rsidR="00F13E75" w:rsidRPr="004C0BB1" w:rsidP="00F13E75" w14:paraId="78F37BC4" w14:textId="77777777">
      <w:pPr>
        <w:pStyle w:val="NormalHanging12a"/>
        <w:rPr>
          <w:szCs w:val="24"/>
        </w:rPr>
      </w:pPr>
      <w:r w:rsidRPr="004C0BB1">
        <w:t>C.</w:t>
      </w:r>
      <w:r w:rsidRPr="004C0BB1">
        <w:tab/>
        <w:t>Considerando que a Constituição da República do Kosovo é uma das mais progressivas no tocante a direitos das minorias;</w:t>
      </w:r>
    </w:p>
    <w:p w:rsidR="00F13E75" w:rsidRPr="004C0BB1" w:rsidP="00F13E75" w14:paraId="2FE0038B" w14:textId="7F66C042">
      <w:pPr>
        <w:pStyle w:val="NormalHanging12a"/>
        <w:rPr>
          <w:b/>
        </w:rPr>
      </w:pPr>
      <w:r w:rsidRPr="004C0BB1">
        <w:t>D.</w:t>
      </w:r>
      <w:r w:rsidRPr="004C0BB1">
        <w:tab/>
        <w:t>Considerando que cada país candidato ou potencial candidato é avaliado estritamente em função do mérito próprio</w:t>
      </w:r>
      <w:r w:rsidR="004106B0">
        <w:t>; considerando que</w:t>
      </w:r>
      <w:r w:rsidRPr="004C0BB1">
        <w:t xml:space="preserve"> a execução das reformas necessárias e o cumprimento do conjunto de critérios e valores europeus comuns determinam o calendário e a evolução do processo de adesão</w:t>
      </w:r>
      <w:r w:rsidR="004106B0">
        <w:t>; considerando que</w:t>
      </w:r>
      <w:r w:rsidRPr="004C0BB1">
        <w:t xml:space="preserve"> o processo de adesão não pode avançar sem que sejam executadas as reformas necessárias;</w:t>
      </w:r>
    </w:p>
    <w:p w:rsidR="00F13E75" w:rsidRPr="004C0BB1" w:rsidP="00F13E75" w14:paraId="3FF4C749" w14:textId="77777777">
      <w:pPr>
        <w:pStyle w:val="NormalHanging12a"/>
      </w:pPr>
      <w:r w:rsidRPr="004C0BB1">
        <w:t>E.</w:t>
      </w:r>
      <w:r w:rsidRPr="004C0BB1">
        <w:tab/>
        <w:t>Considerando que a trajetória do Kosovo rumo à adesão à UE depende também da normalização das suas relações com a Sérvia e de boas relações de vizinhança;</w:t>
      </w:r>
    </w:p>
    <w:p w:rsidR="00F13E75" w:rsidRPr="004C0BB1" w:rsidP="00F13E75" w14:paraId="2C8E028E" w14:textId="7B4D4E98">
      <w:pPr>
        <w:pStyle w:val="NormalHanging12a"/>
      </w:pPr>
      <w:r w:rsidRPr="004C0BB1">
        <w:t>F.</w:t>
      </w:r>
      <w:r w:rsidRPr="004C0BB1">
        <w:tab/>
        <w:t>Considerando que a salvaguarda da integridade dos processos democráticos se tornou uma consideração central da política de alargamento da UE</w:t>
      </w:r>
      <w:r w:rsidR="004106B0">
        <w:t>; considerando que</w:t>
      </w:r>
      <w:r w:rsidRPr="004C0BB1">
        <w:t xml:space="preserve"> o Kosovo tem sido objeto de ingerência estrangeira e de campanhas de desinformação, mormente por parte da Rússia, inclusive através de órgãos de comunicação social nacionalistas sérvios, que têm visado desestabilizar as instituições democráticas, erodir a coesão social e obstruir a integração europeia do Kosovo</w:t>
      </w:r>
      <w:r w:rsidR="004106B0">
        <w:t>; considerando que</w:t>
      </w:r>
      <w:r w:rsidRPr="004C0BB1">
        <w:t xml:space="preserve"> o reforço da resiliência democrática é parte integrante do cumprimento dos critérios políticos de adesão;</w:t>
      </w:r>
    </w:p>
    <w:p w:rsidR="00F13E75" w:rsidRPr="004C0BB1" w:rsidP="00F13E75" w14:paraId="5F04BC8E" w14:textId="77777777">
      <w:pPr>
        <w:pStyle w:val="NormalHanging12a"/>
        <w:rPr>
          <w:bCs/>
        </w:rPr>
      </w:pPr>
      <w:r w:rsidRPr="004C0BB1">
        <w:t>G.</w:t>
      </w:r>
      <w:r w:rsidRPr="004C0BB1">
        <w:tab/>
        <w:t>Considerando que, contrariamente à postura europeia geral, a independência do Kosovo ainda não foi reconhecida por Chipre, pela Grécia, pela Roménia, pela Eslováquia e pela Espanha;</w:t>
      </w:r>
    </w:p>
    <w:p w:rsidR="00F13E75" w:rsidRPr="004C0BB1" w:rsidP="00F13E75" w14:paraId="53C26B8D" w14:textId="77777777">
      <w:pPr>
        <w:pStyle w:val="NormalHanging12a"/>
        <w:rPr>
          <w:b/>
          <w:bCs/>
        </w:rPr>
      </w:pPr>
      <w:r w:rsidRPr="004C0BB1">
        <w:rPr>
          <w:b/>
          <w:i/>
        </w:rPr>
        <w:t>Empenho na adesão à UE</w:t>
      </w:r>
    </w:p>
    <w:p w:rsidR="00F13E75" w:rsidRPr="004C0BB1" w:rsidP="00F13E75" w14:paraId="64A4E380" w14:textId="77777777">
      <w:pPr>
        <w:pStyle w:val="NormalHanging12a"/>
      </w:pPr>
      <w:r w:rsidRPr="004C0BB1">
        <w:t>1.</w:t>
      </w:r>
      <w:r w:rsidRPr="004C0BB1">
        <w:tab/>
        <w:t>Louva o empenho contínuo do Kosovo na adesão à UE, o que reflete uma escolha geopolítica e estratégica clara conducente ao aumento da segurança, um forte vínculo à Europa, um vasto consenso interpartidário quanto à integração europeia e um elevado nível de apoio público à trajetória europeia do Kosovo, particularmente mediante o desenvolvimento de relações estreitas e concretas com a UE;</w:t>
      </w:r>
    </w:p>
    <w:p w:rsidR="00F13E75" w:rsidRPr="008D4410" w:rsidP="00F13E75" w14:paraId="24B89931" w14:textId="77777777">
      <w:pPr>
        <w:pStyle w:val="NormalHanging12a"/>
      </w:pPr>
      <w:r w:rsidRPr="004C0BB1">
        <w:t>2.</w:t>
      </w:r>
      <w:r w:rsidRPr="004C0BB1">
        <w:tab/>
        <w:t>Reitera a sua firme convicção de que o futuro do Kosovo reside na UE, sobretudo tendo em conta a atual dinâmica geopolítica na região, as mudanças rápidas e profundas na política mundial e a crescente rivalidade com regimes autoritários; salienta que a aproximação entre o Kosovo e a UE faz parte de um processo de integração gradual que vai além da mera adesão formal; salienta que formas concretas de cooperação e integração gradual, nomeadamente através de parcerias setoriais, da participação em programas da União como o Erasmus+, bem como da inclusão em determinadas políticas europeias, são alavancas fundamentais para reforçar os laços com o Kosovo; enfatiza que estes instrumentos ajudam a consolidar o vínculo do Kosovo à Europa e a dar resposta aos desafios geoestratégicos na região, designadamente prevenindo a influência de agentes externos, sem pressupor o ritmo ou o resultado do processo de alargamento</w:t>
      </w:r>
      <w:r w:rsidRPr="004106B0">
        <w:t>;</w:t>
      </w:r>
    </w:p>
    <w:p w:rsidR="00F13E75" w:rsidRPr="004C0BB1" w:rsidP="00F13E75" w14:paraId="58D9B1A9" w14:textId="77777777">
      <w:pPr>
        <w:pStyle w:val="NormalHanging12a"/>
        <w:rPr>
          <w:bCs/>
        </w:rPr>
      </w:pPr>
      <w:r w:rsidRPr="004C0BB1">
        <w:t>3.</w:t>
      </w:r>
      <w:r w:rsidRPr="004C0BB1">
        <w:tab/>
        <w:t>Saúda a formação da nova Assembleia e do novo Governo do Kosovo em 12 de fevereiro de 2026, na sequência das eleições legislativas democráticas antecipadas, ocorridas em dezembro de 2025, e após mais de um ano de impasse político e polarização política profunda; lamenta, contudo, a paralisação do processo político no decurso de 2025, que resultou num «ano perdido» para o Kosovo; lamenta, ademais, que a Assembleia Nacional não tenha elegido um novo presidente dentro do prazo constitucional; regista a dissolução da Assembleia Nacional por decreto presidencial, em 6 de março de 2026, e o veredito subsequente do Tribunal Constitucional do Kosovo que anulou essa decisão e concedeu aos membros da Assembleia 34 dias para a eleição de um novo presidente, findos os quais o país teria de realizar novas eleições; toma nota das tentativas falhadas para eleger um presidente dentro deste prazo e do consequente anúncio de novas eleições legislativas a realizar em 7 de junho de 2026;</w:t>
      </w:r>
    </w:p>
    <w:p w:rsidR="00F13E75" w:rsidRPr="004C0BB1" w:rsidP="00F13E75" w14:paraId="32817776" w14:textId="77777777">
      <w:pPr>
        <w:pStyle w:val="NormalHanging12a"/>
        <w:rPr>
          <w:i/>
        </w:rPr>
      </w:pPr>
      <w:r w:rsidRPr="004C0BB1">
        <w:t>4.</w:t>
      </w:r>
      <w:r w:rsidRPr="004C0BB1">
        <w:tab/>
        <w:t>Acolhe favoravelmente, além disso, a ratificação pela Assembleia Nacional do Kosovo dos acordos no âmbito do Mecanismo para as Reformas e o Crescimento, em 13 de fevereiro de 2026; observa que tal abre caminho ao acesso do Kosovo a subvenções substanciais e a empréstimos em condições preferenciais destinados a promover reformas fundamentais, a acelerar a convergência económica do Kosovo e a dar continuidade à sua trajetória europeia; lamenta profundamente que, dado o «ano perdido», e atendendo à possibilidade de mais alguns meses serem dedicados a campanha eleitoral, o país possa não conseguir realizar todas as reformas necessárias dentro dos prazos, correndo assim o risco de perder avultados montantes de apoio financeiro a título do Mecanismo para as Reformas e o Crescimento;</w:t>
      </w:r>
    </w:p>
    <w:p w:rsidR="00F13E75" w:rsidRPr="004C0BB1" w:rsidP="00F13E75" w14:paraId="2BD0C641" w14:textId="77777777">
      <w:pPr>
        <w:pStyle w:val="NormalHanging12a"/>
      </w:pPr>
      <w:r w:rsidRPr="004C0BB1">
        <w:t>5.</w:t>
      </w:r>
      <w:r w:rsidRPr="004C0BB1">
        <w:tab/>
        <w:t>Destaca que um alargamento credível assenta num processo baseado no mérito, o que requer uma dinâmica de reformas sustentadas e irreversíveis e a execução rigorosa de reformas que cumpram as normas da UE, mormente os critérios de Copenhaga;</w:t>
      </w:r>
      <w:r w:rsidRPr="004C0BB1">
        <w:rPr>
          <w:i/>
        </w:rPr>
        <w:t xml:space="preserve"> </w:t>
      </w:r>
      <w:r w:rsidRPr="004C0BB1">
        <w:t>insta o Kosovo a realizar progressos acrescidos na execução das reformas relacionadas com a UE, particularmente nos domínios do Estado de direito, das liberdades fundamentais e do combate à corrupção, em especial a corrupção a alto nível, e a prosseguir os seus esforços mediante o reforço do compromisso com as normas e os valores europeus; frisa que qualquer assistência de pré-adesão e a assistência financeira conexa devem permanecer estritamente subordinadas a resultados mensuráveis e verificáveis nestes domínios; recorda, a este respeito, a importância de fazer valer o Estado de direito, garantindo o respeito das opiniões de todas as pessoas, e de aplicar efetivamente as leis; enfatiza a necessidade de redefinir prioridades e de realizar progressos tangíveis no que respeita a estas reformas para que o Kosovo fortaleça o seu vínculo à Europa e prossiga o seu realinhamento com a trajetória de adesão à UE; frisa que o alargamento também requer uma preparação exaustiva por parte das instituições e dos Estados-Membros da UE, de modo que se assegure a boa integração dos potenciais novos membros, respeitando sempre a estabilidade económica do mercado interno, as normas sociais e ambientais e o bom funcionamento das instituições da UE;</w:t>
      </w:r>
    </w:p>
    <w:p w:rsidR="00F13E75" w:rsidRPr="004C0BB1" w:rsidP="00F13E75" w14:paraId="03528408" w14:textId="77777777">
      <w:pPr>
        <w:pStyle w:val="NormalHanging12a"/>
      </w:pPr>
      <w:r w:rsidRPr="004C0BB1">
        <w:t>6.</w:t>
      </w:r>
      <w:r w:rsidRPr="004C0BB1">
        <w:tab/>
        <w:t xml:space="preserve">Apoia o pedido de adesão à UE apresentado pelo Kosovo em dezembro de 2022; reitera o seu apelo aos Estados-Membros, reunidos no Conselho, para que convidem a Comissão a apresentar o seu questionário sem demora indevida e a apresentar o seu parecer sobre o mérito do pedido de adesão do país, e insta o Conselho a agir subsequentemente com celeridade, inclusive concedendo o estatuto de candidato logo que os critérios pertinentes estejam preenchidos; solicita aos cinco Estados-Membros que ainda não reconheceram a independência do Kosovo que o façam sem demora, para que o país possa avançar em pé de igualdade com os outros candidatos; recorda o </w:t>
      </w:r>
      <w:r w:rsidRPr="004C0BB1">
        <w:t>parecer consultivo do TIJ de 22 de julho de 2010, que afirma que a declaração unilateral de independência do Kosovo não viola o direito internacional geral;</w:t>
      </w:r>
    </w:p>
    <w:p w:rsidR="00F13E75" w:rsidRPr="004C0BB1" w:rsidP="00F13E75" w14:paraId="0F9FE746" w14:textId="77777777">
      <w:pPr>
        <w:pStyle w:val="NormalHanging12a"/>
      </w:pPr>
      <w:r w:rsidRPr="004C0BB1">
        <w:t>7.</w:t>
      </w:r>
      <w:r w:rsidRPr="004C0BB1">
        <w:tab/>
        <w:t>Reitera o seu total apoio ao pedido de adesão do Kosovo ao Conselho da Europa, ao plano de orientação estratégica do país para a adesão ao programa «Parceria para a Paz» da NATO e aos seus pedidos de adesão a outras organizações internacionais; insta as organizações em causa e os Estados-Membros a apoiarem ativamente estes pedidos de adesão; observa que a aproximação do Kosovo à NATO fortalece a segurança europeia; insta a Comissão e o Gabinete da União no Kosovo a redobrarem esforços para aumentar a visibilidade e a compreensão da UE no Kosovo, bem assim como dos benefícios concretos de uma parceria reforçada entre a UE e o Kosovo; exorta a Sérvia a não se opor à adesão do Kosovo ao Conselho da Europa e a outras organizações internacionais, objeção essa que colidiria com o acordo de 2023 entre o Kosovo e a Sérvia sobre a via para a normalização das relações entre os dois países;</w:t>
      </w:r>
    </w:p>
    <w:p w:rsidR="00F13E75" w:rsidRPr="004C0BB1" w:rsidP="00F13E75" w14:paraId="04781D09" w14:textId="77777777">
      <w:pPr>
        <w:pStyle w:val="NormalHanging12a"/>
      </w:pPr>
      <w:r w:rsidRPr="004C0BB1">
        <w:t>8.</w:t>
      </w:r>
      <w:r w:rsidRPr="004C0BB1">
        <w:tab/>
        <w:t>Enaltece o Kosovo enquanto parceiro fiável da UE, tal como o demonstra o seu alinhamento voluntário continuado com a política externa e de segurança comum (PESC) da UE, incluindo a aplicação continuada das medidas restritivas da UE contra a Rússia e a Bielorrússia, a sua condenação clara da guerra de agressão da Rússia contra a Ucrânia e o nível consistentemente elevado de apoio público à integração na UE entre os seus cidadãos; espera que o Kosovo mantenha este alinhamento e prossiga os seus esforços para conter a ameaça russa;</w:t>
      </w:r>
    </w:p>
    <w:p w:rsidR="00F13E75" w:rsidRPr="004C0BB1" w:rsidP="00F13E75" w14:paraId="0EFE9A05" w14:textId="77777777">
      <w:pPr>
        <w:pStyle w:val="NormalHanging12a"/>
      </w:pPr>
      <w:r w:rsidRPr="004C0BB1">
        <w:t>9.</w:t>
      </w:r>
      <w:r w:rsidRPr="004C0BB1">
        <w:tab/>
        <w:t>Congratula-se com a assinatura, em 18 de março de 2025, da declaração trilateral sobre a cooperação em matéria de defesa entre o Kosovo, a Albânia e a Croácia, destinada a reforçar as capacidades de defesa e aumentar a cooperação na luta contra as ameaças híbridas;</w:t>
      </w:r>
    </w:p>
    <w:p w:rsidR="00F13E75" w:rsidRPr="004C0BB1" w:rsidP="00F13E75" w14:paraId="58676AB0" w14:textId="73577153">
      <w:pPr>
        <w:pStyle w:val="NormalHanging12a"/>
      </w:pPr>
      <w:r w:rsidRPr="004C0BB1">
        <w:t>10.</w:t>
      </w:r>
      <w:r w:rsidRPr="004C0BB1">
        <w:tab/>
        <w:t>Acolhe com agrado a decisão há muito aguardada de levantar as medidas da UE contra o Kosovo, incluindo o desbloqueio de 216 milhões de EUR em programação e contratos prioritários em dezembro de 2025 e a libertação dos restantes 205 milhões de EUR no início de 2026; considera que estas medidas estavam em clara contradição com o compromisso demonstrado pelo Kosovo com os valores europeus e com o alinhamento do país pelas políticas da UE e que já não eram justificadas, visto que todos os requisitos necessários haviam sido cumpridos; assinala as repercussões negativas que estas medidas tiveram na sociedade do Kosovo, especialmente para as comunidades locais, as organizações da sociedade civil e as pequenas e médias empresas (PME); questiona a falta de transparência e de previsibilidade, a inadequação das informações públicas e a duração prolongada das medidas, apesar de o Kosovo ter cumprido os requisitos estabelecidos pela UE;</w:t>
      </w:r>
    </w:p>
    <w:p w:rsidR="00F13E75" w:rsidRPr="004C0BB1" w:rsidP="00F13E75" w14:paraId="1274B69C" w14:textId="77777777">
      <w:pPr>
        <w:pStyle w:val="NormalHanging12a"/>
        <w:rPr>
          <w:b/>
          <w:i/>
        </w:rPr>
      </w:pPr>
      <w:r w:rsidRPr="004C0BB1">
        <w:rPr>
          <w:b/>
          <w:i/>
        </w:rPr>
        <w:t>Democracia e Estado de direito</w:t>
      </w:r>
    </w:p>
    <w:p w:rsidR="00F13E75" w:rsidRPr="004C0BB1" w:rsidP="00F13E75" w14:paraId="228E3BE4" w14:textId="77777777">
      <w:pPr>
        <w:pStyle w:val="NormalHanging12a"/>
      </w:pPr>
      <w:r w:rsidRPr="004C0BB1">
        <w:t>11.</w:t>
      </w:r>
      <w:r w:rsidRPr="004C0BB1">
        <w:tab/>
        <w:t>Acolhe com agrado a avaliação globalmente positiva das eleições legislativas e locais realizadas em 2025, registando que estas decorreram de forma pacífica, competitiva e inclusiva num enquadramento eleitoral revisto em sintonia com as recomendações anteriormente formuladas pela missão de observação eleitoral da UE; louva as autoridades por terem instituído um sistema de votação eletrónica no Kosovo; regista, contudo, que foram identificadas algumas deficiências na realização das eleições, e exorta as autoridades do Kosovo a terem esse facto em conta aquando da organização de futuras eleições;</w:t>
      </w:r>
    </w:p>
    <w:p w:rsidR="00F13E75" w:rsidRPr="004C0BB1" w:rsidP="00F13E75" w14:paraId="459C5CAA" w14:textId="77777777">
      <w:pPr>
        <w:pStyle w:val="NormalHanging12a"/>
      </w:pPr>
      <w:r w:rsidRPr="004C0BB1">
        <w:t>12.</w:t>
      </w:r>
      <w:r w:rsidRPr="004C0BB1">
        <w:tab/>
        <w:t xml:space="preserve">Saúda a participação dos sérvios do Kosovo nas eleições legislativas e locais de 2025 e o facto de os quatro presidentes de câmara sérvios recém-eleitos terem sucedido aos seus antecessores albaneses nos municípios de maioria sérvia no norte do Kosovo; reputa preocupante, contudo, a pressão exercida sobre eleitores que dependem da assistência social e do emprego sérvios no sentido de votarem nos representantes da </w:t>
      </w:r>
      <w:r w:rsidRPr="004C0BB1">
        <w:t>Srpska</w:t>
      </w:r>
      <w:r w:rsidRPr="004C0BB1">
        <w:t xml:space="preserve"> Lista nas eleições legislativas de fevereiro de 2025;</w:t>
      </w:r>
    </w:p>
    <w:p w:rsidR="00F13E75" w:rsidRPr="004C0BB1" w:rsidP="00F13E75" w14:paraId="1A9BC080" w14:textId="77777777">
      <w:pPr>
        <w:pStyle w:val="NormalHanging12a"/>
        <w:rPr>
          <w:bCs/>
        </w:rPr>
      </w:pPr>
      <w:r w:rsidRPr="004C0BB1">
        <w:t>13.</w:t>
      </w:r>
      <w:r w:rsidRPr="004C0BB1">
        <w:tab/>
        <w:t>Lamenta as tentativas continuadas de politizar instituições independentes, entre as quais a Comissão Eleitoral Central, e as deficiências de governação no seio da Comissão Independente dos Meios de Comunicação Social; insta o Kosovo a continuar a harmonizar o quadro jurídico que rege a Comissão Independente dos Meios de Comunicação Social com as recomendações do Conselho da Europa e as normas da UE, a fim de aumentar a independência da regulação, a segurança jurídica e a confiança do público na supervisão dos meios de comunicação social; exorta as autoridades a assegurarem nomeações baseadas no mérito, a transparência dos procedimentos de recrutamento e o pleno respeito pela independência destas instituições; salienta que instituições democráticas resilientes constituem a primeira linha de defesa contra a manipulação do ambiente informativo, a influência dissimulada e a distorção do debate público motivada por interesses políticos; insta o Kosovo a estabelecer um quadro institucionalizado de resiliência democrática que reúna a Assembleia Nacional, o governo, os reguladores independentes e a administração eleitoral, com responsabilidades claramente definidas, avaliações regulares dos riscos e divulgação pública de informações;</w:t>
      </w:r>
    </w:p>
    <w:p w:rsidR="00F13E75" w:rsidRPr="004C0BB1" w:rsidP="00F13E75" w14:paraId="6434A0B3" w14:textId="77777777">
      <w:pPr>
        <w:pStyle w:val="NormalHanging12a"/>
      </w:pPr>
      <w:r w:rsidRPr="004C0BB1">
        <w:t>14.</w:t>
      </w:r>
      <w:r w:rsidRPr="004C0BB1">
        <w:tab/>
        <w:t>Regozija-se por as organizações da sociedade civil operarem num ambiente geralmente favorável, e insta as autoridades a velarem por que a sociedade civil seja envolvida de forma substantiva, desde as fases iniciais, na preparação e execução das reformas relacionadas com a UE; salienta a importância de melhorar a responsabilização e a transparência em relação ao financiamento público das organizações da sociedade civil; sublinha que a sociedade civil é fundamental para promover a democracia e o pluralismo e para promover a boa governação e o progresso social;</w:t>
      </w:r>
    </w:p>
    <w:p w:rsidR="00F13E75" w:rsidRPr="004C0BB1" w:rsidP="00F13E75" w14:paraId="5205E7B1" w14:textId="77777777">
      <w:pPr>
        <w:pStyle w:val="NormalHanging12a"/>
        <w:rPr>
          <w:bCs/>
        </w:rPr>
      </w:pPr>
      <w:r w:rsidRPr="004C0BB1">
        <w:t>15.</w:t>
      </w:r>
      <w:r w:rsidRPr="004C0BB1">
        <w:tab/>
        <w:t>Felicita as autoridades por consultarem a Comissão de Veneza sobre o pacote de projetos de lei relativos ao poder judicial, incluindo a lei relativa ao Conselho do Ministério Público do Kosovo; permanece preocupado, contudo, com a aplicação limitada da estratégia sobre o Estado de direito e com a execução insuficiente das reformas por parte do governo, com os lugares por preencher no Conselho da Magistratura do Kosovo e com os atrasos na execução das reformas judiciais; manifesta preocupação com o facto de o governo não ter adotado o ato regulamentar necessário para definir a estrutura organizacional e os mecanismos de cooperação entre a Unidade Especial de Investigação da Polícia do Kosovo e o Gabinete Especial do Ministério Público; congratula-se com os progressos realizados no que diz respeito à nomeação do novo presidente do Conselho do Ministério Público do Kosovo, e espera que o novo efetivo seja completado assim que a Assembleia Nacional retomar os trabalhos; congratula-se com o recrutamento de 17 novos juízes pelo Conselho da Magistratura do Kosovo no âmbito de um processo transparente e baseado no mérito, e exorta a presidente do Kosovo a confirmar as nomeações sem demora; exorta o Kosovo a tomar medidas decisivas para colmatar as lacunas e assegurar que a legislação em matéria de integridade e responsabilização do sistema judiciário seja consonante com as normas europeias e as recomendações pertinentes da Comissão de Veneza;</w:t>
      </w:r>
    </w:p>
    <w:p w:rsidR="00F13E75" w:rsidRPr="004C0BB1" w:rsidP="00F13E75" w14:paraId="47964405" w14:textId="77777777">
      <w:pPr>
        <w:pStyle w:val="NormalHanging12a"/>
      </w:pPr>
      <w:r w:rsidRPr="004C0BB1">
        <w:t>16.</w:t>
      </w:r>
      <w:r w:rsidRPr="004C0BB1">
        <w:tab/>
        <w:t>Congratula-se com o facto de o Kosovo ter reduzido o ónus administrativo através da execução do programa de prevenção e redução dos encargos administrativos para 2025</w:t>
      </w:r>
      <w:r w:rsidRPr="004C0BB1">
        <w:noBreakHyphen/>
        <w:t>2028 e do respetivo plano de ação para 2025-2026; acolhe com agrado esta melhoria e a adoção de alterações à lei relativa aos funcionários públicos, e insta o Kosovo a continuar a melhorar a sua administração pública e o seu sistema de função pública baseado no mérito; assinala que o quadro estratégico para a administração pública do Kosovo está instituído, mas não está a ser aplicado de forma eficiente;</w:t>
      </w:r>
    </w:p>
    <w:p w:rsidR="00F13E75" w:rsidRPr="004C0BB1" w:rsidP="00F13E75" w14:paraId="6ABC6209" w14:textId="77777777">
      <w:pPr>
        <w:pStyle w:val="NormalHanging12a"/>
      </w:pPr>
      <w:r w:rsidRPr="004C0BB1">
        <w:t xml:space="preserve">17. </w:t>
      </w:r>
      <w:r w:rsidRPr="004C0BB1">
        <w:tab/>
      </w:r>
      <w:bookmarkStart w:id="9" w:name="_Hlk227243576"/>
      <w:r w:rsidRPr="004C0BB1">
        <w:t>Manifesta profunda preocupação com os avanços insuficientes realizados na luta contra a corrupção em geral; lamenta a ausência de avanços estruturais tangíveis neste domínio, apesar dos compromissos assumidos, e frisa que a corrupção continua a ser um problema sistémico que fragiliza o funcionamento das instituições públicas e a confiança dos cidadãos; observa com preocupação a descida do Kosovo no Índice de Perceção da Corrupção de 2025, onde se situa em 76.º lugar num total de 182 países e territórios, três posições abaixo da classificação de 2024, o que marca uma inversão preocupante da tendência anteriormente registada de melhoria gradual, mas que, ainda assim, posiciona o Kosovo acima de outros países da região; insta as autoridades a adotarem e aplicarem sem demora medidas concretas, eficazes e verificáveis para melhorar a prevenção, a investigação e a repressão da corrupção; solicita, em particular, a rápida adoção de uma estratégia e de um plano de ação nacionais de luta contra a corrupção para 2025-2028, a utilização acrescida de declarações de património e de planos de integridade e uma aplicação mais eficaz dos instrumentos de confisco em casos de corrupção; salienta a necessidade de reforçar a independência e a capacidade operacional dos organismos de luta contra a corrupção e de assegurar uma coordenação eficaz entre os procuradores, a polícia e as unidades de informação financeira; assinala que continuam por aplicar as recomendações anteriormente formuladas pela Comissão sobre o reforço da capacidade da Agência para a Prevenção da Corrupção e sobre a aplicação da legislação anticorrupção; preconiza a melhoria contínua da qualidade das investigações em processos de corrupção de alto nível;</w:t>
      </w:r>
      <w:bookmarkEnd w:id="9"/>
    </w:p>
    <w:p w:rsidR="00F13E75" w:rsidRPr="004C0BB1" w:rsidP="00F13E75" w14:paraId="5809D486" w14:textId="77777777">
      <w:pPr>
        <w:pStyle w:val="NormalHanging12a"/>
      </w:pPr>
      <w:r w:rsidRPr="004C0BB1">
        <w:t>18.</w:t>
      </w:r>
      <w:r w:rsidRPr="004C0BB1">
        <w:tab/>
        <w:t>Manifesta a sua preocupação com o facto de terem sido logrados progressos limitados na luta contra a criminalidade organizada; solicita a rápida adoção de uma estratégia e de um plano de ação nacionais contra a criminalidade organizada; destaca a importância de combater as redes criminosas através do reforço da cooperação internacional mediante a partilha de informações e o aumento da colaboração entre os agentes responsáveis pela aplicação da lei e pelo exercício da ação penal; insta os vizinhos do Kosovo a permitirem que o Kosovo participe na cooperação internacional a todos os níveis, a fim de maximizar o impacto da luta contra a criminalidade organizada; enfatiza a necessidade de aprofundar a cooperação no domínio da luta contra a droga; preconiza um maior alinhamento no que concerne à luta contra o terrorismo;</w:t>
      </w:r>
    </w:p>
    <w:p w:rsidR="00F13E75" w:rsidRPr="004C0BB1" w:rsidP="00F13E75" w14:paraId="0C2B100B" w14:textId="77777777">
      <w:pPr>
        <w:pStyle w:val="NormalHanging12a"/>
      </w:pPr>
      <w:r w:rsidRPr="004C0BB1">
        <w:t>19.</w:t>
      </w:r>
      <w:r w:rsidRPr="004C0BB1">
        <w:tab/>
        <w:t>Destaca os esforços continuados da EULEX no apoio às autoridades do Kosovo para criar instituições sustentáveis e independentes no domínio do Estado de direito; observa que desafios persistentes, em que se incluem poderes de execução limitados, têm restringido o impacto do seu trabalho; solicita a reavaliação contínua do valor acrescentado, do âmbito e dos objetivos estratégicos da missão, a fim de assegurar a sua pertinência e eficiência;</w:t>
      </w:r>
    </w:p>
    <w:p w:rsidR="00F13E75" w:rsidRPr="004C0BB1" w:rsidP="00F13E75" w14:paraId="6B133708" w14:textId="77777777">
      <w:pPr>
        <w:pStyle w:val="NormalHanging12a"/>
      </w:pPr>
      <w:r w:rsidRPr="004C0BB1">
        <w:t>20.</w:t>
      </w:r>
      <w:r w:rsidRPr="004C0BB1">
        <w:tab/>
        <w:t xml:space="preserve">Manifesta a sua preocupação com os casos relatados de uso excessivo da força e má conduta por parte de alguns agentes da polícia do Kosovo no norte do país; insta a polícia do Kosovo a assegurar que o seu pessoal respeite plenamente todos os requisitos </w:t>
      </w:r>
      <w:r w:rsidRPr="004C0BB1">
        <w:t>relacionados com o Estado de direito e os direitos humanos; recorda a responsabilidade partilhada de todos os representantes políticos e de toda a população do Kosovo pela defesa da paz e do Estado de direito;</w:t>
      </w:r>
    </w:p>
    <w:p w:rsidR="00F13E75" w:rsidRPr="004C0BB1" w:rsidP="00F13E75" w14:paraId="5B332138" w14:textId="77777777">
      <w:pPr>
        <w:pStyle w:val="NormalHanging12a"/>
        <w:rPr>
          <w:b/>
          <w:i/>
        </w:rPr>
      </w:pPr>
      <w:r w:rsidRPr="004C0BB1">
        <w:rPr>
          <w:b/>
          <w:i/>
        </w:rPr>
        <w:t>Liberdades fundamentais e direitos humanos</w:t>
      </w:r>
    </w:p>
    <w:p w:rsidR="00F13E75" w:rsidRPr="004C0BB1" w:rsidP="00F13E75" w14:paraId="538E5029" w14:textId="77777777">
      <w:pPr>
        <w:pStyle w:val="NormalHanging12a"/>
        <w:rPr>
          <w:bCs/>
        </w:rPr>
      </w:pPr>
      <w:r w:rsidRPr="004C0BB1">
        <w:t>21.</w:t>
      </w:r>
      <w:r w:rsidRPr="004C0BB1">
        <w:tab/>
        <w:t>Observa que, embora o quadro jurídico e institucional em matéria de direitos humanos esteja, em grande medida, em vigor, a sua aplicação continua a ser insuficiente;</w:t>
      </w:r>
      <w:r w:rsidRPr="004C0BB1">
        <w:rPr>
          <w:i/>
        </w:rPr>
        <w:t xml:space="preserve"> </w:t>
      </w:r>
      <w:r w:rsidRPr="004C0BB1">
        <w:t xml:space="preserve">congratula-se com a adoção da estratégia para a proteção e a promoção dos direitos das comunidades; congratula-se com a aplicação, pelo Kosovo, do acórdão do Tribunal Constitucional sobre a propriedade do terreno no qual está situado o Mosteiro de </w:t>
      </w:r>
      <w:r w:rsidRPr="004C0BB1">
        <w:t>Dečani</w:t>
      </w:r>
      <w:r w:rsidRPr="004C0BB1">
        <w:t>; insta o Kosovo a investir numa aplicação mais eficaz do quadro em matéria de direitos humanos;</w:t>
      </w:r>
    </w:p>
    <w:p w:rsidR="00F13E75" w:rsidRPr="004C0BB1" w:rsidP="00F13E75" w14:paraId="15A6278A" w14:textId="77777777">
      <w:pPr>
        <w:pStyle w:val="NormalHanging12a"/>
      </w:pPr>
      <w:r w:rsidRPr="004C0BB1">
        <w:t>22.</w:t>
      </w:r>
      <w:r w:rsidRPr="004C0BB1">
        <w:tab/>
        <w:t>Reconhece que a Constituição do Kosovo é muito progressiva em termos de direitos das minorias; observa com pesar, a este respeito, que a petição assinada por quase 500 pessoas, que, do ponto de vista histórico, se identificam como búlgaras, depositada na Assembleia Nacional do Kosovo em janeiro de 2023, ainda não foi analisada, e recomenda que os direitos das pessoas em causa sejam consagrados na lei e garantidos na prática, a fim de proteger a identidade histórica, cultural e política da minoria búlgara; insta o Kosovo a assegurar que todas as minorias reconhecidas ao abrigo da lei relativa à proteção e promoção dos direitos das comunidades e dos seus membros sejam plenamente incluídas na Constituição do país;</w:t>
      </w:r>
    </w:p>
    <w:p w:rsidR="00F13E75" w:rsidRPr="004C0BB1" w:rsidP="00F13E75" w14:paraId="2247892A" w14:textId="77777777">
      <w:pPr>
        <w:pStyle w:val="NormalHanging12a"/>
      </w:pPr>
      <w:r w:rsidRPr="004C0BB1">
        <w:t>23.</w:t>
      </w:r>
      <w:r w:rsidRPr="004C0BB1">
        <w:tab/>
        <w:t>Observa que o sistema prisional do Kosovo está amplamente alinhado com as regras mínimas das Nações Unidas e do Conselho da Europa; apela a uma melhor proteção dos direitos dos reclusos, em particular das mulheres reclusas, dos reclusos pertencentes a minorias e dos reclusos com problemas de saúde mental;</w:t>
      </w:r>
    </w:p>
    <w:p w:rsidR="00F13E75" w:rsidRPr="004C0BB1" w:rsidP="00F13E75" w14:paraId="2D65D44B" w14:textId="77777777">
      <w:pPr>
        <w:pStyle w:val="NormalHanging12a"/>
        <w:rPr>
          <w:bCs/>
        </w:rPr>
      </w:pPr>
      <w:r w:rsidRPr="004C0BB1">
        <w:t>24.</w:t>
      </w:r>
      <w:r w:rsidRPr="004C0BB1">
        <w:tab/>
      </w:r>
      <w:bookmarkStart w:id="10" w:name="_Hlk227248502"/>
      <w:r w:rsidRPr="004C0BB1">
        <w:t>Salienta a necessidade de reforçar a aplicação da legislação que protege os direitos dos grupos vulneráveis e das pessoas pertencentes a comunidades não maioritárias, nomeadamente no que concerne à sua representação nas instituições públicas e à utilização da língua, inclusive assegurando o acesso igual e efetivo ao ensino público na sua língua materna, bem como o acesso aos cuidados de saúde e aos serviços públicos, o respeito pelos direitos linguísticos e de propriedade, a representação adequada na administração central e local e a proteção do património religioso, tradicional e cultural material e imaterial; exorta o Kosovo a intensificar os seus esforços no sentido de proporcionar aos grupos minoritários oportunidades iguais e uma representação adequada na vida política e cultural, nos meios de comunicação social públicos, na administração e no sistema judicial; solicita que as minorias religiosas sejam protegidas no Kosovo e que o acesso aos locais de culto seja assegurado</w:t>
      </w:r>
      <w:bookmarkEnd w:id="10"/>
      <w:r w:rsidRPr="004C0BB1">
        <w:t>;</w:t>
      </w:r>
    </w:p>
    <w:p w:rsidR="00F13E75" w:rsidRPr="004C0BB1" w:rsidP="00F13E75" w14:paraId="368E1863" w14:textId="77777777">
      <w:pPr>
        <w:pStyle w:val="NormalHanging12a"/>
      </w:pPr>
      <w:r w:rsidRPr="004C0BB1">
        <w:t>25.</w:t>
      </w:r>
      <w:r w:rsidRPr="004C0BB1">
        <w:tab/>
        <w:t xml:space="preserve">Lamenta que as mulheres pertencentes a grupos minoritários, em especial as comunidades cigana, </w:t>
      </w:r>
      <w:r w:rsidRPr="004C0BB1">
        <w:t>ascáli</w:t>
      </w:r>
      <w:r w:rsidRPr="004C0BB1">
        <w:t xml:space="preserve"> e egípcia, enfrentem numerosas formas de discriminação, nomeadamente na educação, no emprego e no acesso aos cuidados de saúde; manifesta preocupação com o facto de a administração do Kosovo não representar adequadamente as comunidades minoritárias e de o número de mulheres em cargos superiores continuar a ser reduzido;</w:t>
      </w:r>
    </w:p>
    <w:p w:rsidR="00F13E75" w:rsidRPr="004C0BB1" w:rsidP="00F13E75" w14:paraId="044A7153" w14:textId="77777777">
      <w:pPr>
        <w:pStyle w:val="NormalHanging12a"/>
      </w:pPr>
      <w:r w:rsidRPr="004C0BB1">
        <w:t>26.</w:t>
      </w:r>
      <w:r w:rsidRPr="004C0BB1">
        <w:tab/>
        <w:t xml:space="preserve">Insta o Kosovo a reforçar a aplicação dos mecanismos existentes de proteção dos direitos das comunidades não maioritárias, das comunidades religiosas e da comunidade </w:t>
      </w:r>
      <w:r w:rsidRPr="004C0BB1">
        <w:t>LGBTIQ+, mediante a finalização do novo código civil, cuja adoção ainda está pendente; reafirma a sua preocupação com a persistência de uma linguagem discriminatória dirigida contra as mulheres e as pessoas LGBTIQ+;</w:t>
      </w:r>
    </w:p>
    <w:p w:rsidR="00F13E75" w:rsidRPr="004C0BB1" w:rsidP="00F13E75" w14:paraId="36EA2B16" w14:textId="77777777">
      <w:pPr>
        <w:pStyle w:val="NormalHanging12a"/>
      </w:pPr>
      <w:r w:rsidRPr="004C0BB1">
        <w:t>27.</w:t>
      </w:r>
      <w:r w:rsidRPr="004C0BB1">
        <w:tab/>
        <w:t>Enfatiza a necessidade de reforçar a igualdade de género e os direitos das mulheres no Kosovo; observa que o quadro jurídico e institucional em matéria de igualdade de género e de combate à violência de género está, em grande parte, estabelecido; congratula-se com o aumento do financiamento para serviços de apoio especializados, incluindo abrigos para vítimas de violência baseada no género, a base de dados plenamente funcional que regista casos de violência doméstica e os esforços de sensibilização em curso; manifesta, no entanto, a sua preocupação com o facto de a violência baseada no género persistir e de a sua aplicação e execução continuarem a ser insuficientes, especialmente tendo em conta que as mulheres, especialmente as pertencentes a comunidades minoritárias, continuam a enfrentar múltiplas formas de discriminação;</w:t>
      </w:r>
    </w:p>
    <w:p w:rsidR="00F13E75" w:rsidRPr="004C0BB1" w:rsidP="00F13E75" w14:paraId="5083ABBB" w14:textId="77777777">
      <w:pPr>
        <w:pStyle w:val="NormalHanging12a"/>
      </w:pPr>
      <w:r w:rsidRPr="004C0BB1">
        <w:t>28.</w:t>
      </w:r>
      <w:r w:rsidRPr="004C0BB1">
        <w:tab/>
        <w:t>Reitera o seu apelo às autoridades para que melhorem o diálogo interno e para que estabeleçam uma colaboração genuína e direta com as organizações independentes da sociedade civil dos sérvios do Kosovo, em particular no norte do país, com o objetivo de criar confiança, facilitar a vida quotidiana dos sérvios do Kosovo e lograr a sua integração;</w:t>
      </w:r>
    </w:p>
    <w:p w:rsidR="00F13E75" w:rsidRPr="004C0BB1" w:rsidP="00F13E75" w14:paraId="665FFC5F" w14:textId="77777777">
      <w:pPr>
        <w:pStyle w:val="NormalHanging12a"/>
      </w:pPr>
      <w:r w:rsidRPr="004C0BB1">
        <w:t>29.</w:t>
      </w:r>
      <w:r w:rsidRPr="004C0BB1">
        <w:tab/>
        <w:t>Felicita o governo pela aprovação da estratégia sobre os direitos das pessoas com deficiência 2025-2030 e do plano de ação conexo para 2025-2027; lamenta, no entanto, que a Convenção das Nações Unidas sobre os Direitos das Pessoas com Deficiência ainda não tenha sido adotada pelo Kosovo; manifesta a sua preocupação com o alinhamento insuficiente do Kosovo pelo acervo da UE a este respeito e com a discriminação e os obstáculos enfrentados pelas pessoas com deficiência, incluindo as crianças, no acesso à educação, aos cuidados de saúde e aos serviços sociais; insta as autoridades a aumentarem a proteção dos seus direitos e a adotarem o projeto-lei sobre o reconhecimento do estatuto, os serviços e as prestações;</w:t>
      </w:r>
    </w:p>
    <w:p w:rsidR="00F13E75" w:rsidRPr="004C0BB1" w:rsidP="00F13E75" w14:paraId="0B61C7BE" w14:textId="77777777">
      <w:pPr>
        <w:pStyle w:val="NormalHanging12a"/>
        <w:rPr>
          <w:bCs/>
        </w:rPr>
      </w:pPr>
      <w:r w:rsidRPr="004C0BB1">
        <w:t>30.</w:t>
      </w:r>
      <w:r w:rsidRPr="004C0BB1">
        <w:tab/>
        <w:t xml:space="preserve">Sublinha a importância de proteger o património multicultural do Kosovo, incluindo o da comunidade croata, apoiando simultaneamente o desenvolvimento local sustentável e o envolvimento da comunidade; congratula-se com o projeto financiado pela UE e executado pelo Programa das Nações Unidas para o Desenvolvimento para preservar e revitalizar o património cultural de </w:t>
      </w:r>
      <w:r w:rsidRPr="004C0BB1">
        <w:t>Janjevo</w:t>
      </w:r>
      <w:r w:rsidRPr="004C0BB1">
        <w:t>;</w:t>
      </w:r>
    </w:p>
    <w:p w:rsidR="00F13E75" w:rsidRPr="004C0BB1" w:rsidP="00F13E75" w14:paraId="413887D5" w14:textId="77777777">
      <w:pPr>
        <w:pStyle w:val="NormalHanging12a"/>
        <w:rPr>
          <w:bCs/>
        </w:rPr>
      </w:pPr>
      <w:r w:rsidRPr="004C0BB1">
        <w:t>31.</w:t>
      </w:r>
      <w:r w:rsidRPr="004C0BB1">
        <w:tab/>
        <w:t>Lamenta que o novo projeto de lei sobre os manuais escolares ainda esteja pendente de adoção pela Assembleia Nacional do Kosovo; manifesta preocupação com o facto de a execução da estratégia de educação do Kosovo para 2022-2026 estar atrasada e de o financiamento destinado ao ensino básico público continuar a diminuir; insta o Kosovo a finalizar a adoção do projeto-lei sobre os manuais escolares, a concluir a revisão dos manuais escolares atuais e a proporcionar formação sustentável e sistemática aos professores;</w:t>
      </w:r>
    </w:p>
    <w:p w:rsidR="00F13E75" w:rsidRPr="004C0BB1" w:rsidP="00F13E75" w14:paraId="30BFDEFB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4C0BB1">
        <w:t>32.</w:t>
      </w:r>
      <w:r w:rsidRPr="004C0BB1">
        <w:tab/>
        <w:t xml:space="preserve">Constata o panorama pluralista dos meios de comunicação social do Kosovo, mas sublinha que este continua a ser frágil e exposto a várias pressões; lamenta profundamente a ausência de progressos na garantia da liberdade de expressão e na proteção efetiva dos jornalistas; lamenta que a classificação do Kosovo em matéria de liberdade dos meios de comunicação social tenha caído 24 lugares, para a 99.ª posição, </w:t>
      </w:r>
      <w:r w:rsidRPr="004C0BB1">
        <w:t>no Índice Mundial da Liberdade de Imprensa de 2025, o que constitui um retrocesso significativo e preocupante; observa que a liberdade de imprensa é um valor europeu fundamental e que é imperativo que o Kosovo tome medidas mais eficazes do que as atuais para a salvaguardar;</w:t>
      </w:r>
    </w:p>
    <w:p w:rsidR="00F13E75" w:rsidRPr="004C0BB1" w:rsidP="00F13E75" w14:paraId="4BDA0C8A" w14:textId="77777777">
      <w:pPr>
        <w:pStyle w:val="NormalHanging12a"/>
      </w:pPr>
      <w:r w:rsidRPr="004C0BB1">
        <w:t>33.</w:t>
      </w:r>
      <w:r w:rsidRPr="004C0BB1">
        <w:tab/>
        <w:t>Reitera a sua profunda preocupação com a deterioração do ambiente dos meios de comunicação social e do clima em que os profissionais da informação trabalham e, em particular, com os ataques e as ameaças contra jornalistas e profissionais dos meios de comunicação social, incluindo a utilização de linguagem ofensiva dirigida aos meios de comunicação social por altos funcionários do Kosovo durante a campanha eleitoral; lamenta que a aprovação do projeto de lei relativa à proteção das fontes jornalísticas continue pendente, deixando os jornalistas sem proteção jurídica adequada; salienta que deve haver tolerância zero em relação aos ataques físicos contra jornalistas e apela ao reforço da investigação e da ação penal contra todas as ameaças contra o pessoal dos meios de comunicação social e ao alinhamento da legislação relacionada com os meios de comunicação social com o acervo da UE, em particular o Regulamento Europeu relativo à Liberdade dos Meios de Comunicação Social</w:t>
      </w:r>
      <w:r>
        <w:rPr>
          <w:rStyle w:val="FootnoteReference"/>
        </w:rPr>
        <w:footnoteReference w:id="8"/>
      </w:r>
      <w:r w:rsidRPr="004C0BB1">
        <w:t xml:space="preserve"> e a Diretiva da UE relativa a ações judiciais estratégicas contra a participação pública</w:t>
      </w:r>
      <w:r>
        <w:rPr>
          <w:rStyle w:val="FootnoteReference"/>
        </w:rPr>
        <w:footnoteReference w:id="9"/>
      </w:r>
      <w:r w:rsidRPr="004C0BB1">
        <w:t>, bem como com outras obrigações internacionais pertinentes em matéria de direitos humanos; insta, a este respeito, as autoridades a tomarem medidas imediatas e concretas para assegurar a independência dos meios de comunicação social, combater a intimidação e assegurar um ambiente propício ao jornalismo livre e pluralista;</w:t>
      </w:r>
    </w:p>
    <w:p w:rsidR="00F13E75" w:rsidRPr="004C0BB1" w:rsidP="00F13E75" w14:paraId="071FDD4F" w14:textId="77777777">
      <w:pPr>
        <w:pStyle w:val="NormalHanging12a"/>
      </w:pPr>
      <w:r w:rsidRPr="004C0BB1">
        <w:t>34.</w:t>
      </w:r>
      <w:r w:rsidRPr="004C0BB1">
        <w:tab/>
        <w:t>Manifesta a sua profunda preocupação com os relatos de pressões exercidas sobre os jornalistas por intervenientes políticos e grupos de criminalidade organizada, que conduziram a casos de autocensura; observa que os jornalistas podem não realizar reportagens de investigação fulcrais por temerem pela sua segurança física ou pela segurança do emprego; salienta ainda os relatos de que as autoridades públicas podem retirar publicidade dos meios de comunicação social que publicam conteúdos críticos, exercendo assim uma pressão económica indireta;</w:t>
      </w:r>
    </w:p>
    <w:p w:rsidR="00F13E75" w:rsidRPr="008D4410" w:rsidP="00F13E75" w14:paraId="6C79C4A3" w14:textId="77777777">
      <w:pPr>
        <w:pStyle w:val="NormalHanging12a"/>
        <w:rPr>
          <w:bCs/>
          <w:szCs w:val="24"/>
        </w:rPr>
      </w:pPr>
      <w:bookmarkStart w:id="11" w:name="_Hlk231922376"/>
      <w:r w:rsidRPr="004C0BB1">
        <w:t>35.</w:t>
      </w:r>
      <w:r w:rsidRPr="004C0BB1">
        <w:rPr>
          <w:i/>
        </w:rPr>
        <w:tab/>
      </w:r>
      <w:r w:rsidRPr="004C0BB1">
        <w:t xml:space="preserve">Manifesta preocupação com o facto de a adoção do projeto-lei sobre a radiotelevisão do Kosovo (RTK), o organismo público de radiodifusão do Kosovo, continuar pendente e, como tal, insta à sua rápida adoção; </w:t>
      </w:r>
      <w:bookmarkEnd w:id="11"/>
      <w:r w:rsidRPr="004C0BB1">
        <w:t xml:space="preserve">destaca a necessidade de assegurar o financiamento sustentável e a independência do organismo público de radiodifusão; lamenta que o lugar de diretor-geral da RTK esteja vago desde setembro de 2024 e que o conselho de administração da RTK não disponha de quórum desde dezembro de 2024, o que torna o organismo público de radiodifusão efetivamente disfuncional e incapaz de desempenhar o seu papel; preconiza uma supervisão equilibrada, representativa e politicamente independente da RTK; exorta as autoridades do Kosovo a nomearem os membros do </w:t>
      </w:r>
      <w:r w:rsidRPr="004C0BB1">
        <w:t>conselho de administração da RTK e o diretor-geral da RTK através de um processo transparente e baseado no mérito, garantindo assim o funcionamento eficaz do serviço público de radiodifusão no Kosovo; salienta que qualquer reforma do organismo público de radiodifusão deve salvaguardar a independência editorial, evitar a influência política e assegurar um financiamento sustentável e transparente;</w:t>
      </w:r>
    </w:p>
    <w:p w:rsidR="00F13E75" w:rsidRPr="004C0BB1" w:rsidP="00F13E75" w14:paraId="1679901D" w14:textId="77777777">
      <w:pPr>
        <w:pStyle w:val="NormalHanging12a"/>
        <w:rPr>
          <w:bCs/>
        </w:rPr>
      </w:pPr>
      <w:r w:rsidRPr="004C0BB1">
        <w:t>36.</w:t>
      </w:r>
      <w:r w:rsidRPr="004C0BB1">
        <w:tab/>
        <w:t>Regista com preocupação que o relatório de 2025 sobre o tráfico de seres humanos salienta que as autoridades competentes do Kosovo não cumpriram integralmente as normas mínimas para a eliminação do tráfico de seres humanos, apesar de demonstrarem um aumento dos esforços, incluindo a melhoria das taxas de ação penal e o aumento do apoio às vítimas;</w:t>
      </w:r>
    </w:p>
    <w:p w:rsidR="00F13E75" w:rsidRPr="004C0BB1" w:rsidP="00F13E75" w14:paraId="509A556B" w14:textId="77777777">
      <w:pPr>
        <w:pStyle w:val="NormalHanging12a"/>
        <w:rPr>
          <w:i/>
        </w:rPr>
      </w:pPr>
      <w:r w:rsidRPr="004C0BB1">
        <w:t>37.</w:t>
      </w:r>
      <w:r w:rsidRPr="004C0BB1">
        <w:tab/>
        <w:t xml:space="preserve">Manifesta preocupação com o aumento da desinformação difundida por intervenientes estrangeiros em países da região, nomeadamente sobre as tensões interétnicas, sobretudo por parte de fontes com ligações aos Estados russo e sérvio e durante períodos eleitorais, o que contribui ainda mais para a polarização política; continua seriamente preocupado com a ingerência estrangeira maliciosa, os esforços de desestabilização e as ameaças híbridas, incluindo a desinformação gerada por inteligência artificial (IA) e as campanhas em linha coordenadas destinadas a influenciar os processos políticos e a opinião pública; solicita uma resposta institucional reforçada e a melhoria da literacia mediática, a concretizar através de medidas que incluam o reforço da formação de professores e recursos de aprendizagem modernos e o reforço da cooperação com os meios de comunicação social independentes, as organizações de verificação de factos e os programas pertinentes da UE, a fim de promover o pensamento crítico e a participação digital responsável; insta o Kosovo e os seus parceiros regionais a permanecerem unidos e a reforçarem a cooperação regional, bem como a cooperação europeia com o Kosovo, no combate a ameaças externas, à desinformação, à ingerência estrangeira e às </w:t>
      </w:r>
      <w:r w:rsidRPr="004C0BB1">
        <w:t>ciberameaças</w:t>
      </w:r>
      <w:r w:rsidRPr="004C0BB1">
        <w:t xml:space="preserve"> e às ameaças híbridas que visam minar a perspetiva europeia do país e da região;</w:t>
      </w:r>
    </w:p>
    <w:p w:rsidR="00F13E75" w:rsidRPr="004C0BB1" w:rsidP="00F13E75" w14:paraId="4BCBBC24" w14:textId="77777777">
      <w:pPr>
        <w:pStyle w:val="NormalHanging12a"/>
        <w:rPr>
          <w:bCs/>
        </w:rPr>
      </w:pPr>
      <w:r w:rsidRPr="004C0BB1">
        <w:t>38.</w:t>
      </w:r>
      <w:r w:rsidRPr="004C0BB1">
        <w:tab/>
        <w:t>Felicita o Kosovo pelo seu empenho ativo numa série de iniciativas de cooperação regional, como o Acordo de Comércio Livre da Europa Central, a Comunidade da Energia, a Comunidade dos Transportes, o Processo de Cooperação da Europa do Sudeste e o Conselho de Cooperação Regional;</w:t>
      </w:r>
    </w:p>
    <w:p w:rsidR="00F13E75" w:rsidRPr="004C0BB1" w:rsidP="00F13E75" w14:paraId="61FD9BD9" w14:textId="77777777">
      <w:pPr>
        <w:pStyle w:val="NormalHanging12a"/>
      </w:pPr>
      <w:r w:rsidRPr="004C0BB1">
        <w:t>39.</w:t>
      </w:r>
      <w:r w:rsidRPr="004C0BB1">
        <w:tab/>
        <w:t>Louva as autoridades do Kosovo pela aplicação bem-sucedida do roteiro para uma solução sustentável para a posse ilegal, a utilização indevida e o tráfico de armas ligeiras e de pequeno calibre e de explosivos; congratula-se com o elevado nível de cumprimento das regras estabelecidas no Protocolo das Nações Unidas sobre as Armas de Fogo;</w:t>
      </w:r>
    </w:p>
    <w:p w:rsidR="00F13E75" w:rsidRPr="004C0BB1" w:rsidP="00F13E75" w14:paraId="5950CDD0" w14:textId="77777777">
      <w:pPr>
        <w:pStyle w:val="NormalHanging12a"/>
        <w:rPr>
          <w:b/>
        </w:rPr>
      </w:pPr>
      <w:r w:rsidRPr="004C0BB1">
        <w:rPr>
          <w:b/>
          <w:i/>
        </w:rPr>
        <w:t>Reconciliação e relações de boa vizinhança</w:t>
      </w:r>
    </w:p>
    <w:p w:rsidR="00F13E75" w:rsidRPr="004C0BB1" w:rsidP="00F13E75" w14:paraId="0BF499AE" w14:textId="77777777">
      <w:pPr>
        <w:pStyle w:val="NormalHanging12a"/>
      </w:pPr>
      <w:r w:rsidRPr="004C0BB1">
        <w:t>40.</w:t>
      </w:r>
      <w:r w:rsidRPr="004C0BB1">
        <w:tab/>
        <w:t xml:space="preserve">Recorda que a normalização das relações com a Sérvia e a aplicação de todos os acordos alcançados no âmbito do Diálogo Belgrado-Pristina constituem parte integrante e um elemento fundamental e imprescindível da perspetiva europeia do Kosovo; sublinha que é essencial realizar progressos concretos, duradouros e verificáveis neste domínio para reforçar a estabilidade regional e promover a perspetiva europeia do país; salienta que a normalização não pode ser considerada uma preocupação secundária, mas deve continuar a ser uma prioridade política de primeira ordem; sublinha a importância de reforçar ainda mais os esforços de facilitação da UE entre as partes, com vista a </w:t>
      </w:r>
      <w:r w:rsidRPr="004C0BB1">
        <w:t>superar o atual impasse;</w:t>
      </w:r>
    </w:p>
    <w:p w:rsidR="00F13E75" w:rsidRPr="004C0BB1" w:rsidP="00F13E75" w14:paraId="41B85804" w14:textId="77777777">
      <w:pPr>
        <w:pStyle w:val="NormalHanging12a"/>
      </w:pPr>
      <w:r w:rsidRPr="004C0BB1">
        <w:t>41.</w:t>
      </w:r>
      <w:r w:rsidRPr="004C0BB1">
        <w:tab/>
        <w:t xml:space="preserve">Reitera o seu apoio incondicional ao diálogo facilitado pela UE e saúda a prorrogação do mandato de Peter </w:t>
      </w:r>
      <w:r w:rsidRPr="004C0BB1">
        <w:t>Sørensen</w:t>
      </w:r>
      <w:r w:rsidRPr="004C0BB1">
        <w:t xml:space="preserve"> como representante especial da UE para o Diálogo Belgrado-Pristina até 29 de fevereiro de 2028;</w:t>
      </w:r>
    </w:p>
    <w:p w:rsidR="00F13E75" w:rsidRPr="004C0BB1" w:rsidP="00F13E75" w14:paraId="581566F2" w14:textId="77777777">
      <w:pPr>
        <w:pStyle w:val="NormalHanging12a"/>
      </w:pPr>
      <w:r w:rsidRPr="004C0BB1">
        <w:t>42.</w:t>
      </w:r>
      <w:r w:rsidRPr="004C0BB1">
        <w:tab/>
        <w:t>Reitera o seu apelo para que se melhore a qualidade do processo de diálogo através da participação das mulheres, de uma maior transparência em relação ao público e do envolvimento efetivo da sociedade civil;</w:t>
      </w:r>
    </w:p>
    <w:p w:rsidR="00F13E75" w:rsidRPr="004C0BB1" w:rsidP="00F13E75" w14:paraId="481B356B" w14:textId="77777777">
      <w:pPr>
        <w:pStyle w:val="NormalHanging12a"/>
        <w:rPr>
          <w:rFonts w:eastAsiaTheme="minorHAnsi"/>
        </w:rPr>
      </w:pPr>
      <w:r w:rsidRPr="004C0BB1">
        <w:t>43.</w:t>
      </w:r>
      <w:r w:rsidRPr="004C0BB1">
        <w:tab/>
        <w:t xml:space="preserve">Reitera a importância de as autoridades do Kosovo e da Sérvia dialogarem de modo construtivo com vista a fazer avançar a aplicação do Acordo sobre a via para a normalização das relações e do respetivo anexo de execução, que continuam a ser válidos e juridicamente vinculativos para ambas as partes; insta o Kosovo e a Sérvia a aplicarem na íntegra os Acordos de Bruxelas e de </w:t>
      </w:r>
      <w:r w:rsidRPr="004C0BB1">
        <w:t>Ocrida</w:t>
      </w:r>
      <w:r w:rsidRPr="004C0BB1">
        <w:t>, inclusive mediante a criação da associação/comunidade de municípios de maioria sérvia e o levantamento da oposição da Sérvia à adesão do Kosovo a organizações regionais e internacionais, e a evitarem ações unilaterais suscetíveis de prejudicar o processo de diálogo;</w:t>
      </w:r>
    </w:p>
    <w:p w:rsidR="00F13E75" w:rsidRPr="004C0BB1" w:rsidP="00F13E75" w14:paraId="56DD2C1A" w14:textId="77777777">
      <w:pPr>
        <w:pStyle w:val="NormalHanging12a"/>
      </w:pPr>
      <w:r w:rsidRPr="004C0BB1">
        <w:t>44.</w:t>
      </w:r>
      <w:r w:rsidRPr="004C0BB1">
        <w:tab/>
        <w:t>Congratula-se com o acordo alcançado em 14 de março de 2026 sobre a aplicação da legislação do Kosovo relativa aos estrangeiros, que introduz medidas de mitigação para os membros da comunidade sérvia; observa que este acordo contribui para assegurar a continuidade do acesso aos serviços públicos e evita o risco de exclusão de facto dos sérvios do Kosovo; salienta que tais soluções contribuem para o reforço da confiança e representam um passo positivo no sentido da normalização das relações entre Belgrado e Pristina e da promoção de relações de boa vizinhança;</w:t>
      </w:r>
    </w:p>
    <w:p w:rsidR="00F13E75" w:rsidRPr="004C0BB1" w:rsidP="00F13E75" w14:paraId="7DF1C04D" w14:textId="77777777">
      <w:pPr>
        <w:pStyle w:val="NormalHanging12a"/>
      </w:pPr>
      <w:r w:rsidRPr="004C0BB1">
        <w:t>45.</w:t>
      </w:r>
      <w:r w:rsidRPr="004C0BB1">
        <w:tab/>
        <w:t>Toma nota do encerramento descoordenado de dezenas de instituições apoiadas pela Sérvia no norte do Kosovo;</w:t>
      </w:r>
    </w:p>
    <w:p w:rsidR="00F13E75" w:rsidRPr="004C0BB1" w:rsidP="00F13E75" w14:paraId="3E6B4887" w14:textId="77777777">
      <w:pPr>
        <w:pStyle w:val="NormalHanging12a"/>
      </w:pPr>
      <w:r w:rsidRPr="004C0BB1">
        <w:t>46.</w:t>
      </w:r>
      <w:r w:rsidRPr="004C0BB1">
        <w:tab/>
        <w:t xml:space="preserve">Espera que a Sérvia coopere plenamente com o Kosovo para, por fim, levar a tribunal os autores do atentado terrorista perpetrado em 2023 em </w:t>
      </w:r>
      <w:r w:rsidRPr="004C0BB1">
        <w:t>Banjska</w:t>
      </w:r>
      <w:r w:rsidRPr="004C0BB1">
        <w:t xml:space="preserve">; repudia o facto de a Sérvia ainda não ter julgado os culpados, mormente Milan </w:t>
      </w:r>
      <w:r w:rsidRPr="004C0BB1">
        <w:t>Radoičić</w:t>
      </w:r>
      <w:r w:rsidRPr="004C0BB1">
        <w:t>, antigo vice</w:t>
      </w:r>
      <w:r w:rsidRPr="004C0BB1">
        <w:noBreakHyphen/>
        <w:t xml:space="preserve">presidente do </w:t>
      </w:r>
      <w:r w:rsidRPr="004C0BB1">
        <w:t>Srpska</w:t>
      </w:r>
      <w:r w:rsidRPr="004C0BB1">
        <w:t xml:space="preserve"> Lista; reitera que todas as pessoas responsáveis por atos de violência devem ser responsabilizadas e enfrentar a justiça sem demora, em conformidade com o Estado de direito e o direito a um processo equitativo; condena veementemente o ataque no canal </w:t>
      </w:r>
      <w:r w:rsidRPr="004C0BB1">
        <w:t>Ibër-Lepenc</w:t>
      </w:r>
      <w:r w:rsidRPr="004C0BB1">
        <w:t>/</w:t>
      </w:r>
      <w:r w:rsidRPr="004C0BB1">
        <w:t>Ibar-Lepenac</w:t>
      </w:r>
      <w:r w:rsidRPr="004C0BB1">
        <w:t>, no norte do Kosovo, em novembro de 2024, e insta a que os autores sejam rapidamente detidos e levados a tribunal; insta a Sérvia a responder sem demora ao pedido de auxílio judiciário mútuo do Kosovo relacionado com este ataque, apresentado em janeiro de 2025, e a cooperar plenamente com a investigação;</w:t>
      </w:r>
    </w:p>
    <w:p w:rsidR="00F13E75" w:rsidRPr="004C0BB1" w:rsidP="00F13E75" w14:paraId="34CA34F1" w14:textId="77777777">
      <w:pPr>
        <w:pStyle w:val="NormalHanging12a"/>
        <w:rPr>
          <w:rFonts w:eastAsiaTheme="minorHAnsi"/>
          <w:kern w:val="2"/>
          <w:szCs w:val="24"/>
          <w14:ligatures w14:val="standardContextual"/>
        </w:rPr>
      </w:pPr>
      <w:r w:rsidRPr="004C0BB1">
        <w:t>47.</w:t>
      </w:r>
      <w:r w:rsidRPr="004C0BB1">
        <w:tab/>
      </w:r>
      <w:bookmarkStart w:id="12" w:name="_Hlk227242454"/>
      <w:r w:rsidRPr="004C0BB1">
        <w:t xml:space="preserve">Assinala que o destino de quase 1 590 pessoas desaparecidas continua por apurar, com a resolução de apenas 26 casos de pessoas desaparecidas entre abril de 2024 e o final do período abrangido pelo relatório, em setembro de 2025; insta o Kosovo e a Sérvia a participarem de forma construtiva e de boa-fé em todos os debates técnicos destinados a clarificar o destino das restantes pessoas desaparecidas, nomeadamente através do Subgrupo de Trabalho sobre Questões Forenses, e a absterem-se de qualquer politização; congratula-se com a primeira reunião da Comissão Conjunta sobre Pessoas Desaparecidas, convocada pelos negociadores principais do Kosovo e da Sérvia em janeiro de 2026 no âmbito do diálogo facilitado pela UE, e apela a uma maior </w:t>
      </w:r>
      <w:r w:rsidRPr="004C0BB1">
        <w:t xml:space="preserve">cooperação para acelerar a identificação de valas comuns e o intercâmbio de informações; </w:t>
      </w:r>
      <w:bookmarkEnd w:id="12"/>
    </w:p>
    <w:p w:rsidR="00F13E75" w:rsidRPr="004C0BB1" w:rsidP="00F13E75" w14:paraId="4C5DC97B" w14:textId="77777777">
      <w:pPr>
        <w:pStyle w:val="NormalHanging12a"/>
      </w:pPr>
      <w:r w:rsidRPr="004C0BB1">
        <w:t>48.</w:t>
      </w:r>
      <w:r w:rsidRPr="004C0BB1">
        <w:tab/>
        <w:t>Insta a Sérvia a abrir e a partilhar toda a documentação policial, militar e de arquivo pertinente relacionada com a guerra de 1998-1999 no Kosovo, a fim de fundamentar a verdade, a justiça e a responsabilização, nomeadamente em casos de violência sexual relacionada com o conflito; observa que o acordo geral para a partilha dessas informações ainda não foi aplicado, e manifesta preocupação com o alargamento das classificações de sigilo, o que pode atrasar ainda mais a justiça e o reconhecimento para com os sobreviventes;</w:t>
      </w:r>
    </w:p>
    <w:p w:rsidR="00F13E75" w:rsidRPr="004C0BB1" w:rsidP="00F13E75" w14:paraId="45075BE9" w14:textId="77777777">
      <w:pPr>
        <w:pStyle w:val="NormalHanging12a"/>
      </w:pPr>
      <w:r w:rsidRPr="004C0BB1">
        <w:t xml:space="preserve">49. </w:t>
      </w:r>
      <w:r w:rsidRPr="004C0BB1">
        <w:tab/>
        <w:t xml:space="preserve">Recorda a importância de assegurar o pleno acesso aos arquivos dos antigos serviços secretos jugoslavos (UDBA) e serviços secretos do exército popular jugoslavo (KOS), incluindo os mantidos em Pristina e Belgrado, para investigar exaustivamente e punir os crimes e as organizações criminosas da era comunista; sublinha que a abertura destes arquivos em toda a região contribuiria para a busca da verdade, a justiça para as vítimas, a reconciliação e a consolidação da governação democrática; </w:t>
      </w:r>
    </w:p>
    <w:p w:rsidR="00F13E75" w:rsidRPr="004C0BB1" w:rsidP="00F13E75" w14:paraId="465DC685" w14:textId="77777777">
      <w:pPr>
        <w:pStyle w:val="NormalHanging12a"/>
      </w:pPr>
      <w:r w:rsidRPr="004C0BB1">
        <w:t>50.</w:t>
      </w:r>
      <w:r w:rsidRPr="004C0BB1">
        <w:tab/>
        <w:t>Convida o Kosovo a continuar empenhado numa série de iniciativas de cooperação regional; reitera a importância da Força da NATO no Kosovo para a segurança mais vasta, e louva os seus esforços contínuos para criar e manter um ambiente seguro e protegido no Kosovo e na região dos Balcãs Ocidentais em geral; recorda a importância da missão para o desenvolvimento em curso da Força de Segurança do Kosovo através da prestação de assessoria, formação e reforço das capacidades; solicita aos Estados</w:t>
      </w:r>
      <w:r w:rsidRPr="004C0BB1">
        <w:noBreakHyphen/>
        <w:t>Membros que contribuem para a Força no Kosovo que se abstenham de reduzir a sua presença;</w:t>
      </w:r>
    </w:p>
    <w:p w:rsidR="00F13E75" w:rsidRPr="004C0BB1" w:rsidP="00F13E75" w14:paraId="1695C418" w14:textId="77777777">
      <w:pPr>
        <w:pStyle w:val="NormalHanging12a"/>
        <w:rPr>
          <w:szCs w:val="24"/>
        </w:rPr>
      </w:pPr>
      <w:r w:rsidRPr="004C0BB1">
        <w:t>51.</w:t>
      </w:r>
      <w:r w:rsidRPr="004C0BB1">
        <w:tab/>
        <w:t>Solicita a intensificação dos esforços para salvaguardar o património religioso e cultural no Kosovo, incluindo os locais ortodoxos, islâmicos, católicos e outros, no âmbito de um compromisso mais amplo para com o pluralismo, a reconciliação e o respeito pelo legado cultural comum da Europa;</w:t>
      </w:r>
    </w:p>
    <w:p w:rsidR="00F13E75" w:rsidRPr="004C0BB1" w:rsidP="00F13E75" w14:paraId="0A909627" w14:textId="77777777">
      <w:pPr>
        <w:pStyle w:val="NormalHanging12a"/>
        <w:rPr>
          <w:b/>
          <w:bCs/>
          <w:i/>
        </w:rPr>
      </w:pPr>
      <w:r w:rsidRPr="004C0BB1">
        <w:rPr>
          <w:b/>
          <w:i/>
        </w:rPr>
        <w:t>Reformas socioeconómicas</w:t>
      </w:r>
    </w:p>
    <w:p w:rsidR="00F13E75" w:rsidRPr="004C0BB1" w:rsidP="00F13E75" w14:paraId="67DD09F1" w14:textId="77777777">
      <w:pPr>
        <w:pStyle w:val="NormalHanging12a"/>
      </w:pPr>
      <w:r w:rsidRPr="004C0BB1">
        <w:t>52.</w:t>
      </w:r>
      <w:r w:rsidRPr="004C0BB1">
        <w:tab/>
        <w:t>Constata que o Kosovo está moderadamente preparado nos domínios da política económica e monetária e da competitividade; salienta a necessidade de o Kosovo alinhar o seu quadro orçamental pelo acervo da UE e de corrigir as fragilidades estruturais, designadamente a base manufatureira limitada e o acesso difícil das PME ao financiamento; sublinha a importância de garantir um crescimento económico sustentável, de reduzir o desemprego e de fortalecer o sistema de proteção social do país, em consonância com o acervo social da UE; salienta que é necessário levar a cabo reformas mais abrangentes para resolver as deficiências estruturais que subsistem;</w:t>
      </w:r>
    </w:p>
    <w:p w:rsidR="00F13E75" w:rsidRPr="004C0BB1" w:rsidP="00F13E75" w14:paraId="25D35019" w14:textId="77777777">
      <w:pPr>
        <w:pStyle w:val="NormalHanging12a"/>
        <w:rPr>
          <w:bCs/>
        </w:rPr>
      </w:pPr>
      <w:r w:rsidRPr="004C0BB1">
        <w:t>53.</w:t>
      </w:r>
      <w:r w:rsidRPr="004C0BB1">
        <w:tab/>
        <w:t>Saúda a conclusão da Comissão de que o Kosovo realizou alguns progressos no desenvolvimento de uma economia de mercado viável, sobretudo através de um crescimento mais forte, de um setor bancário sólido e resiliente, de uma redução do setor informal e de uma resolução mais rápida dos litígios comerciais; toma nota da prevalência continuada da economia informal, e insta as autoridades a dotarem o serviço de inspeção do trabalho dos recursos necessários ao pleno desempenho das suas funções;</w:t>
      </w:r>
    </w:p>
    <w:p w:rsidR="00F13E75" w:rsidRPr="004C0BB1" w:rsidP="00F13E75" w14:paraId="36B497FD" w14:textId="77777777">
      <w:pPr>
        <w:pStyle w:val="NormalHanging12a"/>
        <w:rPr>
          <w:bCs/>
        </w:rPr>
      </w:pPr>
      <w:r w:rsidRPr="004C0BB1">
        <w:t>54.</w:t>
      </w:r>
      <w:r w:rsidRPr="004C0BB1">
        <w:tab/>
        <w:t>Congratula-se com o facto de o Tribunal de Comércio do Kosovo estar a tratar eficazmente os processos relativos a direitos de propriedade intelectual; insta o Tribunal de Comércio a estreitar a cooperação com o Instituto da Propriedade Intelectual da União Europeia (EUIPO);</w:t>
      </w:r>
    </w:p>
    <w:p w:rsidR="00F13E75" w:rsidRPr="004C0BB1" w:rsidP="00F13E75" w14:paraId="493794A2" w14:textId="77777777">
      <w:pPr>
        <w:pStyle w:val="NormalHanging12a"/>
        <w:rPr>
          <w:rFonts w:eastAsiaTheme="minorHAnsi"/>
          <w:color w:val="000000" w:themeColor="text1"/>
          <w:kern w:val="2"/>
          <w:szCs w:val="24"/>
          <w14:ligatures w14:val="standardContextual"/>
        </w:rPr>
      </w:pPr>
      <w:r w:rsidRPr="004C0BB1">
        <w:t>55.</w:t>
      </w:r>
      <w:r w:rsidRPr="004C0BB1">
        <w:tab/>
        <w:t>Solicita que seja assegurada uma proteção laboral adequada, salários justos e a aplicação da legislação laboral, em conformidade com as normas da UE; lamenta que o diálogo social no Kosovo continue a ser limitado; solicita um apoio especificamente dedicado ao reforço das capacidades dos parceiros sociais; insta as autoridades a garantirem a independência e o papel legítimo dos sindicatos reconhecidos e os direitos fundamentais dos trabalhadores, notadamente o direito de negociação coletiva, tanto na legislação como na prática, nos setores público e privado; insta as autoridades do Kosovo a renovarem o mandato do Conselho Económico e Social, a promoverem o diálogo social e a utilizarem o Mecanismo para as Reformas e o Crescimento nos Balcãs Ocidentais para ajudar a reforçar as capacidades dos parceiros sociais;</w:t>
      </w:r>
    </w:p>
    <w:p w:rsidR="00F13E75" w:rsidRPr="004C0BB1" w:rsidP="00F13E75" w14:paraId="744DEEE1" w14:textId="77777777">
      <w:pPr>
        <w:pStyle w:val="NormalHanging12a"/>
      </w:pPr>
      <w:r w:rsidRPr="004C0BB1">
        <w:rPr>
          <w:color w:val="000000" w:themeColor="text1"/>
        </w:rPr>
        <w:t>56.</w:t>
      </w:r>
      <w:r w:rsidRPr="004C0BB1">
        <w:rPr>
          <w:color w:val="000000" w:themeColor="text1"/>
        </w:rPr>
        <w:tab/>
      </w:r>
      <w:r w:rsidRPr="004C0BB1">
        <w:t>Congratula-se com a consolidação do sistema de remuneração ao abrigo da Lei relativa aos salários no setor público; lamenta, no entanto, que a classificação dos empregos, a sistematização dos cargos e o acórdão do Tribunal Constitucional sobre disposições inconstitucionais permaneçam em aberto; insta as autoridades a adotarem o projeto de lei relativa à gestão das finanças públicas e a integrarem a avaliação dos riscos orçamentais e a metodologia de investimento público na legislação;</w:t>
      </w:r>
    </w:p>
    <w:p w:rsidR="00F13E75" w:rsidRPr="004C0BB1" w:rsidP="00F13E75" w14:paraId="6CD21A62" w14:textId="77777777">
      <w:pPr>
        <w:pStyle w:val="NormalHanging12a"/>
      </w:pPr>
      <w:r w:rsidRPr="004C0BB1">
        <w:t>57.</w:t>
      </w:r>
      <w:r w:rsidRPr="004C0BB1">
        <w:tab/>
        <w:t>Manifesta a sua preocupação pelo facto de a esperança de vida à nascença continuar a ser inferior à média da UE e de a mortalidade infantil continuar a ser a mais elevada da região e significativamente superior à média da UE; lamenta que os progressos no sentido da cobertura universal de saúde continuem a ser muito limitados e que persistam ineficiências significativas; insta as autoridades a assegurarem um melhor acesso de todos os cidadãos aos serviços de saúde;</w:t>
      </w:r>
    </w:p>
    <w:p w:rsidR="00F13E75" w:rsidRPr="004C0BB1" w:rsidP="00F13E75" w14:paraId="534B0A20" w14:textId="77777777">
      <w:pPr>
        <w:pStyle w:val="NormalHanging12a"/>
      </w:pPr>
      <w:r w:rsidRPr="004C0BB1">
        <w:t>58.</w:t>
      </w:r>
      <w:r w:rsidRPr="004C0BB1">
        <w:tab/>
        <w:t>Insta o Kosovo a dar prioridade a um ensino profissional de elevada qualidade, a ligações mais fortes entre o ensino e as necessidades do mercado de trabalho e a um apoio específico para os jovens empresários e investigadores, a fim de criar perspetivas credíveis para os jovens no país;</w:t>
      </w:r>
    </w:p>
    <w:p w:rsidR="00F13E75" w:rsidRPr="004C0BB1" w:rsidP="00F13E75" w14:paraId="00D05674" w14:textId="77777777">
      <w:pPr>
        <w:pStyle w:val="NormalHanging12a"/>
      </w:pPr>
      <w:r w:rsidRPr="004C0BB1">
        <w:t>59.</w:t>
      </w:r>
      <w:r w:rsidRPr="004C0BB1">
        <w:tab/>
        <w:t>Incentiva o Kosovo a continuar a celebrar acordos em matéria de coordenação da segurança social com os Estados-Membros da UE;</w:t>
      </w:r>
    </w:p>
    <w:p w:rsidR="00F13E75" w:rsidRPr="004C0BB1" w:rsidP="00F13E75" w14:paraId="53915809" w14:textId="77777777">
      <w:pPr>
        <w:pStyle w:val="NormalHanging12a"/>
      </w:pPr>
      <w:r w:rsidRPr="004C0BB1">
        <w:t>60.</w:t>
      </w:r>
      <w:r w:rsidRPr="004C0BB1">
        <w:tab/>
        <w:t xml:space="preserve">Observa que o Kosovo realizou alguns progressos em matéria de preparação para a transformação digital, incluindo a expansão dos serviços em linha e da cobertura 5G; lamenta que apenas 10 % dos serviços públicos sejam atualmente disponibilizados em linha e que a digitalização continue a estar fragmentada; enfatiza a necessidade de o Kosovo se alinhar pela legislação digital pertinente da UE, nomeadamente o Código Europeu das Comunicações Eletrónicas, a Diretiva SRI 2, o conjunto de instrumentos da UE para a cibersegurança das redes 5G, o Regulamento dos Serviços Digitais, o Regulamento dos Mercados Digitais e o Regime Europeu para a Identidade Digital; lamenta que o Kosovo tenha adotado apenas 8 dos 14 atos de direito derivado decorrentes da Lei da Cibersegurança e que tanto a Agência para a Cibersegurança como o Conselho Nacional de Cibersegurança ainda não estejam plenamente operacionais; solicita a adoção de uma estratégia global de governação eletrónica alinhada com as normas da UE e a melhoria da interoperabilidade dos sistemas da </w:t>
      </w:r>
      <w:r w:rsidRPr="004C0BB1">
        <w:t>administração pública; insta o Kosovo a promover a digitalização de forma mais intensiva e a continuar a desenvolver serviços públicos digitais seguros;</w:t>
      </w:r>
    </w:p>
    <w:p w:rsidR="00F13E75" w:rsidRPr="004C0BB1" w:rsidP="00F13E75" w14:paraId="09EB3E72" w14:textId="77777777">
      <w:pPr>
        <w:pStyle w:val="NormalHanging12a"/>
      </w:pPr>
      <w:r w:rsidRPr="004C0BB1">
        <w:t>61.</w:t>
      </w:r>
      <w:r w:rsidRPr="004C0BB1">
        <w:tab/>
        <w:t>Congratula-se com as primeiras medidas tomadas pelo Kosovo no sentido de uma abordagem mais estratégica da investigação e inovação, incluindo o início do financiamento de medidas de apoio à inovação e a participação do Kosovo na rede inicial de Polos Europeus de Inovação Digital;</w:t>
      </w:r>
    </w:p>
    <w:p w:rsidR="00F13E75" w:rsidRPr="004C0BB1" w:rsidP="00F13E75" w14:paraId="20C74CF2" w14:textId="77777777">
      <w:pPr>
        <w:pStyle w:val="NormalHanging12a"/>
      </w:pPr>
      <w:r w:rsidRPr="004C0BB1">
        <w:t>62.</w:t>
      </w:r>
      <w:r w:rsidRPr="004C0BB1">
        <w:tab/>
        <w:t>Congratula-se com a proposta da Comissão de encetar negociações sobre o alargamento do regime de «Itinerância como em Casa» da UE aos Balcãs Ocidentais, incluindo o Kosovo, com vista a proporcionar benefícios tangíveis aos cidadãos e às empresas e a reforçar a conectividade regional; observa que esta iniciativa se baseia nos acordos regionais de itinerância existentes; insta à rápida adoção dos mandatos de negociação e à celebração atempada de acordos com vista a assegurar a integração rápida e efetiva no espaço de «Itinerância como em Casa» da UE;</w:t>
      </w:r>
    </w:p>
    <w:p w:rsidR="00F13E75" w:rsidRPr="004C0BB1" w:rsidP="00F13E75" w14:paraId="18DF95DD" w14:textId="77777777">
      <w:pPr>
        <w:pStyle w:val="NormalHanging12a"/>
        <w:rPr>
          <w:b/>
          <w:bCs/>
        </w:rPr>
      </w:pPr>
      <w:r w:rsidRPr="004C0BB1">
        <w:rPr>
          <w:b/>
          <w:i/>
        </w:rPr>
        <w:t>Energia, ambiente, desenvolvimento sustentável e conectividade</w:t>
      </w:r>
    </w:p>
    <w:p w:rsidR="00F13E75" w:rsidRPr="004C0BB1" w:rsidP="00F13E75" w14:paraId="548510BB" w14:textId="77777777">
      <w:pPr>
        <w:pStyle w:val="NormalHanging12a"/>
        <w:rPr>
          <w:bCs/>
        </w:rPr>
      </w:pPr>
      <w:r w:rsidRPr="004C0BB1">
        <w:t>63.</w:t>
      </w:r>
      <w:r w:rsidRPr="004C0BB1">
        <w:tab/>
        <w:t>Assinala que o Kosovo continua a depender fortemente de centrais elétricas a carvão obsoletas e deve acelerar os investimentos em eficiência energética; congratula-se com o facto de terem sido realizados alguns progressos no setor da energia, nomeadamente com o lançamento de um leilão de energia eólica de 100 MW; exorta o Kosovo a acelerar a sua transição ecológica e a reduzir significativamente a sua dependência de combustíveis fósseis e de centrais elétricas a carvão; insta a UE a intensificar os seus esforços para ajudar o Kosovo a atingir estes objetivos; insta o Governo do Kosovo a investir num cabaz energético diversificado que reforce a segurança do aprovisionamento; incentiva o Kosovo a prosseguir os esforços para integrar o seu mercado da eletricidade nos mercados europeus da eletricidade, nomeadamente através da aplicação efetiva de reformas do mercado da eletricidade e do reforço da cooperação transfronteiriça no setor da eletricidade;</w:t>
      </w:r>
    </w:p>
    <w:p w:rsidR="00F13E75" w:rsidRPr="004C0BB1" w:rsidP="00F13E75" w14:paraId="0FDFC0C9" w14:textId="77777777">
      <w:pPr>
        <w:pStyle w:val="NormalHanging12a"/>
      </w:pPr>
      <w:r w:rsidRPr="004C0BB1">
        <w:t>64.</w:t>
      </w:r>
      <w:r w:rsidRPr="004C0BB1">
        <w:tab/>
        <w:t>Incentiva o Kosovo a reforçar a sua capacidade institucional e administrativa para executar projetos de infraestruturas estratégicas, inclusive mediante a utilização de avaliações de impacto ambiental abrangentes e de medidas de sustentabilidade na fase de planeamento, e a continuar a executar os projetos pendentes em matéria de conectividade no domínio dos transportes e da energia; insta a Comissão e o Kosovo a darem prioridade a projetos de conectividade estratégica que liguem os Balcãs Ocidentais aos corredores europeus de transporte, de energia e digitais e à região do mar Negro, inclusive mediante interligações energéticas, medidas de eficiência energética, investimentos em energias renováveis, a integração no Espaço Único de Pagamentos em Euros (SEPA) e a melhoria do acesso das PME ao financiamento; frisa que estes investimentos aumentam a convergência socioeconómica, a resiliência geoestratégica e a segurança económica europeia;</w:t>
      </w:r>
    </w:p>
    <w:p w:rsidR="00F13E75" w:rsidRPr="004C0BB1" w:rsidP="00F13E75" w14:paraId="15F3933F" w14:textId="77777777">
      <w:pPr>
        <w:pStyle w:val="NormalHanging12a"/>
      </w:pPr>
      <w:r w:rsidRPr="004C0BB1">
        <w:t>65.</w:t>
      </w:r>
      <w:r w:rsidRPr="004C0BB1">
        <w:tab/>
        <w:t xml:space="preserve">Exorta o Kosovo a aumentar as zonas protegidas do país e a garantir a adoção de medidas adequadas para gerir as zonas protegidas e os sítios de património cultural e histórico, com vista a salvaguardar a biodiversidade, incluindo os </w:t>
      </w:r>
      <w:r w:rsidRPr="004C0BB1">
        <w:rPr>
          <w:i/>
          <w:iCs/>
        </w:rPr>
        <w:t>habitats</w:t>
      </w:r>
      <w:r w:rsidRPr="004C0BB1">
        <w:t xml:space="preserve"> fundamentais do lince dos Balcãs, espécie criticamente em perigo; saúda a cooperação continuada do Kosovo com a Macedónia do Norte e a Albânia no que respeita ao parque nacional transfronteiriço das montanhas </w:t>
      </w:r>
      <w:r w:rsidRPr="004C0BB1">
        <w:t>Shar</w:t>
      </w:r>
      <w:r w:rsidRPr="004C0BB1">
        <w:t xml:space="preserve">; incentiva o Kosovo a intensificar e acelerar ainda mais os esforços de colaboração com os países vizinhos para designar zonas protegidas </w:t>
      </w:r>
      <w:r w:rsidRPr="004C0BB1">
        <w:t>transfronteiriças e criar planos de gestão transfronteiriços coerentes; exorta o Kosovo a alterar a lei sobre a gestão de resíduos e aplicar a lei relativa às alterações climáticas;</w:t>
      </w:r>
    </w:p>
    <w:p w:rsidR="004106B0" w:rsidP="004106B0" w14:paraId="4F11642C" w14:textId="693CDCE6">
      <w:pPr>
        <w:pStyle w:val="NormalHanging12a"/>
        <w:widowControl/>
        <w:ind w:left="0" w:firstLine="0"/>
        <w:jc w:val="center"/>
      </w:pPr>
      <w:r>
        <w:t>°</w:t>
      </w:r>
    </w:p>
    <w:p w:rsidR="004106B0" w:rsidP="004106B0" w14:paraId="38BD0CDE" w14:textId="47A36F2C">
      <w:pPr>
        <w:pStyle w:val="NormalHanging12a"/>
        <w:widowControl/>
        <w:ind w:left="0" w:firstLine="0"/>
        <w:jc w:val="center"/>
      </w:pPr>
      <w:r>
        <w:t>°     °</w:t>
      </w:r>
    </w:p>
    <w:p w:rsidR="004C0BB1" w:rsidRPr="004C0BB1" w:rsidP="004C0BB1" w14:paraId="620A721B" w14:textId="20C55CA0">
      <w:pPr>
        <w:pStyle w:val="NormalHanging12a"/>
      </w:pPr>
      <w:r w:rsidRPr="004C0BB1">
        <w:t>66.</w:t>
      </w:r>
      <w:r w:rsidRPr="004C0BB1">
        <w:tab/>
        <w:t>Encarrega a sua Presidente de transmitir a presente resolução ao Presidente do Conselho Europeu, à Comissão, à Vice-Presidente da Comissão/Alta Representante da União para os Negócios Estrangeiros e a Política de Segurança, aos governos e parlamentos dos Estados-Membros e à Presidente, ao Governo e à Assembleia Nacional do Kosovo</w:t>
      </w:r>
      <w:bookmarkEnd w:id="8"/>
      <w:r w:rsidRPr="004C0BB1">
        <w:t>.</w:t>
      </w:r>
    </w:p>
    <w:p w:rsidR="00E365E1" w:rsidRPr="004C0BB1" w:rsidP="00D40AA8" w14:paraId="07001725" w14:textId="253B2CB4"/>
    <w:sectPr w:rsidSect="004C0B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7EDF0CD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70678EB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7C4E39F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40AA8" w:rsidRPr="004C0BB1" w14:paraId="7B37923F" w14:textId="77777777">
      <w:r w:rsidRPr="004C0BB1">
        <w:separator/>
      </w:r>
    </w:p>
  </w:footnote>
  <w:footnote w:type="continuationSeparator" w:id="1">
    <w:p w:rsidR="00D40AA8" w:rsidRPr="004C0BB1" w14:paraId="79CDBA15" w14:textId="77777777">
      <w:r w:rsidRPr="004C0BB1">
        <w:continuationSeparator/>
      </w:r>
    </w:p>
  </w:footnote>
  <w:footnote w:id="2">
    <w:p w:rsidR="00F13E75" w:rsidRPr="008D4410" w:rsidP="004C0BB1" w14:paraId="34C63563" w14:textId="4C7D04C4">
      <w:pPr>
        <w:pStyle w:val="FootnoteText"/>
        <w:ind w:left="567" w:hanging="567"/>
        <w:rPr>
          <w:sz w:val="24"/>
          <w:u w:val="single" w:color="0000FF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 xml:space="preserve">JO L 71 de 16.3.2016, p. 3, ELI: </w:t>
      </w:r>
      <w:hyperlink r:id="rId1" w:history="1">
        <w:r w:rsidRPr="008D4410">
          <w:rPr>
            <w:rStyle w:val="Hyperlink"/>
            <w:sz w:val="24"/>
            <w:lang w:val="fi-FI"/>
          </w:rPr>
          <w:t>http://data.europa.eu/eli/agree_internation/2016/342/oj</w:t>
        </w:r>
      </w:hyperlink>
      <w:r w:rsidRPr="008D4410">
        <w:rPr>
          <w:sz w:val="24"/>
          <w:lang w:val="fi-FI"/>
        </w:rPr>
        <w:t>.</w:t>
      </w:r>
    </w:p>
  </w:footnote>
  <w:footnote w:id="3">
    <w:p w:rsidR="00F13E75" w:rsidRPr="008D4410" w:rsidP="004C0BB1" w14:paraId="32FADBFA" w14:textId="14420D4F">
      <w:pPr>
        <w:pStyle w:val="FootnoteText"/>
        <w:ind w:left="567" w:hanging="567"/>
        <w:rPr>
          <w:sz w:val="24"/>
          <w:u w:val="single" w:color="0000FF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 xml:space="preserve">JO L 195 de 27.7.2017, p. 3, ELI: </w:t>
      </w:r>
      <w:hyperlink r:id="rId2" w:history="1">
        <w:r w:rsidRPr="008D4410">
          <w:rPr>
            <w:rStyle w:val="Hyperlink"/>
            <w:sz w:val="24"/>
            <w:lang w:val="fi-FI"/>
          </w:rPr>
          <w:t>http://data.europa.eu/eli/agree_internation/2017/1388/oj</w:t>
        </w:r>
      </w:hyperlink>
      <w:r w:rsidRPr="008D4410">
        <w:rPr>
          <w:sz w:val="24"/>
          <w:lang w:val="fi-FI"/>
        </w:rPr>
        <w:t>.</w:t>
      </w:r>
    </w:p>
  </w:footnote>
  <w:footnote w:id="4">
    <w:p w:rsidR="00F13E75" w:rsidRPr="008D4410" w:rsidP="004C0BB1" w14:paraId="5CD5C475" w14:textId="770E5A15">
      <w:pPr>
        <w:pStyle w:val="FootnoteText"/>
        <w:ind w:left="567" w:hanging="567"/>
        <w:rPr>
          <w:sz w:val="24"/>
          <w:u w:val="single" w:color="0000FF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 xml:space="preserve">JO L 330 de 20.9.2021, p. 1, ELI: </w:t>
      </w:r>
      <w:hyperlink r:id="rId3" w:history="1">
        <w:r w:rsidRPr="008D4410">
          <w:rPr>
            <w:rStyle w:val="Hyperlink"/>
            <w:sz w:val="24"/>
            <w:lang w:val="fi-FI"/>
          </w:rPr>
          <w:t>http://data.europa.eu/eli/reg/2021/1529/oj</w:t>
        </w:r>
      </w:hyperlink>
      <w:r w:rsidRPr="008D4410">
        <w:rPr>
          <w:sz w:val="24"/>
          <w:lang w:val="fi-FI"/>
        </w:rPr>
        <w:t>.</w:t>
      </w:r>
    </w:p>
  </w:footnote>
  <w:footnote w:id="5">
    <w:p w:rsidR="00F13E75" w:rsidRPr="008D4410" w:rsidP="004C0BB1" w14:paraId="0FDEB704" w14:textId="0FA907D5">
      <w:pPr>
        <w:pStyle w:val="FootnoteText"/>
        <w:ind w:left="567" w:hanging="567"/>
        <w:rPr>
          <w:sz w:val="24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>JO L 110 de 25.4.2023, p. 1, ELI: </w:t>
      </w:r>
      <w:hyperlink r:id="rId4" w:tooltip="Dá acesso a este documento através do respetivo URI do ELI." w:history="1">
        <w:r w:rsidRPr="008D4410">
          <w:rPr>
            <w:rStyle w:val="Hyperlink"/>
            <w:sz w:val="24"/>
            <w:lang w:val="fi-FI"/>
          </w:rPr>
          <w:t>http://data.europa.eu/eli/reg/2023/850/oj</w:t>
        </w:r>
      </w:hyperlink>
      <w:r w:rsidRPr="008D4410">
        <w:rPr>
          <w:sz w:val="24"/>
          <w:lang w:val="fi-FI"/>
        </w:rPr>
        <w:t>.</w:t>
      </w:r>
    </w:p>
  </w:footnote>
  <w:footnote w:id="6">
    <w:p w:rsidR="00F13E75" w:rsidRPr="008D4410" w:rsidP="004C0BB1" w14:paraId="6E1FC741" w14:textId="6C619E11">
      <w:pPr>
        <w:pStyle w:val="FootnoteText"/>
        <w:ind w:left="567" w:hanging="567"/>
        <w:rPr>
          <w:sz w:val="24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>JO L, 2024/1449, 24.5.2024, ELI:</w:t>
      </w:r>
      <w:r w:rsidRPr="008D4410">
        <w:rPr>
          <w:color w:val="333333"/>
          <w:sz w:val="24"/>
          <w:shd w:val="clear" w:color="auto" w:fill="FFFFFF"/>
          <w:lang w:val="fi-FI"/>
        </w:rPr>
        <w:t> </w:t>
      </w:r>
      <w:hyperlink r:id="rId5" w:tooltip="Dá acesso a este documento através do respetivo URI do ELI." w:history="1">
        <w:r w:rsidRPr="008D4410">
          <w:rPr>
            <w:rStyle w:val="Hyperlink"/>
            <w:color w:val="337AB7"/>
            <w:sz w:val="24"/>
            <w:shd w:val="clear" w:color="auto" w:fill="FFFFFF"/>
            <w:lang w:val="fi-FI"/>
          </w:rPr>
          <w:t>http://data.europa.eu/eli/reg/2024/1449/oj</w:t>
        </w:r>
      </w:hyperlink>
      <w:r w:rsidRPr="008D4410">
        <w:rPr>
          <w:sz w:val="24"/>
          <w:lang w:val="fi-FI"/>
        </w:rPr>
        <w:t>.</w:t>
      </w:r>
    </w:p>
  </w:footnote>
  <w:footnote w:id="7">
    <w:p w:rsidR="00F13E75" w:rsidRPr="008D4410" w:rsidP="004C0BB1" w14:paraId="542BE84C" w14:textId="4AA6470E">
      <w:pPr>
        <w:pStyle w:val="FootnoteText"/>
        <w:ind w:left="567" w:hanging="567"/>
        <w:rPr>
          <w:sz w:val="24"/>
          <w:lang w:val="fi-FI"/>
        </w:rPr>
      </w:pPr>
      <w:r w:rsidRPr="004C0BB1">
        <w:rPr>
          <w:rStyle w:val="FootnoteReference"/>
          <w:sz w:val="24"/>
          <w:lang w:val="pt-PT"/>
        </w:rPr>
        <w:footnoteRef/>
      </w:r>
      <w:r w:rsidRPr="008D4410" w:rsidR="004C0BB1">
        <w:rPr>
          <w:sz w:val="24"/>
          <w:lang w:val="fi-FI"/>
        </w:rPr>
        <w:t xml:space="preserve"> </w:t>
      </w:r>
      <w:r w:rsidRPr="008D4410" w:rsidR="004C0BB1">
        <w:rPr>
          <w:sz w:val="24"/>
          <w:lang w:val="fi-FI"/>
        </w:rPr>
        <w:tab/>
      </w:r>
      <w:r w:rsidRPr="008D4410">
        <w:rPr>
          <w:sz w:val="24"/>
          <w:lang w:val="fi-FI"/>
        </w:rPr>
        <w:t>JO L, 2025/1161, 6.6.2025, ELI: </w:t>
      </w:r>
      <w:hyperlink r:id="rId6" w:tgtFrame="_blank" w:tooltip="Dá acesso a este documento através do respetivo URI do ELI." w:history="1">
        <w:r w:rsidRPr="008D4410">
          <w:rPr>
            <w:rStyle w:val="Hyperlink"/>
            <w:sz w:val="24"/>
            <w:lang w:val="fi-FI"/>
          </w:rPr>
          <w:t>http://data.europa.eu/eli/dec/2025/1161/oj</w:t>
        </w:r>
      </w:hyperlink>
      <w:r w:rsidRPr="008D4410">
        <w:rPr>
          <w:sz w:val="24"/>
          <w:lang w:val="fi-FI"/>
        </w:rPr>
        <w:t>.</w:t>
      </w:r>
    </w:p>
  </w:footnote>
  <w:footnote w:id="8">
    <w:p w:rsidR="00F13E75" w:rsidRPr="004C0BB1" w:rsidP="004C0BB1" w14:paraId="337B83CD" w14:textId="63D4F79D">
      <w:pPr>
        <w:pStyle w:val="FootnoteText"/>
        <w:ind w:left="567" w:hanging="567"/>
        <w:rPr>
          <w:sz w:val="24"/>
          <w:lang w:val="pt-PT"/>
        </w:rPr>
      </w:pPr>
      <w:r w:rsidRPr="004C0BB1">
        <w:rPr>
          <w:rStyle w:val="FootnoteReference"/>
          <w:sz w:val="24"/>
          <w:lang w:val="pt-PT"/>
        </w:rPr>
        <w:footnoteRef/>
      </w:r>
      <w:r w:rsidRPr="004C0BB1" w:rsidR="004C0BB1">
        <w:rPr>
          <w:sz w:val="24"/>
          <w:lang w:val="pt-PT"/>
        </w:rPr>
        <w:t xml:space="preserve"> </w:t>
      </w:r>
      <w:r w:rsidRPr="004C0BB1" w:rsidR="004C0BB1">
        <w:rPr>
          <w:sz w:val="24"/>
          <w:lang w:val="pt-PT"/>
        </w:rPr>
        <w:tab/>
      </w:r>
      <w:r w:rsidRPr="004C0BB1">
        <w:rPr>
          <w:sz w:val="24"/>
          <w:lang w:val="pt-PT"/>
        </w:rPr>
        <w:t>Regulamento (UE) 2024/1083 do Parlamento Europeu e do Conselho, de 11 de abril de</w:t>
      </w:r>
      <w:r w:rsidR="004106B0">
        <w:rPr>
          <w:sz w:val="24"/>
          <w:lang w:val="pt-PT"/>
        </w:rPr>
        <w:t> </w:t>
      </w:r>
      <w:r w:rsidRPr="004C0BB1">
        <w:rPr>
          <w:sz w:val="24"/>
          <w:lang w:val="pt-PT"/>
        </w:rPr>
        <w:t>2024, que cria um regime comum para os serviços de comunicação social no mercado interno e que altera a Diretiva 2010/13/UE (Regulamento Europeu relativo à Liberdade dos Meios de Comunicação Social) (JO L, 2024/1083, 17.4.2024, ELI:</w:t>
      </w:r>
      <w:r w:rsidR="004106B0">
        <w:rPr>
          <w:sz w:val="24"/>
          <w:lang w:val="pt-PT"/>
        </w:rPr>
        <w:t> </w:t>
      </w:r>
      <w:hyperlink r:id="rId7" w:history="1">
        <w:r w:rsidRPr="00A979DF" w:rsidR="004106B0">
          <w:rPr>
            <w:rStyle w:val="Hyperlink"/>
            <w:sz w:val="24"/>
            <w:lang w:val="pt-PT"/>
          </w:rPr>
          <w:t>http://data.europa.eu/eli/reg/2024/1083/oj</w:t>
        </w:r>
      </w:hyperlink>
      <w:r w:rsidRPr="004C0BB1">
        <w:rPr>
          <w:sz w:val="24"/>
          <w:lang w:val="pt-PT"/>
        </w:rPr>
        <w:t>).</w:t>
      </w:r>
    </w:p>
  </w:footnote>
  <w:footnote w:id="9">
    <w:p w:rsidR="00F13E75" w:rsidRPr="004C0BB1" w:rsidP="004C0BB1" w14:paraId="247C214C" w14:textId="7DC13DFA">
      <w:pPr>
        <w:pStyle w:val="FootnoteText"/>
        <w:ind w:left="567" w:hanging="567"/>
        <w:rPr>
          <w:sz w:val="24"/>
          <w:lang w:val="pt-PT"/>
        </w:rPr>
      </w:pPr>
      <w:r w:rsidRPr="004C0BB1">
        <w:rPr>
          <w:rStyle w:val="FootnoteReference"/>
          <w:sz w:val="24"/>
          <w:lang w:val="pt-PT"/>
        </w:rPr>
        <w:footnoteRef/>
      </w:r>
      <w:r w:rsidRPr="004C0BB1" w:rsidR="004C0BB1">
        <w:rPr>
          <w:sz w:val="24"/>
          <w:lang w:val="pt-PT"/>
        </w:rPr>
        <w:t xml:space="preserve"> </w:t>
      </w:r>
      <w:r w:rsidRPr="004C0BB1" w:rsidR="004C0BB1">
        <w:rPr>
          <w:sz w:val="24"/>
          <w:lang w:val="pt-PT"/>
        </w:rPr>
        <w:tab/>
      </w:r>
      <w:r w:rsidRPr="004C0BB1">
        <w:rPr>
          <w:sz w:val="24"/>
          <w:lang w:val="pt-PT"/>
        </w:rPr>
        <w:t>Diretiva (UE) 2024/1069 do Parlamento Europeu e do Conselho, de 11 de abril de 2024, relativa à proteção das pessoas envolvidas na participação pública contra pedidos manifestamente infundados ou processos judiciais abusivos («ações judiciais estratégicas contra a participação pública») (JO L, 2024/1069, 16.4.2024, ELI:</w:t>
      </w:r>
      <w:r w:rsidR="004106B0">
        <w:rPr>
          <w:sz w:val="24"/>
          <w:lang w:val="pt-PT"/>
        </w:rPr>
        <w:t> </w:t>
      </w:r>
      <w:hyperlink r:id="rId8" w:history="1">
        <w:r w:rsidRPr="004106B0" w:rsidR="004106B0">
          <w:rPr>
            <w:rStyle w:val="Hyperlink"/>
            <w:sz w:val="24"/>
            <w:lang w:val="pt-PT"/>
          </w:rPr>
          <w:t>http://data.europa.eu/eli/dir/2024/1069/oj</w:t>
        </w:r>
      </w:hyperlink>
      <w:r w:rsidRPr="004C0BB1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0316A59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08D6DB0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C0BB1" w14:paraId="05ED51A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9552483">
    <w:abstractNumId w:val="9"/>
  </w:num>
  <w:num w:numId="2" w16cid:durableId="260645168">
    <w:abstractNumId w:val="9"/>
  </w:num>
  <w:num w:numId="3" w16cid:durableId="67844193">
    <w:abstractNumId w:val="7"/>
  </w:num>
  <w:num w:numId="4" w16cid:durableId="1126504697">
    <w:abstractNumId w:val="7"/>
  </w:num>
  <w:num w:numId="5" w16cid:durableId="518353217">
    <w:abstractNumId w:val="6"/>
  </w:num>
  <w:num w:numId="6" w16cid:durableId="1645812223">
    <w:abstractNumId w:val="6"/>
  </w:num>
  <w:num w:numId="7" w16cid:durableId="769738809">
    <w:abstractNumId w:val="5"/>
  </w:num>
  <w:num w:numId="8" w16cid:durableId="1790858144">
    <w:abstractNumId w:val="5"/>
  </w:num>
  <w:num w:numId="9" w16cid:durableId="81728407">
    <w:abstractNumId w:val="4"/>
  </w:num>
  <w:num w:numId="10" w16cid:durableId="1802844124">
    <w:abstractNumId w:val="4"/>
  </w:num>
  <w:num w:numId="11" w16cid:durableId="2074347214">
    <w:abstractNumId w:val="8"/>
  </w:num>
  <w:num w:numId="12" w16cid:durableId="1009794056">
    <w:abstractNumId w:val="8"/>
  </w:num>
  <w:num w:numId="13" w16cid:durableId="2076125855">
    <w:abstractNumId w:val="3"/>
  </w:num>
  <w:num w:numId="14" w16cid:durableId="1389107939">
    <w:abstractNumId w:val="3"/>
  </w:num>
  <w:num w:numId="15" w16cid:durableId="261842776">
    <w:abstractNumId w:val="2"/>
  </w:num>
  <w:num w:numId="16" w16cid:durableId="1590041332">
    <w:abstractNumId w:val="2"/>
  </w:num>
  <w:num w:numId="17" w16cid:durableId="524175311">
    <w:abstractNumId w:val="1"/>
  </w:num>
  <w:num w:numId="18" w16cid:durableId="436682690">
    <w:abstractNumId w:val="1"/>
  </w:num>
  <w:num w:numId="19" w16cid:durableId="1666544799">
    <w:abstractNumId w:val="0"/>
  </w:num>
  <w:num w:numId="20" w16cid:durableId="306010678">
    <w:abstractNumId w:val="0"/>
  </w:num>
  <w:num w:numId="21" w16cid:durableId="1783911728">
    <w:abstractNumId w:val="9"/>
  </w:num>
  <w:num w:numId="22" w16cid:durableId="1028145638">
    <w:abstractNumId w:val="7"/>
  </w:num>
  <w:num w:numId="23" w16cid:durableId="905527698">
    <w:abstractNumId w:val="6"/>
  </w:num>
  <w:num w:numId="24" w16cid:durableId="2060517695">
    <w:abstractNumId w:val="5"/>
  </w:num>
  <w:num w:numId="25" w16cid:durableId="1702704633">
    <w:abstractNumId w:val="4"/>
  </w:num>
  <w:num w:numId="26" w16cid:durableId="585382797">
    <w:abstractNumId w:val="8"/>
  </w:num>
  <w:num w:numId="27" w16cid:durableId="1559127175">
    <w:abstractNumId w:val="3"/>
  </w:num>
  <w:num w:numId="28" w16cid:durableId="1814640233">
    <w:abstractNumId w:val="2"/>
  </w:num>
  <w:num w:numId="29" w16cid:durableId="807556933">
    <w:abstractNumId w:val="1"/>
  </w:num>
  <w:num w:numId="30" w16cid:durableId="1502163445">
    <w:abstractNumId w:val="0"/>
  </w:num>
  <w:num w:numId="31" w16cid:durableId="1577975901">
    <w:abstractNumId w:val="9"/>
  </w:num>
  <w:num w:numId="32" w16cid:durableId="952709402">
    <w:abstractNumId w:val="7"/>
  </w:num>
  <w:num w:numId="33" w16cid:durableId="1647735692">
    <w:abstractNumId w:val="6"/>
  </w:num>
  <w:num w:numId="34" w16cid:durableId="2020933841">
    <w:abstractNumId w:val="5"/>
  </w:num>
  <w:num w:numId="35" w16cid:durableId="549927904">
    <w:abstractNumId w:val="4"/>
  </w:num>
  <w:num w:numId="36" w16cid:durableId="1225680663">
    <w:abstractNumId w:val="8"/>
  </w:num>
  <w:num w:numId="37" w16cid:durableId="167406523">
    <w:abstractNumId w:val="3"/>
  </w:num>
  <w:num w:numId="38" w16cid:durableId="687408234">
    <w:abstractNumId w:val="2"/>
  </w:num>
  <w:num w:numId="39" w16cid:durableId="1519469563">
    <w:abstractNumId w:val="1"/>
  </w:num>
  <w:num w:numId="40" w16cid:durableId="104662908">
    <w:abstractNumId w:val="0"/>
  </w:num>
  <w:num w:numId="41" w16cid:durableId="743995603">
    <w:abstractNumId w:val="10"/>
  </w:num>
  <w:num w:numId="42" w16cid:durableId="1046371835">
    <w:abstractNumId w:val="10"/>
  </w:num>
  <w:num w:numId="43" w16cid:durableId="1966617084">
    <w:abstractNumId w:val="10"/>
  </w:num>
  <w:num w:numId="44" w16cid:durableId="1159728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564"/>
    <w:rsid w:val="001C5FE0"/>
    <w:rsid w:val="001F32AE"/>
    <w:rsid w:val="002767FF"/>
    <w:rsid w:val="002B18FE"/>
    <w:rsid w:val="002B5493"/>
    <w:rsid w:val="00343214"/>
    <w:rsid w:val="00361C00"/>
    <w:rsid w:val="00395FA1"/>
    <w:rsid w:val="003E15D4"/>
    <w:rsid w:val="004106B0"/>
    <w:rsid w:val="00411CCE"/>
    <w:rsid w:val="0041666E"/>
    <w:rsid w:val="00421060"/>
    <w:rsid w:val="00471C19"/>
    <w:rsid w:val="004867E3"/>
    <w:rsid w:val="00494A28"/>
    <w:rsid w:val="004C0004"/>
    <w:rsid w:val="004C0BB1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41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9DF"/>
    <w:rsid w:val="00AB441E"/>
    <w:rsid w:val="00AB6293"/>
    <w:rsid w:val="00AE0928"/>
    <w:rsid w:val="00AF3B82"/>
    <w:rsid w:val="00B12E95"/>
    <w:rsid w:val="00B22876"/>
    <w:rsid w:val="00B36A2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AA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E75"/>
    <w:rsid w:val="00F149E9"/>
    <w:rsid w:val="00F5134D"/>
    <w:rsid w:val="00F74202"/>
    <w:rsid w:val="00F87713"/>
    <w:rsid w:val="00FB4360"/>
    <w:rsid w:val="00FD0C70"/>
  </w:rsids>
  <w:docVars>
    <w:docVar w:name="dvdocse" w:val="A10-0166/2026"/>
    <w:docVar w:name="dvlangue" w:val="PT"/>
    <w:docVar w:name="dvnumam" w:val="0"/>
    <w:docVar w:name="dvpe" w:val="784.231"/>
    <w:docVar w:name="dvrapporteur" w:val="Relator: "/>
    <w:docVar w:name="dvtitre" w:val="Resolução do Parlamento Europeu, de ... de ... de 2026,&#13;_x000a_ sobre o relatório de 2025 da Comissão relativo ao Kosovo(2025/225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D607B4"/>
  <w15:chartTrackingRefBased/>
  <w15:docId w15:val="{F24E9B24-A255-4ABB-8108-045F582D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13E75"/>
    <w:pPr>
      <w:spacing w:after="240"/>
      <w:ind w:left="567" w:hanging="567"/>
    </w:pPr>
  </w:style>
  <w:style w:type="paragraph" w:customStyle="1" w:styleId="EPComma">
    <w:name w:val="EPComma"/>
    <w:basedOn w:val="Normal"/>
    <w:rsid w:val="00F13E75"/>
    <w:pPr>
      <w:spacing w:before="480" w:after="240"/>
    </w:pPr>
  </w:style>
  <w:style w:type="character" w:styleId="Hyperlink">
    <w:name w:val="Hyperlink"/>
    <w:basedOn w:val="DefaultParagraphFont"/>
    <w:rsid w:val="00F13E7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106B0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106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yperlink" Target="https://eur-lex.europa.eu/legal-content/PT/ALL/?uri=CELEX:52020DC0641" TargetMode="External" /><Relationship Id="rId8" Type="http://schemas.openxmlformats.org/officeDocument/2006/relationships/hyperlink" Target="https://eur-lex.europa.eu/legal-content/PT/ALL/?uri=CELEX:52023DC0691" TargetMode="External" /><Relationship Id="rId9" Type="http://schemas.openxmlformats.org/officeDocument/2006/relationships/hyperlink" Target="https://eur-lex.europa.eu/legal-content/PT/ALL/?uri=CELEX:52024DC0146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6/342/oj" TargetMode="External" /><Relationship Id="rId2" Type="http://schemas.openxmlformats.org/officeDocument/2006/relationships/hyperlink" Target="http://data.europa.eu/eli/agree_internation/2017/1388/oj" TargetMode="External" /><Relationship Id="rId3" Type="http://schemas.openxmlformats.org/officeDocument/2006/relationships/hyperlink" Target="http://data.europa.eu/eli/reg/2021/1529/oj" TargetMode="External" /><Relationship Id="rId4" Type="http://schemas.openxmlformats.org/officeDocument/2006/relationships/hyperlink" Target="http://data.europa.eu/eli/reg/2023/850/oj" TargetMode="External" /><Relationship Id="rId5" Type="http://schemas.openxmlformats.org/officeDocument/2006/relationships/hyperlink" Target="http://data.europa.eu/eli/reg/2024/1449/oj" TargetMode="External" /><Relationship Id="rId6" Type="http://schemas.openxmlformats.org/officeDocument/2006/relationships/hyperlink" Target="http://data.europa.eu/eli/dec/2025/1161/oj" TargetMode="External" /><Relationship Id="rId7" Type="http://schemas.openxmlformats.org/officeDocument/2006/relationships/hyperlink" Target="http://data.europa.eu/eli/reg/2024/1083/oj" TargetMode="External" /><Relationship Id="rId8" Type="http://schemas.openxmlformats.org/officeDocument/2006/relationships/hyperlink" Target="http://data.europa.eu/eli/dir/2024/10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8167</Words>
  <Characters>44268</Characters>
  <Application>Microsoft Office Word</Application>
  <DocSecurity>0</DocSecurity>
  <Lines>368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2026-06-17T15:55:00Z</dcterms:created>
  <dcterms:modified xsi:type="dcterms:W3CDTF">2026-06-17T15:55:00Z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A10-0166/2026</vt:lpwstr>
  </property>
  <property fmtid="{D5CDD505-2E9C-101B-9397-08002B2CF9AE}" pid="4" name="&lt;Type&gt;">
    <vt:lpwstr>RR</vt:lpwstr>
  </property>
</Properties>
</file>