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263DDC" w14:textId="77777777" w:rsidTr="0010095E">
        <w:tblPrEx>
          <w:tblW w:w="9072" w:type="dxa"/>
          <w:tblLook w:val="01E0"/>
        </w:tblPrEx>
        <w:trPr>
          <w:trHeight w:hRule="exact" w:val="1418"/>
        </w:trPr>
        <w:tc>
          <w:tcPr>
            <w:tcW w:w="6804" w:type="dxa"/>
            <w:shd w:val="clear" w:color="auto" w:fill="auto"/>
            <w:vAlign w:val="center"/>
          </w:tcPr>
          <w:p w:rsidR="00751A4A" w:rsidRPr="006B60C9" w:rsidP="0010095E" w14:paraId="6CF3DCC5" w14:textId="77777777">
            <w:pPr>
              <w:pStyle w:val="EPName"/>
            </w:pPr>
            <w:r w:rsidRPr="006B60C9">
              <w:t>Parlamentul European</w:t>
            </w:r>
          </w:p>
          <w:p w:rsidR="00751A4A" w:rsidRPr="006B60C9" w:rsidP="005F1B17" w14:paraId="626954C5" w14:textId="77777777">
            <w:pPr>
              <w:pStyle w:val="EPTerm"/>
              <w:rPr>
                <w:rStyle w:val="HideTWBExt"/>
                <w:noProof w:val="0"/>
                <w:vanish w:val="0"/>
                <w:color w:val="auto"/>
              </w:rPr>
            </w:pPr>
            <w:r w:rsidRPr="006B60C9">
              <w:t>2024</w:t>
            </w:r>
            <w:r w:rsidRPr="006B60C9" w:rsidR="00817416">
              <w:t>-202</w:t>
            </w:r>
            <w:r w:rsidRPr="006B60C9">
              <w:t>9</w:t>
            </w:r>
          </w:p>
        </w:tc>
        <w:tc>
          <w:tcPr>
            <w:tcW w:w="2268" w:type="dxa"/>
            <w:shd w:val="clear" w:color="auto" w:fill="auto"/>
          </w:tcPr>
          <w:p w:rsidR="00751A4A" w:rsidRPr="006B60C9" w:rsidP="0010095E" w14:paraId="7DE5F649" w14:textId="77777777">
            <w:pPr>
              <w:pStyle w:val="EPLogo"/>
            </w:pPr>
            <w:r w:rsidRPr="006B60C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B60C9" w:rsidP="004C5D52" w14:paraId="28201E21" w14:textId="77777777">
      <w:pPr>
        <w:pStyle w:val="LineTop"/>
      </w:pPr>
    </w:p>
    <w:p w:rsidR="00680577" w:rsidRPr="006B60C9" w:rsidP="00680577" w14:paraId="73309F8B" w14:textId="77777777">
      <w:pPr>
        <w:pStyle w:val="EPBodyTA1"/>
      </w:pPr>
      <w:r w:rsidRPr="006B60C9">
        <w:t>TEXTE ADOPTATE</w:t>
      </w:r>
    </w:p>
    <w:p w:rsidR="00D058B8" w:rsidRPr="006B60C9" w:rsidP="00D058B8" w14:paraId="2B65833F" w14:textId="77777777">
      <w:pPr>
        <w:pStyle w:val="LineBottom"/>
      </w:pPr>
    </w:p>
    <w:p w:rsidR="00DC5791" w:rsidRPr="006B60C9" w:rsidP="00DC5791" w14:paraId="7068C327" w14:textId="7DF80F4D">
      <w:pPr>
        <w:pStyle w:val="ATHeading1"/>
      </w:pPr>
      <w:bookmarkStart w:id="0" w:name="TANumber"/>
      <w:r w:rsidRPr="006B60C9">
        <w:t>P10_TA(2026)0</w:t>
      </w:r>
      <w:r w:rsidRPr="006B60C9" w:rsidR="0009517A">
        <w:t>220</w:t>
      </w:r>
      <w:bookmarkEnd w:id="0"/>
    </w:p>
    <w:p w:rsidR="00DC5791" w:rsidRPr="006B60C9" w:rsidP="00DC5791" w14:paraId="7E13A301" w14:textId="23117C1C">
      <w:pPr>
        <w:pStyle w:val="ATHeading2"/>
      </w:pPr>
      <w:bookmarkStart w:id="1" w:name="title"/>
      <w:r w:rsidRPr="006B60C9">
        <w:t xml:space="preserve">Raportul Comisiei </w:t>
      </w:r>
      <w:r w:rsidR="009E18C0">
        <w:t>pe</w:t>
      </w:r>
      <w:r w:rsidRPr="006B60C9">
        <w:t xml:space="preserve"> 2025 privind Kosovo</w:t>
      </w:r>
      <w:bookmarkEnd w:id="1"/>
    </w:p>
    <w:p w:rsidR="00DC5791" w:rsidRPr="006B60C9" w:rsidP="00DC5791" w14:paraId="526156AC" w14:textId="77777777">
      <w:pPr>
        <w:rPr>
          <w:i/>
          <w:vanish/>
        </w:rPr>
      </w:pPr>
      <w:r>
        <w:rPr>
          <w:i/>
        </w:rPr>
        <w:fldChar w:fldCharType="begin"/>
      </w:r>
      <w:r w:rsidRPr="006B60C9">
        <w:rPr>
          <w:i/>
        </w:rPr>
        <w:instrText xml:space="preserve"> TC"(</w:instrText>
      </w:r>
      <w:bookmarkStart w:id="2" w:name="DocNumber"/>
      <w:r w:rsidRPr="006B60C9">
        <w:rPr>
          <w:i/>
        </w:rPr>
        <w:instrText>A10-0166/2026</w:instrText>
      </w:r>
      <w:bookmarkEnd w:id="2"/>
      <w:r w:rsidRPr="006B60C9">
        <w:rPr>
          <w:i/>
        </w:rPr>
        <w:instrText xml:space="preserve"> - Raportor: </w:instrText>
      </w:r>
      <w:r w:rsidRPr="006B60C9">
        <w:rPr>
          <w:i/>
        </w:rPr>
        <w:instrText>Riho</w:instrText>
      </w:r>
      <w:r w:rsidRPr="006B60C9">
        <w:rPr>
          <w:i/>
        </w:rPr>
        <w:instrText xml:space="preserve"> </w:instrText>
      </w:r>
      <w:r w:rsidRPr="006B60C9">
        <w:rPr>
          <w:i/>
        </w:rPr>
        <w:instrText>Terras</w:instrText>
      </w:r>
      <w:r w:rsidRPr="006B60C9">
        <w:rPr>
          <w:i/>
        </w:rPr>
        <w:instrText xml:space="preserve">)"\l3 \n&gt; \* MERGEFORMAT </w:instrText>
      </w:r>
      <w:r>
        <w:rPr>
          <w:i/>
        </w:rPr>
        <w:fldChar w:fldCharType="end"/>
      </w:r>
    </w:p>
    <w:p w:rsidR="00DC5791" w:rsidRPr="006B60C9" w:rsidP="00DC5791" w14:paraId="7B46E151" w14:textId="77777777">
      <w:pPr>
        <w:rPr>
          <w:vanish/>
        </w:rPr>
      </w:pPr>
      <w:bookmarkStart w:id="3" w:name="Commission"/>
      <w:r w:rsidRPr="006B60C9">
        <w:rPr>
          <w:vanish/>
        </w:rPr>
        <w:t>Comisia pentru afaceri externe</w:t>
      </w:r>
      <w:bookmarkEnd w:id="3"/>
    </w:p>
    <w:p w:rsidR="00DC5791" w:rsidRPr="006B60C9" w:rsidP="00DC5791" w14:paraId="693EE2A6" w14:textId="77777777">
      <w:pPr>
        <w:rPr>
          <w:vanish/>
        </w:rPr>
      </w:pPr>
      <w:bookmarkStart w:id="4" w:name="PE"/>
      <w:r w:rsidRPr="006B60C9">
        <w:rPr>
          <w:vanish/>
        </w:rPr>
        <w:t>PE784.231</w:t>
      </w:r>
      <w:bookmarkEnd w:id="4"/>
    </w:p>
    <w:p w:rsidR="00DC5791" w:rsidRPr="006B60C9" w:rsidP="00DC5791" w14:paraId="2C89EED2" w14:textId="2AFA01E8">
      <w:pPr>
        <w:pStyle w:val="ATHeading3"/>
      </w:pPr>
      <w:bookmarkStart w:id="5" w:name="Sujet"/>
      <w:r w:rsidRPr="006B60C9">
        <w:t xml:space="preserve">Rezoluția Parlamentului European din 17 iunie 2026 referitoare la raportul Comisiei </w:t>
      </w:r>
      <w:r w:rsidR="009E18C0">
        <w:t xml:space="preserve">pe 2025 </w:t>
      </w:r>
      <w:r w:rsidRPr="006B60C9">
        <w:t>privind Kosovo</w:t>
      </w:r>
      <w:bookmarkEnd w:id="5"/>
      <w:r w:rsidRPr="006B60C9">
        <w:t xml:space="preserve"> </w:t>
      </w:r>
      <w:bookmarkStart w:id="6" w:name="References"/>
      <w:r w:rsidRPr="006B60C9">
        <w:t>(2025/2252(INI))</w:t>
      </w:r>
      <w:bookmarkEnd w:id="6"/>
    </w:p>
    <w:p w:rsidR="009B58EA" w:rsidRPr="006B60C9" w:rsidP="009B58EA" w14:paraId="71AFC148" w14:textId="77777777">
      <w:pPr>
        <w:pStyle w:val="EPComma"/>
      </w:pPr>
      <w:r w:rsidRPr="006B60C9">
        <w:rPr>
          <w:i/>
        </w:rPr>
        <w:t>Parlamentul European</w:t>
      </w:r>
      <w:r w:rsidRPr="006B60C9">
        <w:t>,</w:t>
      </w:r>
    </w:p>
    <w:p w:rsidR="009B58EA" w:rsidRPr="006B60C9" w:rsidP="009B58EA" w14:paraId="7E96D453" w14:textId="77777777">
      <w:pPr>
        <w:pStyle w:val="NormalHanging12a"/>
      </w:pPr>
      <w:r w:rsidRPr="006B60C9">
        <w:t>–</w:t>
      </w:r>
      <w:r w:rsidRPr="006B60C9">
        <w:tab/>
        <w:t>având în vedere Acordul de stabilizare și de asociere între Uniunea Europeană și Comunitatea Europeană a Energiei Atomice, pe de o parte, și Kosovo, pe de altă parte</w:t>
      </w:r>
      <w:r>
        <w:rPr>
          <w:rStyle w:val="FootnoteReference"/>
        </w:rPr>
        <w:footnoteReference w:id="2"/>
      </w:r>
      <w:r w:rsidRPr="006B60C9">
        <w:t>, în vigoare de la 1 aprilie 2016,</w:t>
      </w:r>
    </w:p>
    <w:p w:rsidR="009B58EA" w:rsidRPr="006B60C9" w:rsidP="009B58EA" w14:paraId="7B5C6704" w14:textId="77777777">
      <w:pPr>
        <w:pStyle w:val="NormalHanging12a"/>
      </w:pPr>
      <w:r w:rsidRPr="006B60C9">
        <w:t>–</w:t>
      </w:r>
      <w:r w:rsidRPr="006B60C9">
        <w:tab/>
        <w:t>având în vedere cererea de aderare la Uniunea Europeană depusă de Kosovo la 15 decembrie 2022,</w:t>
      </w:r>
    </w:p>
    <w:p w:rsidR="009B58EA" w:rsidRPr="006B60C9" w:rsidP="009B58EA" w14:paraId="22E8EFD4" w14:textId="77777777">
      <w:pPr>
        <w:pStyle w:val="NormalHanging12a"/>
      </w:pPr>
      <w:r w:rsidRPr="006B60C9">
        <w:t>–</w:t>
      </w:r>
      <w:r w:rsidRPr="006B60C9">
        <w:tab/>
        <w:t>având în vedere cererea de aderare la Consiliul Europei depusă de Kosovo la 12 mai 2022,</w:t>
      </w:r>
    </w:p>
    <w:p w:rsidR="009B58EA" w:rsidRPr="006B60C9" w:rsidP="009B58EA" w14:paraId="5D4556BB" w14:textId="77777777">
      <w:pPr>
        <w:pStyle w:val="NormalHanging12a"/>
      </w:pPr>
      <w:r w:rsidRPr="006B60C9">
        <w:t>–</w:t>
      </w:r>
      <w:r w:rsidRPr="006B60C9">
        <w:tab/>
        <w:t>având în vedere Acordul-cadru între Uniunea Europeană și Kosovo privind principiile generale ale participării Kosovo la programele Uniunii</w:t>
      </w:r>
      <w:r>
        <w:rPr>
          <w:rStyle w:val="FootnoteReference"/>
        </w:rPr>
        <w:footnoteReference w:id="3"/>
      </w:r>
      <w:r w:rsidRPr="006B60C9">
        <w:t>, în vigoare începând cu 1 august 2017,</w:t>
      </w:r>
    </w:p>
    <w:p w:rsidR="009B58EA" w:rsidRPr="006B60C9" w:rsidP="009B58EA" w14:paraId="481D1F0C" w14:textId="77777777">
      <w:pPr>
        <w:pStyle w:val="NormalHanging12a"/>
      </w:pPr>
      <w:r w:rsidRPr="006B60C9">
        <w:t>–</w:t>
      </w:r>
      <w:r w:rsidRPr="006B60C9">
        <w:tab/>
        <w:t>având în vedere Regulamentul (UE) 2021/1529 al Parlamentului European și al Consiliului din 15 septembrie 2021 de instituire a Instrumentului de asistență pentru preaderare (IPA III)</w:t>
      </w:r>
      <w:r>
        <w:rPr>
          <w:rStyle w:val="FootnoteReference"/>
        </w:rPr>
        <w:footnoteReference w:id="4"/>
      </w:r>
      <w:r w:rsidRPr="006B60C9">
        <w:t>,</w:t>
      </w:r>
    </w:p>
    <w:p w:rsidR="009B58EA" w:rsidRPr="006B60C9" w:rsidP="009B58EA" w14:paraId="203CE468" w14:textId="77777777">
      <w:pPr>
        <w:pStyle w:val="NormalHanging12a"/>
      </w:pPr>
      <w:r w:rsidRPr="006B60C9">
        <w:t>–</w:t>
      </w:r>
      <w:r w:rsidRPr="006B60C9">
        <w:tab/>
        <w:t>având în vedere Regulamentul (UE) 2023/850 al Parlamentului European și al Consiliului din 19 aprilie 2023 de modificare a Regulamentului (UE) 2018/1806 de stabilire a listei țărilor terțe ai căror resortisanți trebuie să dețină viză pentru trecerea frontierelor externe și a listei țărilor terțe ai căror resortisanți sunt exonerați de această obligație</w:t>
      </w:r>
      <w:r>
        <w:rPr>
          <w:rStyle w:val="FootnoteReference"/>
        </w:rPr>
        <w:footnoteReference w:id="5"/>
      </w:r>
      <w:r w:rsidRPr="006B60C9">
        <w:t xml:space="preserve">, în ceea ce privește Kosovo, care permite un regim de călătorii fără viză </w:t>
      </w:r>
      <w:r w:rsidRPr="006B60C9">
        <w:t xml:space="preserve">pentru titularii de pașapoarte </w:t>
      </w:r>
      <w:r w:rsidRPr="006B60C9">
        <w:t>biometrice</w:t>
      </w:r>
      <w:r w:rsidRPr="006B60C9">
        <w:t xml:space="preserve"> din Kosovo începând cu 1 ianuarie 2024,</w:t>
      </w:r>
    </w:p>
    <w:p w:rsidR="009B58EA" w:rsidRPr="006B60C9" w:rsidP="009B58EA" w14:paraId="5B13237A" w14:textId="77777777">
      <w:pPr>
        <w:pStyle w:val="NormalHanging12a"/>
      </w:pPr>
      <w:r w:rsidRPr="006B60C9">
        <w:t>–</w:t>
      </w:r>
      <w:r w:rsidRPr="006B60C9">
        <w:tab/>
        <w:t>având în vedere Regulamentul (UE) 2024/1449 al Parlamentului European și al Consiliului din 14 mai 2024 privind instituirea Mecanismului de reformă și creștere pentru Balcanii de Vest</w:t>
      </w:r>
      <w:r>
        <w:rPr>
          <w:rStyle w:val="FootnoteReference"/>
        </w:rPr>
        <w:footnoteReference w:id="6"/>
      </w:r>
      <w:r w:rsidRPr="006B60C9">
        <w:t>,</w:t>
      </w:r>
    </w:p>
    <w:p w:rsidR="009B58EA" w:rsidRPr="006B60C9" w:rsidP="009B58EA" w14:paraId="0844D3EB" w14:textId="77777777">
      <w:pPr>
        <w:pStyle w:val="NormalHanging12a"/>
      </w:pPr>
      <w:r w:rsidRPr="006B60C9">
        <w:t>–</w:t>
      </w:r>
      <w:r w:rsidRPr="006B60C9">
        <w:tab/>
        <w:t>având în vedere concluziile Președinției în urma reuniunii Consiliului European de la Salonic din 19 și 20 iunie 2003,</w:t>
      </w:r>
    </w:p>
    <w:p w:rsidR="009B58EA" w:rsidRPr="006B60C9" w:rsidP="009B58EA" w14:paraId="5382949E" w14:textId="77777777">
      <w:pPr>
        <w:pStyle w:val="NormalHanging12a"/>
      </w:pPr>
      <w:r w:rsidRPr="006B60C9">
        <w:t>–</w:t>
      </w:r>
      <w:r w:rsidRPr="006B60C9">
        <w:tab/>
        <w:t xml:space="preserve">având în vedere </w:t>
      </w:r>
      <w:r w:rsidRPr="006B60C9">
        <w:t>summiturile</w:t>
      </w:r>
      <w:r w:rsidRPr="006B60C9">
        <w:t xml:space="preserve"> UE-Balcanii de Vest, care au avut loc la Sofia, Zagreb și </w:t>
      </w:r>
      <w:r w:rsidRPr="006B60C9">
        <w:t>Brdo</w:t>
      </w:r>
      <w:r w:rsidRPr="006B60C9">
        <w:t xml:space="preserve"> </w:t>
      </w:r>
      <w:r w:rsidRPr="006B60C9">
        <w:t>pri</w:t>
      </w:r>
      <w:r w:rsidRPr="006B60C9">
        <w:t xml:space="preserve"> </w:t>
      </w:r>
      <w:r w:rsidRPr="006B60C9">
        <w:t>Kranju</w:t>
      </w:r>
      <w:r w:rsidRPr="006B60C9">
        <w:t xml:space="preserve"> în 2018, 2020 și, respectiv, 2021, precum și declarațiile acestora,</w:t>
      </w:r>
    </w:p>
    <w:p w:rsidR="009B58EA" w:rsidRPr="006B60C9" w:rsidP="009B58EA" w14:paraId="538C5EB8" w14:textId="77777777">
      <w:pPr>
        <w:pStyle w:val="NormalHanging12a"/>
      </w:pPr>
      <w:r w:rsidRPr="006B60C9">
        <w:t>–</w:t>
      </w:r>
      <w:r w:rsidRPr="006B60C9">
        <w:tab/>
        <w:t>având în vedere reuniunea liderilor din Balcanii de Vest din 1 iulie 2025 de la Skopje, Macedonia de Nord, privind Planul de creștere pentru Balcanii de Vest,</w:t>
      </w:r>
    </w:p>
    <w:p w:rsidR="009B58EA" w:rsidRPr="006B60C9" w:rsidP="009B58EA" w14:paraId="4B1A9335" w14:textId="77777777">
      <w:pPr>
        <w:pStyle w:val="NormalHanging12a"/>
      </w:pPr>
      <w:r w:rsidRPr="006B60C9">
        <w:t>–</w:t>
      </w:r>
      <w:r w:rsidRPr="006B60C9">
        <w:tab/>
        <w:t xml:space="preserve">având în vedere declarația adoptată cu ocazia </w:t>
      </w:r>
      <w:r w:rsidRPr="006B60C9">
        <w:t>summitului</w:t>
      </w:r>
      <w:r w:rsidRPr="006B60C9">
        <w:t xml:space="preserve"> UE-Balcanii de Vest din 17 decembrie 2025,</w:t>
      </w:r>
    </w:p>
    <w:p w:rsidR="009B58EA" w:rsidRPr="006B60C9" w:rsidP="009B58EA" w14:paraId="558E3457" w14:textId="77777777">
      <w:pPr>
        <w:pStyle w:val="NormalHanging12a"/>
      </w:pPr>
      <w:r w:rsidRPr="006B60C9">
        <w:t>–</w:t>
      </w:r>
      <w:r w:rsidRPr="006B60C9">
        <w:tab/>
        <w:t>având în vedere concluziile Președinției din 16 decembrie 2025 privind extinderea,</w:t>
      </w:r>
    </w:p>
    <w:p w:rsidR="009B58EA" w:rsidRPr="006B60C9" w:rsidP="009B58EA" w14:paraId="4B7AD083" w14:textId="77777777">
      <w:pPr>
        <w:pStyle w:val="NormalHanging12a"/>
      </w:pPr>
      <w:r w:rsidRPr="006B60C9">
        <w:t>–</w:t>
      </w:r>
      <w:r w:rsidRPr="006B60C9">
        <w:tab/>
        <w:t>având în vedere Procesul de la Berlin, lansat la 28 august 2014,</w:t>
      </w:r>
    </w:p>
    <w:p w:rsidR="009B58EA" w:rsidRPr="006B60C9" w:rsidP="009B58EA" w14:paraId="419E0270" w14:textId="77777777">
      <w:pPr>
        <w:pStyle w:val="NormalHanging12a"/>
      </w:pPr>
      <w:r w:rsidRPr="006B60C9">
        <w:t>–</w:t>
      </w:r>
      <w:r w:rsidRPr="006B60C9">
        <w:tab/>
        <w:t xml:space="preserve">având în vedere concluziile Președinției </w:t>
      </w:r>
      <w:r w:rsidRPr="006B60C9">
        <w:t>summitului</w:t>
      </w:r>
      <w:r w:rsidRPr="006B60C9">
        <w:t xml:space="preserve"> din 2025 privind Procesul de la Berlin, care a avut loc la 22 octombrie 2025,</w:t>
      </w:r>
    </w:p>
    <w:p w:rsidR="009B58EA" w:rsidRPr="006B60C9" w:rsidP="009B58EA" w14:paraId="65D05C26" w14:textId="77777777">
      <w:pPr>
        <w:pStyle w:val="NormalHanging12a"/>
      </w:pPr>
      <w:r w:rsidRPr="006B60C9">
        <w:t>–</w:t>
      </w:r>
      <w:r w:rsidRPr="006B60C9">
        <w:tab/>
        <w:t>având în vedere comunicarea Comisiei din 6 octombrie 2020 intitulată „Un plan economic și de investiții pentru Balcanii de Vest” (</w:t>
      </w:r>
      <w:hyperlink r:id="rId7" w:tgtFrame="https://eur-lex.europa.eu/legal-content/EN/ALL/?uri=CELEX:52020DC0641" w:history="1">
        <w:r w:rsidRPr="006B60C9">
          <w:t>COM(2020)0641</w:t>
        </w:r>
      </w:hyperlink>
      <w:r w:rsidRPr="006B60C9">
        <w:t>),</w:t>
      </w:r>
    </w:p>
    <w:p w:rsidR="009B58EA" w:rsidRPr="006B60C9" w:rsidP="009B58EA" w14:paraId="056C195E" w14:textId="77777777">
      <w:pPr>
        <w:pStyle w:val="NormalHanging12a"/>
      </w:pPr>
      <w:r w:rsidRPr="006B60C9">
        <w:t>–</w:t>
      </w:r>
      <w:r w:rsidRPr="006B60C9">
        <w:tab/>
        <w:t>având în vedere comunicarea Comisiei din 8 noiembrie 2023 intitulată „Un nou plan de creștere pentru Balcanii de Vest” (</w:t>
      </w:r>
      <w:hyperlink r:id="rId8" w:tgtFrame="https://eur-lex.europa.eu/legal-content/EN/ALL/?uri=CELEX:52023DC0691" w:history="1">
        <w:r w:rsidRPr="006B60C9">
          <w:t>COM(2023)0691</w:t>
        </w:r>
      </w:hyperlink>
      <w:r w:rsidRPr="006B60C9">
        <w:t>),</w:t>
      </w:r>
    </w:p>
    <w:p w:rsidR="009B58EA" w:rsidRPr="006B60C9" w:rsidP="009B58EA" w14:paraId="1F15CC6B" w14:textId="77777777">
      <w:pPr>
        <w:pStyle w:val="NormalHanging12a"/>
      </w:pPr>
      <w:r w:rsidRPr="006B60C9">
        <w:t>–</w:t>
      </w:r>
      <w:r w:rsidRPr="006B60C9">
        <w:tab/>
        <w:t>având în vedere comunicarea Comisiei din 20 martie 2024 privind reformele și revizuirea politicilor înainte de extindere (</w:t>
      </w:r>
      <w:hyperlink r:id="rId9" w:tgtFrame="https://eur-lex.europa.eu/legal-content/EN/ALL/?uri=CELEX:52024DC0146" w:history="1">
        <w:r w:rsidRPr="006B60C9">
          <w:t>COM(2024)0146</w:t>
        </w:r>
      </w:hyperlink>
      <w:r w:rsidRPr="006B60C9">
        <w:t>),</w:t>
      </w:r>
    </w:p>
    <w:p w:rsidR="009B58EA" w:rsidRPr="006B60C9" w:rsidP="009B58EA" w14:paraId="224FF13A" w14:textId="77777777">
      <w:pPr>
        <w:pStyle w:val="NormalHanging12a"/>
      </w:pPr>
      <w:r w:rsidRPr="006B60C9">
        <w:t>–</w:t>
      </w:r>
      <w:r w:rsidRPr="006B60C9">
        <w:tab/>
        <w:t>având în vedere comunicarea Comisiei din 4 noiembrie 2025 intitulată „Comunicarea din 2025 privind politica de extindere a UE” (COM(2025)0690), însoțită de documentul de lucru al serviciilor Comisiei intitulat „Raportul privind Kosovo din 2025” (SWD(2025)0752),</w:t>
      </w:r>
    </w:p>
    <w:p w:rsidR="009B58EA" w:rsidRPr="006B60C9" w:rsidP="009B58EA" w14:paraId="6FE5F511" w14:textId="77777777">
      <w:pPr>
        <w:pStyle w:val="NormalHanging12a"/>
      </w:pPr>
      <w:r w:rsidRPr="006B60C9">
        <w:t>–</w:t>
      </w:r>
      <w:r w:rsidRPr="006B60C9">
        <w:tab/>
        <w:t>având în vedere Tratatul de instituire a Comunității Energiei, semnat la Atena la 25 octombrie 2005, care urmărește extinderea normelor UE privind piața internă a energiei la Europa de Sud-Est,</w:t>
      </w:r>
    </w:p>
    <w:p w:rsidR="009B58EA" w:rsidRPr="006B60C9" w:rsidP="009B58EA" w14:paraId="63F77373" w14:textId="77777777">
      <w:pPr>
        <w:pStyle w:val="NormalHanging12a"/>
      </w:pPr>
      <w:r w:rsidRPr="006B60C9">
        <w:t>–</w:t>
      </w:r>
      <w:r w:rsidRPr="006B60C9">
        <w:tab/>
        <w:t>având în vedere Rezoluția 1244 din 10 iunie 1999 a Consiliului de Securitate al ONU, Avizul consultativ al Curții Internaționale de Justiție (CIJ) din 22 iulie 2010 privind conformitatea cu dreptul internațional a declarației unilaterale de independență a Kosovo și Rezoluția 64/298 din 9 septembrie 2010 a Adunării Generale a ONU, care a luat act de conținutul avizului CIJ și a felicitat UE pentru disponibilitatea de a înlesni dialogul dintre Serbia și Kosovo,</w:t>
      </w:r>
    </w:p>
    <w:p w:rsidR="009B58EA" w:rsidRPr="006B60C9" w:rsidP="009B58EA" w14:paraId="271500BC" w14:textId="77777777">
      <w:pPr>
        <w:pStyle w:val="NormalHanging12a"/>
      </w:pPr>
      <w:r w:rsidRPr="006B60C9">
        <w:t>–</w:t>
      </w:r>
      <w:r w:rsidRPr="006B60C9">
        <w:tab/>
        <w:t>având în vedere alinierea constantă a Kosovo la politica externă și de securitate comună a UE,</w:t>
      </w:r>
    </w:p>
    <w:p w:rsidR="009B58EA" w:rsidRPr="006B60C9" w:rsidP="009B58EA" w14:paraId="6BC9ECBC" w14:textId="77777777">
      <w:pPr>
        <w:pStyle w:val="NormalHanging12a"/>
      </w:pPr>
      <w:r w:rsidRPr="006B60C9">
        <w:t>–</w:t>
      </w:r>
      <w:r w:rsidRPr="006B60C9">
        <w:tab/>
        <w:t>având în vedere primul acord privind principiile care guvernează normalizarea relațiilor dintre Serbia și Kosovo din 19 aprilie 2013 și acordurile din 25 august 2015, precum și dialogul în curs facilitat de UE în vederea normalizării acestor relații,</w:t>
      </w:r>
    </w:p>
    <w:p w:rsidR="009B58EA" w:rsidRPr="006B60C9" w:rsidP="009B58EA" w14:paraId="3C8BCA3B" w14:textId="77777777">
      <w:pPr>
        <w:pStyle w:val="NormalHanging12a"/>
      </w:pPr>
      <w:r w:rsidRPr="006B60C9">
        <w:t>–</w:t>
      </w:r>
      <w:r w:rsidRPr="006B60C9">
        <w:tab/>
        <w:t xml:space="preserve">având în vedere Acordul de la Bruxelles din 27 februarie 2023 și Acordul de la </w:t>
      </w:r>
      <w:r w:rsidRPr="006B60C9">
        <w:t>Ohrid</w:t>
      </w:r>
      <w:r w:rsidRPr="006B60C9">
        <w:t xml:space="preserve"> din 18 martie 2023, precum și anexa aferentă privind normele de punere în aplicare,</w:t>
      </w:r>
    </w:p>
    <w:p w:rsidR="009B58EA" w:rsidRPr="006B60C9" w:rsidP="009B58EA" w14:paraId="59D9FC7E" w14:textId="77777777">
      <w:pPr>
        <w:pStyle w:val="NormalHanging12a"/>
      </w:pPr>
      <w:r w:rsidRPr="006B60C9">
        <w:t>–</w:t>
      </w:r>
      <w:r w:rsidRPr="006B60C9">
        <w:tab/>
        <w:t>având în vedere prezența continuă și mandatul Forței pentru Kosovo conduse de NATO, care continuă să contribuie la menținerea unui mediu sigur și securizat și a libertății de circulație în Kosovo,</w:t>
      </w:r>
    </w:p>
    <w:p w:rsidR="009B58EA" w:rsidRPr="006B60C9" w:rsidP="009B58EA" w14:paraId="1AB85D6B" w14:textId="77777777">
      <w:pPr>
        <w:pStyle w:val="NormalHanging12a"/>
      </w:pPr>
      <w:r w:rsidRPr="006B60C9">
        <w:t>–</w:t>
      </w:r>
      <w:r w:rsidRPr="006B60C9">
        <w:tab/>
        <w:t>având în vedere Decizia (PESC) 2025/1161 a Consiliului din 5 iunie 2025 de modificare a Acțiunii comune 2008/124/PESC privind misiunea Uniunii Europene de sprijinire a supremației legii în Kosovo, EULEX KOSOVO</w:t>
      </w:r>
      <w:r>
        <w:rPr>
          <w:rStyle w:val="FootnoteReference"/>
        </w:rPr>
        <w:footnoteReference w:id="7"/>
      </w:r>
      <w:r w:rsidRPr="006B60C9">
        <w:t>, care a prelungit mandatul misiunii până la 14 iunie 2027,</w:t>
      </w:r>
    </w:p>
    <w:p w:rsidR="009B58EA" w:rsidRPr="006B60C9" w:rsidP="009B58EA" w14:paraId="2DE49E13" w14:textId="77777777">
      <w:pPr>
        <w:pStyle w:val="NormalHanging12a"/>
      </w:pPr>
      <w:r w:rsidRPr="006B60C9">
        <w:t>–</w:t>
      </w:r>
      <w:r w:rsidRPr="006B60C9">
        <w:tab/>
        <w:t>având în vedere raportul final al misiunii Uniunii Europene de observare a alegerilor parlamentare din Kosovo din 2025,</w:t>
      </w:r>
    </w:p>
    <w:p w:rsidR="009B58EA" w:rsidRPr="006B60C9" w:rsidP="009B58EA" w14:paraId="36910E54" w14:textId="77777777">
      <w:pPr>
        <w:pStyle w:val="NormalHanging12a"/>
      </w:pPr>
      <w:r w:rsidRPr="006B60C9">
        <w:t>–</w:t>
      </w:r>
      <w:r w:rsidRPr="006B60C9">
        <w:tab/>
        <w:t>având în vedere rezoluțiile sale anterioare referitoare la Kosovo,</w:t>
      </w:r>
    </w:p>
    <w:p w:rsidR="009B58EA" w:rsidRPr="006B60C9" w:rsidP="009B58EA" w14:paraId="75DF74AB" w14:textId="77777777">
      <w:pPr>
        <w:pStyle w:val="NormalHanging12a"/>
      </w:pPr>
      <w:r w:rsidRPr="006B60C9">
        <w:t>–</w:t>
      </w:r>
      <w:r w:rsidRPr="006B60C9">
        <w:tab/>
        <w:t xml:space="preserve">având în vedere recomandările comune adoptate la cea de-a 12-a reuniune a Comisiei parlamentare de stabilizare și de asociere UE-Kosovo, care a avut loc la 9 decembrie 2024, </w:t>
      </w:r>
    </w:p>
    <w:p w:rsidR="009B58EA" w:rsidRPr="006B60C9" w:rsidP="009B58EA" w14:paraId="188BC141" w14:textId="77777777">
      <w:pPr>
        <w:pStyle w:val="NormalHanging12a"/>
      </w:pPr>
      <w:r w:rsidRPr="006B60C9">
        <w:t>–</w:t>
      </w:r>
      <w:r w:rsidRPr="006B60C9">
        <w:tab/>
        <w:t xml:space="preserve">având în vedere indicele de percepție a corupției pentru 2025 stabilit de </w:t>
      </w:r>
      <w:r w:rsidRPr="006B60C9">
        <w:t>Transparency</w:t>
      </w:r>
      <w:r w:rsidRPr="006B60C9">
        <w:t xml:space="preserve"> International,</w:t>
      </w:r>
    </w:p>
    <w:p w:rsidR="009B58EA" w:rsidRPr="006B60C9" w:rsidP="009B58EA" w14:paraId="44819B47" w14:textId="77777777">
      <w:pPr>
        <w:pStyle w:val="NormalHanging12a"/>
      </w:pPr>
      <w:r w:rsidRPr="006B60C9">
        <w:t>–</w:t>
      </w:r>
      <w:r w:rsidRPr="006B60C9">
        <w:tab/>
        <w:t>având în vedere clasamentul mondial al libertății presei pentru 2025 publicat de Reporteri fără Frontiere,</w:t>
      </w:r>
    </w:p>
    <w:p w:rsidR="009B58EA" w:rsidRPr="006B60C9" w:rsidP="009B58EA" w14:paraId="3B2EC344" w14:textId="77777777">
      <w:pPr>
        <w:pStyle w:val="NormalHanging12a"/>
        <w:rPr>
          <w:i/>
        </w:rPr>
      </w:pPr>
      <w:r w:rsidRPr="006B60C9">
        <w:rPr>
          <w:i/>
        </w:rPr>
        <w:t>–</w:t>
      </w:r>
      <w:r w:rsidRPr="006B60C9">
        <w:rPr>
          <w:i/>
        </w:rPr>
        <w:tab/>
      </w:r>
      <w:r w:rsidRPr="006B60C9">
        <w:t>având în vedere misiunea de informare la Pristina a Platformei pentru siguranța jurnaliștilor a Consiliului Europei din 24 și 25 martie 2026</w:t>
      </w:r>
      <w:r w:rsidRPr="006B60C9">
        <w:rPr>
          <w:i/>
        </w:rPr>
        <w:t>,</w:t>
      </w:r>
    </w:p>
    <w:p w:rsidR="009B58EA" w:rsidRPr="006B60C9" w:rsidP="009B58EA" w14:paraId="0C05E4B1" w14:textId="77777777">
      <w:pPr>
        <w:pStyle w:val="NormalHanging12a"/>
      </w:pPr>
      <w:r w:rsidRPr="006B60C9">
        <w:t>–</w:t>
      </w:r>
      <w:r w:rsidRPr="006B60C9">
        <w:tab/>
        <w:t>având în vedere articolul 55 din Regulamentul său de procedură,</w:t>
      </w:r>
    </w:p>
    <w:p w:rsidR="009B58EA" w:rsidRPr="006B60C9" w:rsidP="009B58EA" w14:paraId="59231DBC" w14:textId="77777777">
      <w:pPr>
        <w:pStyle w:val="NormalHanging12a"/>
      </w:pPr>
      <w:r w:rsidRPr="006B60C9">
        <w:t>–</w:t>
      </w:r>
      <w:r w:rsidRPr="006B60C9">
        <w:tab/>
        <w:t xml:space="preserve">având în vedere raportul Comisiei pentru afaceri externe (A10-0166/2026), </w:t>
      </w:r>
    </w:p>
    <w:p w:rsidR="009B58EA" w:rsidRPr="006B60C9" w:rsidP="009B58EA" w14:paraId="3338A16B" w14:textId="77777777">
      <w:pPr>
        <w:pStyle w:val="NormalHanging12a"/>
      </w:pPr>
      <w:bookmarkStart w:id="7" w:name="_Hlk222084676"/>
      <w:r w:rsidRPr="006B60C9">
        <w:t>A.</w:t>
      </w:r>
      <w:r w:rsidRPr="006B60C9">
        <w:tab/>
        <w:t>întrucât politica de extindere este unul dintre cele mai eficace instrumente de politică externă ale UE și reprezintă una dintre politicile care a dat cele mai bune rezultate în ceea ce privește stimularea și încurajarea reformelor fundamentale în țările candidate la aderare și o investiție geopolitică strategică în pacea, stabilitatea și securitatea pe termen lung pe întregul continent;</w:t>
      </w:r>
    </w:p>
    <w:p w:rsidR="009B58EA" w:rsidRPr="006B60C9" w:rsidP="009B58EA" w14:paraId="1E9563D5" w14:textId="77777777">
      <w:pPr>
        <w:pStyle w:val="NormalHanging12a"/>
      </w:pPr>
      <w:r w:rsidRPr="006B60C9">
        <w:t>B.</w:t>
      </w:r>
      <w:r w:rsidRPr="006B60C9">
        <w:tab/>
        <w:t xml:space="preserve">întrucât democrația, drepturile omului și statul de drept sunt valorile fundamentale pe care se întemeiază UE; întrucât aceste valori fundamentale nu pot fi compromise în </w:t>
      </w:r>
      <w:r w:rsidRPr="006B60C9">
        <w:t>contextul procesului de extindere;</w:t>
      </w:r>
    </w:p>
    <w:p w:rsidR="009B58EA" w:rsidRPr="006B60C9" w:rsidP="009B58EA" w14:paraId="6423B3AD" w14:textId="77777777">
      <w:pPr>
        <w:pStyle w:val="NormalHanging12a"/>
        <w:rPr>
          <w:szCs w:val="24"/>
        </w:rPr>
      </w:pPr>
      <w:r w:rsidRPr="006B60C9">
        <w:t>C.</w:t>
      </w:r>
      <w:r w:rsidRPr="006B60C9">
        <w:tab/>
        <w:t>întrucât Constituția Republicii Kosovo este una dintre cele mai progresiste în ceea ce privește drepturile minorităților;</w:t>
      </w:r>
    </w:p>
    <w:p w:rsidR="009B58EA" w:rsidRPr="006B60C9" w:rsidP="009B58EA" w14:paraId="48B0D0C2" w14:textId="77777777">
      <w:pPr>
        <w:pStyle w:val="NormalHanging12a"/>
        <w:rPr>
          <w:b/>
        </w:rPr>
      </w:pPr>
      <w:r w:rsidRPr="006B60C9">
        <w:t>D.</w:t>
      </w:r>
      <w:r w:rsidRPr="006B60C9">
        <w:tab/>
        <w:t>întrucât fiecare țară implicată în procesul de aderare este evaluată numai pe baza propriilor merite; întrucât punerea în aplicare a reformelor necesare și respectarea setului de criterii și valori europene comune sunt cele care determină calendarul și progresul procesului de aderare;</w:t>
      </w:r>
      <w:r w:rsidRPr="006B60C9">
        <w:rPr>
          <w:b/>
        </w:rPr>
        <w:t xml:space="preserve"> </w:t>
      </w:r>
      <w:r w:rsidRPr="006B60C9">
        <w:t>întrucât procesul de aderare nu poate continua fără punerea în aplicare a reformelor necesare;</w:t>
      </w:r>
    </w:p>
    <w:p w:rsidR="009B58EA" w:rsidRPr="006B60C9" w:rsidP="009B58EA" w14:paraId="4245854F" w14:textId="77777777">
      <w:pPr>
        <w:pStyle w:val="NormalHanging12a"/>
      </w:pPr>
      <w:r w:rsidRPr="006B60C9">
        <w:t>E.</w:t>
      </w:r>
      <w:r w:rsidRPr="006B60C9">
        <w:tab/>
        <w:t>întrucât parcursul Kosovo către aderarea la UE depinde și de normalizarea relațiilor cu Serbia și de relațiile de bună vecinătate;</w:t>
      </w:r>
    </w:p>
    <w:p w:rsidR="009B58EA" w:rsidRPr="006B60C9" w:rsidP="009B58EA" w14:paraId="0017F195" w14:textId="77777777">
      <w:pPr>
        <w:pStyle w:val="NormalHanging12a"/>
      </w:pPr>
      <w:r w:rsidRPr="006B60C9">
        <w:t>F.</w:t>
      </w:r>
      <w:r w:rsidRPr="006B60C9">
        <w:tab/>
        <w:t>întrucât protejarea integrității proceselor democratice a devenit un aspect central al politicii de extindere a UE; întrucât Kosovo a fost supusă unor ingerințe străine și campanii de dezinformare, în special din partea Rusiei, inclusiv prin canalele mass-media naționaliste sârbe, care au urmărit să destabilizeze instituțiile democratice, să submineze coeziunea societății și să împiedice integrarea europeană a Kosovo; întrucât consolidarea rezilienței democratice constituie o parte integrantă a îndeplinirii criteriilor politice de aderare;</w:t>
      </w:r>
    </w:p>
    <w:p w:rsidR="009B58EA" w:rsidRPr="006B60C9" w:rsidP="009B58EA" w14:paraId="319B985A" w14:textId="77777777">
      <w:pPr>
        <w:pStyle w:val="NormalHanging12a"/>
        <w:rPr>
          <w:bCs/>
        </w:rPr>
      </w:pPr>
      <w:r w:rsidRPr="006B60C9">
        <w:t>G.</w:t>
      </w:r>
      <w:r w:rsidRPr="006B60C9">
        <w:tab/>
        <w:t>întrucât, spre deosebire de poziția europeană generală, independența Kosovo nu a fost încă recunoscută de Cipru, Grecia, România, Slovacia și Spania;</w:t>
      </w:r>
    </w:p>
    <w:p w:rsidR="009B58EA" w:rsidRPr="006B60C9" w:rsidP="009B58EA" w14:paraId="39308984" w14:textId="77777777">
      <w:pPr>
        <w:pStyle w:val="NormalHanging12a"/>
        <w:rPr>
          <w:b/>
          <w:bCs/>
        </w:rPr>
      </w:pPr>
      <w:r w:rsidRPr="006B60C9">
        <w:rPr>
          <w:b/>
          <w:i/>
        </w:rPr>
        <w:t>Angajamentul față de aderarea la UE</w:t>
      </w:r>
    </w:p>
    <w:p w:rsidR="009B58EA" w:rsidRPr="006B60C9" w:rsidP="009B58EA" w14:paraId="161865BF" w14:textId="77777777">
      <w:pPr>
        <w:pStyle w:val="NormalHanging12a"/>
      </w:pPr>
      <w:r w:rsidRPr="006B60C9">
        <w:t>1.</w:t>
      </w:r>
      <w:r w:rsidRPr="006B60C9">
        <w:tab/>
        <w:t>apreciază angajamentul continuu al Kosovo față de aderarea la UE, care reflectă o alegere geopolitică strategică clară care consolidează securitatea, o ancorare europeană puternică, un consens general între partide pentru integrarea europeană și un nivel ridicat de sprijin public pentru parcursul european al Kosovo, în special prin dezvoltarea unor relații strânse și concrete cu Uniunea Europeană;</w:t>
      </w:r>
    </w:p>
    <w:p w:rsidR="009B58EA" w:rsidRPr="006B60C9" w:rsidP="009B58EA" w14:paraId="41040D3B" w14:textId="77777777">
      <w:pPr>
        <w:pStyle w:val="NormalHanging12a"/>
        <w:rPr>
          <w:color w:val="0070C0"/>
        </w:rPr>
      </w:pPr>
      <w:r w:rsidRPr="006B60C9">
        <w:t>2.</w:t>
      </w:r>
      <w:r w:rsidRPr="006B60C9">
        <w:tab/>
        <w:t>își reiterează convingerea fermă că viitorul Kosovo este în UE, în special având în vedere dinamica geopolitică actuală din regiune, schimbările majore rapide din politica mondială și intensificarea concurenței cu regimurile autoritare; evidențiază că apropierea dintre Kosovo și UE face parte dintr-un proces de integrare treptată care depășește simpla aderare formală; insistă că formele concrete de cooperare și de integrare treptată, în special prin parteneriatele sectoriale, participarea la programe ale Uniunii precum Erasmus+ și includerea în anumite politici europene, reprezintă pârghii esențiale pentru consolidarea legăturilor cu Kosovo; subliniază că aceste instrumente ajută la consolidarea ancorării Kosovo în spațiul european și răspund provocărilor geostrategice ale regiunii, inclusiv prin prevenirea influenței actorilor externi, fără a afecta ritmul sau rezultatul procesului de extindere;</w:t>
      </w:r>
    </w:p>
    <w:p w:rsidR="009B58EA" w:rsidRPr="006B60C9" w:rsidP="009B58EA" w14:paraId="537C56CA" w14:textId="77777777">
      <w:pPr>
        <w:pStyle w:val="NormalHanging12a"/>
        <w:rPr>
          <w:bCs/>
        </w:rPr>
      </w:pPr>
      <w:r w:rsidRPr="006B60C9">
        <w:t>3.</w:t>
      </w:r>
      <w:r w:rsidRPr="006B60C9">
        <w:tab/>
        <w:t xml:space="preserve">salută constituirea noii Adunări și a noului Guvern al Kosovo la 12 februarie 2026, în urma alegerilor parlamentare democratice anticipate organizate în decembrie 2025 și după mai mult de un an de impas politic și profundă polarizare politică; regretă însă paralizarea procesului politic în 2025, care a echivalat cu un „an pierdut” pentru Kosovo; regretă, de asemenea, că Adunarea Națională nu a reușit să aleagă un nou președinte în termenul constituțional; ia act de dizolvarea Adunării Naționale prin decret </w:t>
      </w:r>
      <w:r w:rsidRPr="006B60C9">
        <w:t>prezidențial la 6 martie 2026 și de verdictul ulterior al Curții Constituționale care a anulat această decizie și a acordat membrilor Adunării 34 de zile pentru a alege un nou președinte, după care țara ar fi obligată să organizeze noi alegeri; ia act de încercările eșuate de a alege un președinte până la acest termen și de anunțarea în consecință a unor noi alegeri legislative la 7 iunie 2026;</w:t>
      </w:r>
    </w:p>
    <w:p w:rsidR="009B58EA" w:rsidRPr="006B60C9" w:rsidP="009B58EA" w14:paraId="641A72B9" w14:textId="77777777">
      <w:pPr>
        <w:pStyle w:val="NormalHanging12a"/>
        <w:rPr>
          <w:i/>
        </w:rPr>
      </w:pPr>
      <w:r w:rsidRPr="006B60C9">
        <w:t>4.</w:t>
      </w:r>
      <w:r w:rsidRPr="006B60C9">
        <w:tab/>
        <w:t>salută, de asemenea, ratificarea de către Adunarea Națională din Kosovo, la 13 februarie 2026, a acordurilor din cadrul Mecanismului de reformă și creștere; constată că astfel Kosovo are posibilitatea să acceseze granturi substanțiale și împrumuturi preferențiale menite să promoveze reformele-cheie și să accelereze convergența sa economică și progresul său pe parcursul european; regretă profund că, având în vedere „anul pierdut” și posibila pierdere a altor luni pentru campania electorală, este posibil ca țara să nu fie în măsură să realizeze toate reformele necesare până la termenele-limită și ar risca să piardă sume importante de sprijin financiar prin Mecanismul de reformă și creștere;</w:t>
      </w:r>
    </w:p>
    <w:p w:rsidR="009B58EA" w:rsidRPr="006B60C9" w:rsidP="009B58EA" w14:paraId="65B02043" w14:textId="77777777">
      <w:pPr>
        <w:pStyle w:val="NormalHanging12a"/>
      </w:pPr>
      <w:r w:rsidRPr="006B60C9">
        <w:t>5.</w:t>
      </w:r>
      <w:r w:rsidRPr="006B60C9">
        <w:tab/>
        <w:t>reliefează că un proces de extindere credibil se bazează pe un proces întemeiat pe merit, care necesită menținerea unui ritm susținut și ireversibil al reformelor și punerea în aplicare riguroasă a reformelor în conformitate cu standardele UE, în special cu criteriile de la Copenhaga;</w:t>
      </w:r>
      <w:r w:rsidRPr="006B60C9">
        <w:rPr>
          <w:i/>
        </w:rPr>
        <w:t xml:space="preserve"> </w:t>
      </w:r>
      <w:r w:rsidRPr="006B60C9">
        <w:t>invită Kosovo să își intensifice progresele în punerea în aplicare a reformelor legate de UE, în special în domeniile statului de drept, libertăților fundamentale și combaterii corupției, în special a corupției la nivel înalt, și să își continue eforturile prin consolidarea angajamentului său față de valorile și standardele europene; subliniază că orice asistență pentru preaderare și asistența financiară aferentă trebuie să rămână strict condiționate de rezultate măsurabile și verificabile în aceste domenii; reamintește, în acest sens, importanța susținerii statului de drept care garantează respectarea opiniilor tuturor și aplicarea efectivă a legilor în practică; evidențiază că este necesar să se redefinească prioritățile și să se realizeze progrese concrete în ceea ce privește aceste reforme pentru ca Kosovo să își consolideze ancorarea în Europa și să continue parcursul pentru revenirea pe calea aderării la UE; reliefează că extinderea implică și o pregătire temeinică a instituțiilor și a statelor membre ale UE pentru a asigura integrarea cu succes a unor noi membri potențiali, respectând totodată stabilitatea economică a pieței interne, standardele sociale și de mediu și buna funcționare a instituțiilor UE;</w:t>
      </w:r>
    </w:p>
    <w:p w:rsidR="009B58EA" w:rsidRPr="006B60C9" w:rsidP="009B58EA" w14:paraId="30D28A40" w14:textId="77777777">
      <w:pPr>
        <w:pStyle w:val="NormalHanging12a"/>
      </w:pPr>
      <w:r w:rsidRPr="006B60C9">
        <w:t>6.</w:t>
      </w:r>
      <w:r w:rsidRPr="006B60C9">
        <w:tab/>
        <w:t>sprijină cererea de aderare la UE prezentată de Kosovo în decembrie 2022; își reiterează apelul adresat statelor membre din cadrul Consiliului să invite Comisia să își prezinte chestionarul fără întârzieri nejustificate și să își prezinte avizul referitor la temeinicia cererii de aderare a țării și invită Consiliul să acționeze rapid ulterior, inclusiv acordând statutul de țară candidată de îndată ce sunt îndeplinite criteriile relevante; solicită celor cinci state membre care nu au recunoscut încă independența Kosovo să facă acest lucru fără întârziere, permițându-i astfel să avanseze în condiții de egalitate cu ceilalți candidați; reamintește avizul consultativ al Curții Internaționale de Justiție din 22 iulie 2010, în care se afirmă că declarația unilaterală de independență a Kosovo nu încalcă dreptul internațional general;</w:t>
      </w:r>
    </w:p>
    <w:p w:rsidR="009B58EA" w:rsidRPr="006B60C9" w:rsidP="009B58EA" w14:paraId="180E7FE9" w14:textId="77777777">
      <w:pPr>
        <w:pStyle w:val="NormalHanging12a"/>
      </w:pPr>
      <w:r w:rsidRPr="006B60C9">
        <w:t>7.</w:t>
      </w:r>
      <w:r w:rsidRPr="006B60C9">
        <w:tab/>
        <w:t xml:space="preserve">își reiterează sprijinul deplin pentru cererea Kosovo de aderare la Consiliul Europei, pentru planul de orientare strategică al acestei țări de a adera la programul Parteneriatului pentru pace al NATO și pentru cererile sale de aderare la alte organizații internaționale; îndeamnă organizațiile vizate și statele membre să sprijine activ aceste candidaturi; constată că apropierea Kosovo de NATO consolidează securitatea </w:t>
      </w:r>
      <w:r w:rsidRPr="006B60C9">
        <w:t>europeană; invită Comisia și biroul UE din Kosovo să își intensifice eforturile pentru a îmbunătăți vizibilitatea și înțelegerea, în Kosovo, a Uniunii și a beneficiilor concrete ale unui parteneriat solid între UE și Kosovo; îndeamnă Serbia să nu se mai opună cererii Kosovo de a deveni membru al Consiliului Europei și al altor organizații internaționale, opoziție care ar încălca Acordul din 2023 privind calea spre normalizarea relațiilor dintre Kosovo și Serbia;</w:t>
      </w:r>
    </w:p>
    <w:p w:rsidR="009B58EA" w:rsidRPr="006B60C9" w:rsidP="009B58EA" w14:paraId="7F4DCC22" w14:textId="77777777">
      <w:pPr>
        <w:pStyle w:val="NormalHanging12a"/>
      </w:pPr>
      <w:r w:rsidRPr="006B60C9">
        <w:t>8.</w:t>
      </w:r>
      <w:r w:rsidRPr="006B60C9">
        <w:tab/>
        <w:t>felicită Kosovo ca partener de încredere al UE, după cum o demonstrează alinierea sa voluntară continuă la politica externă și de securitate comună (PESC) a UE, inclusiv punerea în aplicare în continuare a măsurilor restrictive ale UE împotriva Rusiei și Belarusului, condamnarea clară a războiului de agresiune purtat de Rusia împotriva Ucrainei și nivelul constant ridicat de sprijin public pentru integrarea în UE în rândul cetățenilor săi; se așteaptă ca Kosovo să mențină această aliniere și să își continue eforturile pentru limitarea amenințării ruse;</w:t>
      </w:r>
    </w:p>
    <w:p w:rsidR="009B58EA" w:rsidRPr="006B60C9" w:rsidP="009B58EA" w14:paraId="669D20EC" w14:textId="77777777">
      <w:pPr>
        <w:pStyle w:val="NormalHanging12a"/>
      </w:pPr>
      <w:r w:rsidRPr="006B60C9">
        <w:t>9.</w:t>
      </w:r>
      <w:r w:rsidRPr="006B60C9">
        <w:tab/>
        <w:t>salută semnarea la 18 martie 2025 a declarației trilaterale de cooperare în domeniul apărării dintre Kosovo, Albania și Croația, cu scopul de a consolida capabilitățile de apărare și de a îmbunătăți cooperarea în combaterea amenințărilor hibride;</w:t>
      </w:r>
    </w:p>
    <w:p w:rsidR="009B58EA" w:rsidRPr="006B60C9" w:rsidP="009B58EA" w14:paraId="3504DF38" w14:textId="77777777">
      <w:pPr>
        <w:pStyle w:val="NormalHanging12a"/>
      </w:pPr>
      <w:r w:rsidRPr="006B60C9">
        <w:t>10.</w:t>
      </w:r>
      <w:r w:rsidRPr="006B60C9">
        <w:tab/>
        <w:t>salută decizia îndelung așteptată de ridicare a măsurilor UE împotriva Kosovo, inclusiv deblocarea unor contracte și programe prioritare în valoare de 216 milioane EUR în decembrie 2025 și deblocarea la începutul anului 2026 a sumei restante de 205 milioane EUR; consideră că aceste măsuri au fost în contradicție clară cu angajamentul demonstrat al Kosovo față de valorile europene și cu alinierea sa la politicile UE și nu mai erau justificate, având în vedere că au fost îndeplinite toate cerințele necesare; constată impactul negativ pe care l-au avut aceste măsuri asupra societății din Kosovo, în special asupra comunităților locale, organizațiilor societății civile și întreprinderilor mici și mijlocii (IMM-uri); pune sub semnul întrebării lipsa de transparență și de previzibilitate, comunicarea publică insuficientă și durata prelungită a măsurilor, deși Kosovo a respectat cerințele UE;</w:t>
      </w:r>
    </w:p>
    <w:p w:rsidR="009B58EA" w:rsidRPr="006B60C9" w:rsidP="009B58EA" w14:paraId="16F426E3" w14:textId="77777777">
      <w:pPr>
        <w:pStyle w:val="NormalHanging12a"/>
        <w:rPr>
          <w:b/>
          <w:i/>
        </w:rPr>
      </w:pPr>
      <w:r w:rsidRPr="006B60C9">
        <w:rPr>
          <w:b/>
          <w:i/>
        </w:rPr>
        <w:t>Democrația și statul de drept</w:t>
      </w:r>
    </w:p>
    <w:p w:rsidR="009B58EA" w:rsidRPr="006B60C9" w:rsidP="009B58EA" w14:paraId="2F848724" w14:textId="77777777">
      <w:pPr>
        <w:pStyle w:val="NormalHanging12a"/>
      </w:pPr>
      <w:r w:rsidRPr="006B60C9">
        <w:t>11.</w:t>
      </w:r>
      <w:r w:rsidRPr="006B60C9">
        <w:tab/>
        <w:t>salută evaluarea în general pozitivă a desfășurării alegerilor parlamentare și locale din 2025, constatând că acestea s-au desfășurat într-un mod pașnic, competitiv și incluziv într-un cadru electoral revizuit și aliniat la recomandările anterioare ale misiunii UE de observare a alegerilor; felicită autoritățile pentru introducerea unui sistem electronic de votare în Kosovo; observă totuși că s-au identificat deficiențe în desfășurarea alegerilor și îndeamnă autoritățile din Kosovo să țină seama de ele în organizarea viitoarelor alegeri;</w:t>
      </w:r>
    </w:p>
    <w:p w:rsidR="009B58EA" w:rsidRPr="006B60C9" w:rsidP="009B58EA" w14:paraId="0A413E28" w14:textId="77777777">
      <w:pPr>
        <w:pStyle w:val="NormalHanging12a"/>
      </w:pPr>
      <w:r w:rsidRPr="006B60C9">
        <w:t>12.</w:t>
      </w:r>
      <w:r w:rsidRPr="006B60C9">
        <w:tab/>
        <w:t xml:space="preserve">salută participarea sârbilor din Kosovo la alegerile parlamentare și locale din 2025 și faptul că cei patru primari sârbi recent aleși au preluat funcțiile de la predecesorii lor albanezi în localitățile cu majoritate sârbă din nordul Kosovo; își exprimă totuși îngrijorarea cu privire la presiunile exercitate asupra alegătorilor care depind de asistența socială și de locurile de muncă oferite de Serbia pentru a-i vota pe reprezentanții </w:t>
      </w:r>
      <w:r w:rsidRPr="006B60C9">
        <w:t>Srpska</w:t>
      </w:r>
      <w:r w:rsidRPr="006B60C9">
        <w:t xml:space="preserve"> Lista în alegerile parlamentare din februarie 2025;</w:t>
      </w:r>
    </w:p>
    <w:p w:rsidR="009B58EA" w:rsidRPr="006B60C9" w:rsidP="009B58EA" w14:paraId="03FA425A" w14:textId="77777777">
      <w:pPr>
        <w:pStyle w:val="NormalHanging12a"/>
        <w:rPr>
          <w:bCs/>
        </w:rPr>
      </w:pPr>
      <w:r w:rsidRPr="006B60C9">
        <w:t>13.</w:t>
      </w:r>
      <w:r w:rsidRPr="006B60C9">
        <w:tab/>
        <w:t xml:space="preserve">regretă încercările continue de politizare a instituțiilor independente, inclusiv a Comisiei Electorale Centrale, și deficiențele de guvernanță din Comisia independentă pentru mass-media; invită Kosovo să continue alinierea cadrului juridic care reglementează </w:t>
      </w:r>
      <w:r w:rsidRPr="006B60C9">
        <w:t xml:space="preserve">Comisia independentă pentru mass-media la recomandările Consiliului Europei și la standardele UE, astfel încât să consolideze independența procesului de reglementare, securitatea juridică și încrederea publicului în supravegherea mass-mediei; invită autoritățile să asigure numiri bazate pe merit, transparență în procedurile de recrutare și respectarea deplină a acestor instituții; subliniază că instituțiile democratice </w:t>
      </w:r>
      <w:r w:rsidRPr="006B60C9">
        <w:t>reziliente</w:t>
      </w:r>
      <w:r w:rsidRPr="006B60C9">
        <w:t xml:space="preserve"> constituie prima linie de apărare împotriva manipulării mediului informațional, a influenței disimulate și a denaturării dezbaterii publice din motive politice; invită Kosovo să instituie un cadru instituționalizat de reziliență democratică prin care să reunească Adunarea Națională, guvernul, autoritățile de reglementare independente și administrația electorală, cu responsabilități clar definite, evaluări periodice ale riscurilor și raportări publice;</w:t>
      </w:r>
    </w:p>
    <w:p w:rsidR="009B58EA" w:rsidRPr="006B60C9" w:rsidP="009B58EA" w14:paraId="32D0248D" w14:textId="77777777">
      <w:pPr>
        <w:pStyle w:val="NormalHanging12a"/>
      </w:pPr>
      <w:r w:rsidRPr="006B60C9">
        <w:t>14.</w:t>
      </w:r>
      <w:r w:rsidRPr="006B60C9">
        <w:tab/>
        <w:t>apreciază că organizațiile societății civile activează într-un mediu în general favorabil și îndeamnă autoritățile să se asigure că societatea civilă este implicată în mod real, de la început, în pregătirea și punerea în aplicare a reformelor legate de UE; remarcă importanța creșterii responsabilității și transparenței în finanțarea publică a organizațiilor societății civile; reliefează că societatea civilă este esențială în stimularea democrației și a pluralismului și în promovarea bunei guvernanțe și a progresului social;</w:t>
      </w:r>
    </w:p>
    <w:p w:rsidR="009B58EA" w:rsidRPr="006B60C9" w:rsidP="009B58EA" w14:paraId="7617155A" w14:textId="77777777">
      <w:pPr>
        <w:pStyle w:val="NormalHanging12a"/>
        <w:rPr>
          <w:bCs/>
        </w:rPr>
      </w:pPr>
      <w:r w:rsidRPr="006B60C9">
        <w:t>15.</w:t>
      </w:r>
      <w:r w:rsidRPr="006B60C9">
        <w:tab/>
        <w:t>salută autoritățile pentru consultarea Comisiei de la Veneția în legătură cu pachetul de proiecte de lege privind justiția, printre care și Legea privind Consiliul Procurorilor din Kosovo; rămâne preocupat totuși de punerea în aplicare limitată a strategiei privind statul de drept, de demersul inconsecvent în continuarea reformelor din partea guvernului, de componența incompletă a Consiliului Judiciar din Kosovo și de întârzierile în punerea în aplicare a reformelor în domeniul justiției; este îngrijorat că guvernul nu a reușit să adopte actul juridic secundar care să definească structura organizațională și mecanismele de cooperare dintre Unitatea specială de anchetă a Poliției din Kosovo și Parchetul Special; salută progresele înregistrate în numirea noului președinte al Consiliului Procurorilor din Kosovo și așteaptă finalizarea noii componențe după ce Adunarea Națională își reia activitatea; salută recrutarea a 17 noi judecători de către Consiliul Judiciar din Kosovo, într-o procedură transparentă și bazată pe merite, și îl îndeamnă pe președinte să îi numească fără întârziere; îndeamnă Kosovo să ia măsuri decisive pentru a remedia deficiențele și să se asigure că legislația privind integritatea și responsabilitatea sistemului judiciar este aliniată la standardele europene și la recomandările relevante ale Comisiei de la Veneția;</w:t>
      </w:r>
    </w:p>
    <w:p w:rsidR="009B58EA" w:rsidRPr="006B60C9" w:rsidP="009B58EA" w14:paraId="6E9B1F9E" w14:textId="77777777">
      <w:pPr>
        <w:pStyle w:val="NormalHanging12a"/>
      </w:pPr>
      <w:r w:rsidRPr="006B60C9">
        <w:t>16.</w:t>
      </w:r>
      <w:r w:rsidRPr="006B60C9">
        <w:tab/>
        <w:t>salută reducerea de către Kosovo a sarcinii administrative prin punerea în aplicare a programului de prevenire și reducere a sarcinii administrative pentru perioada 2025-2028 și a planului său de acțiune pentru perioada 2025-2026; salută această îmbunătățire și adoptarea amendamentelor la legea privind funcționarii publici și îndeamnă Kosovo să îmbunătățească în continuare administrația publică și sistemul funcției publice bazat pe merit; constată că, deși este în vigoare, cadrul strategic pentru administrația publică nu este pus în aplicare în mod eficient;</w:t>
      </w:r>
    </w:p>
    <w:p w:rsidR="009B58EA" w:rsidRPr="006B60C9" w:rsidP="009B58EA" w14:paraId="5018EF67" w14:textId="77777777">
      <w:pPr>
        <w:pStyle w:val="NormalHanging12a"/>
      </w:pPr>
      <w:r w:rsidRPr="006B60C9">
        <w:t xml:space="preserve">17. </w:t>
      </w:r>
      <w:r w:rsidRPr="006B60C9">
        <w:tab/>
      </w:r>
      <w:bookmarkStart w:id="8" w:name="_Hlk227243576"/>
      <w:r w:rsidRPr="006B60C9">
        <w:t xml:space="preserve">se declară profund preocupat de progresele insuficiente înregistrate în combaterea corupției în general; regretă lipsa unor progrese structurale concrete în acest domeniu, în pofida angajamentelor asumate, și subliniază că corupția rămâne o problemă sistemică care subminează funcționarea instituțiilor publice și erodează încrederea publicului; constată cu preocupare coborârea Kosovo în clasamentul indicelui de percepție a corupției pentru 2025, în care ocupă locul 76 din 182 de țări și teritorii, cu trei locuri mai jos decât în 2024, ceea ce arată un regres îngrijorător față de tendința anterioară de </w:t>
      </w:r>
      <w:r w:rsidRPr="006B60C9">
        <w:t>îmbunătățire treptată, dar Kosovo încă se poziționează înaintea altor țări din regiune; invită autoritățile să adopte și să pună în aplicare fără întârziere măsuri concrete, eficace și verificabile pentru a ameliora prevenirea, cercetarea și urmărirea penală a faptelor de corupție; solicită, în special, adoptarea rapidă a unei strategii naționale de combatere a corupției și a unui plan de acțiune pentru perioada 2025-2028, o folosire mai intensă a declarațiilor de avere și a planurilor de integritate și o aplicare mai eficace a instrumentelor de confiscare în cazurile de corupție; subliniază că este necesar să se consolideze independența și capacitatea operațională a organismelor de luptă împotriva corupției și să se asigure o coordonare eficace între procurori, poliție și unitățile de informații financiare; atrage atenția că nu au fost încă puse în aplicare recomandările anterioare ale Comisiei referitoare la consolidarea capacității Agenției pentru prevenirea corupției și la punerea în aplicare a legislației anticorupție; solicită îmbunătățirea continuă a calității investigațiilor în cazurile de corupție la nivel înalt;</w:t>
      </w:r>
      <w:bookmarkEnd w:id="8"/>
    </w:p>
    <w:p w:rsidR="009B58EA" w:rsidRPr="006B60C9" w:rsidP="009B58EA" w14:paraId="67A517C2" w14:textId="77777777">
      <w:pPr>
        <w:pStyle w:val="NormalHanging12a"/>
      </w:pPr>
      <w:r w:rsidRPr="006B60C9">
        <w:t>18.</w:t>
      </w:r>
      <w:r w:rsidRPr="006B60C9">
        <w:tab/>
        <w:t>este îngrijorat că s-au înregistrat progrese limitate în lupta împotriva criminalității organizate; solicită adoptarea rapidă a unei strategii naționale și a unui plan de acțiune împotriva criminalității organizate; subliniază că este important să se combată rețelele infracționale, consolidând cooperarea internațională prin schimburi de informații și consolidând colaborarea dintre autoritățile de aplicare a legii și cele de urmărire penală; invită țările vecine Kosovo să permită Kosovo să participe la cooperarea internațională la toate nivelurile pentru a spori la maximum impactul combaterii criminalității organizate; evidențiază că trebuie consolidată cooperarea în combaterea traficului de droguri; cere o aliniere și mai mare la combaterea terorismului;</w:t>
      </w:r>
    </w:p>
    <w:p w:rsidR="009B58EA" w:rsidRPr="006B60C9" w:rsidP="009B58EA" w14:paraId="438D6968" w14:textId="77777777">
      <w:pPr>
        <w:pStyle w:val="NormalHanging12a"/>
      </w:pPr>
      <w:r w:rsidRPr="006B60C9">
        <w:t>19.</w:t>
      </w:r>
      <w:r w:rsidRPr="006B60C9">
        <w:tab/>
        <w:t>remarcă eforturile constante ale EULEX în sprijinirea autorităților din Kosovo pentru crearea unor instituții sustenabile și independente în domeniul statului de drept; ia act de provocările persistente, inclusiv de competențele limitate de asigurare a respectării legislației, care au limitat impactul activității sale; solicită să fie reevaluate constant valoarea adăugată, sfera de aplicare și obiectivele strategice ale misiunii pentru a-i asigura relevanța și eficiența;</w:t>
      </w:r>
    </w:p>
    <w:p w:rsidR="009B58EA" w:rsidRPr="006B60C9" w:rsidP="009B58EA" w14:paraId="2311A542" w14:textId="77777777">
      <w:pPr>
        <w:pStyle w:val="NormalHanging12a"/>
      </w:pPr>
      <w:r w:rsidRPr="006B60C9">
        <w:t>20.</w:t>
      </w:r>
      <w:r w:rsidRPr="006B60C9">
        <w:tab/>
        <w:t>își exprimă îngrijorarea cu privire la cazurile raportate de folosire excesivă a forței și de abateri comise de unii ofițeri ai poliției din Kosovo în regiunea de nord; invită poliția din Kosovo să se asigure că personalul său respectă pe deplin toate cerințele privind statul de drept și drepturile omului; reamintește că toți reprezentanții politici și întreaga populație din Kosovo au responsabilitatea comună de a menține pacea și statul de drept;</w:t>
      </w:r>
    </w:p>
    <w:p w:rsidR="009B58EA" w:rsidRPr="006B60C9" w:rsidP="009B58EA" w14:paraId="76FD8CB8" w14:textId="77777777">
      <w:pPr>
        <w:pStyle w:val="NormalHanging12a"/>
        <w:rPr>
          <w:b/>
          <w:i/>
        </w:rPr>
      </w:pPr>
      <w:r w:rsidRPr="006B60C9">
        <w:rPr>
          <w:b/>
          <w:i/>
        </w:rPr>
        <w:t>Libertățile fundamentale și drepturile omului</w:t>
      </w:r>
    </w:p>
    <w:p w:rsidR="009B58EA" w:rsidRPr="006B60C9" w:rsidP="009B58EA" w14:paraId="780C7470" w14:textId="77777777">
      <w:pPr>
        <w:pStyle w:val="NormalHanging12a"/>
        <w:rPr>
          <w:bCs/>
        </w:rPr>
      </w:pPr>
      <w:r w:rsidRPr="006B60C9">
        <w:t>21.</w:t>
      </w:r>
      <w:r w:rsidRPr="006B60C9">
        <w:tab/>
        <w:t>constată că, deși, în linii mari, este instituit cadrul juridic și instituțional în domeniul drepturilor omului, implementarea sa rămâne insuficientă;</w:t>
      </w:r>
      <w:r w:rsidRPr="006B60C9">
        <w:rPr>
          <w:i/>
        </w:rPr>
        <w:t xml:space="preserve"> </w:t>
      </w:r>
      <w:r w:rsidRPr="006B60C9">
        <w:t xml:space="preserve">salută adoptarea strategiei pentru protecția și promovarea drepturilor comunităților; salută punerea în aplicare de către Kosovo a hotărârii Curții Constituționale privind dreptul de proprietate asupra terenurilor Mănăstirii </w:t>
      </w:r>
      <w:r w:rsidRPr="006B60C9">
        <w:t>Dečani</w:t>
      </w:r>
      <w:r w:rsidRPr="006B60C9">
        <w:t>; invită Kosovo să investească mai mult în implementarea mai eficace a cadrului drepturilor omului;</w:t>
      </w:r>
    </w:p>
    <w:p w:rsidR="009B58EA" w:rsidRPr="006B60C9" w:rsidP="009B58EA" w14:paraId="10DBE7CC" w14:textId="77777777">
      <w:pPr>
        <w:pStyle w:val="NormalHanging12a"/>
      </w:pPr>
      <w:r w:rsidRPr="006B60C9">
        <w:t>22.</w:t>
      </w:r>
      <w:r w:rsidRPr="006B60C9">
        <w:tab/>
        <w:t xml:space="preserve">recunoaște că Constituția Kosovo este foarte progresistă în ceea ce privește drepturile minorităților; relevă cu regret, în acest sens, că petiția semnată de aproape 500 de persoane care, din perspectivă istorică, s-au identificat ca bulgari, înregistrată la Adunarea Națională din Kosovo în ianuarie 2023, nu a fost încă examinată și recomandă ca drepturile acestor persoane să fie consacrate prin lege pentru a proteja </w:t>
      </w:r>
      <w:r w:rsidRPr="006B60C9">
        <w:t>identitatea istorică, culturală și politică a minorității bulgare; invită Kosovo să se asigure că toate minoritățile recunoscute în temeiul legii privind protecția și promovarea drepturilor comunităților și ale membrilor acestora sunt pe deplin incluse în constituția țării;</w:t>
      </w:r>
    </w:p>
    <w:p w:rsidR="009B58EA" w:rsidRPr="006B60C9" w:rsidP="009B58EA" w14:paraId="5F58415E" w14:textId="77777777">
      <w:pPr>
        <w:pStyle w:val="NormalHanging12a"/>
      </w:pPr>
      <w:r w:rsidRPr="006B60C9">
        <w:t>23.</w:t>
      </w:r>
      <w:r w:rsidRPr="006B60C9">
        <w:tab/>
        <w:t>constată că sistemul penitenciar din Kosovo se aliniază, în linii mari, la standardele minime ale ONU și ale Consiliului Europei; solicită o mai bună protecție a drepturilor deținuților, în special a femeilor, a deținuților care aparțin unei minorități și a deținuților cu probleme de sănătate mintală;</w:t>
      </w:r>
    </w:p>
    <w:p w:rsidR="009B58EA" w:rsidRPr="006B60C9" w:rsidP="009B58EA" w14:paraId="57D09F32" w14:textId="77777777">
      <w:pPr>
        <w:pStyle w:val="NormalHanging12a"/>
        <w:rPr>
          <w:bCs/>
        </w:rPr>
      </w:pPr>
      <w:r w:rsidRPr="006B60C9">
        <w:t>24.</w:t>
      </w:r>
      <w:r w:rsidRPr="006B60C9">
        <w:tab/>
      </w:r>
      <w:bookmarkStart w:id="9" w:name="_Hlk227248502"/>
      <w:r w:rsidRPr="006B60C9">
        <w:t>subliniază că trebuie consolidată punerea în aplicare a legislației care protejează drepturile grupurilor vulnerabile și ale persoanelor care aparțin comunităților minoritare, în special în ceea ce privește reprezentarea acestora în instituțiile publice și folosirea limbilor, inclusiv prin asigurarea accesului egal și efectiv la educația de stat în limba lor maternă, precum și a accesului la asistență medicală și la servicii publice, respectarea drepturilor lingvistice și a dreptului de proprietate, reprezentarea adecvată în administrația centrală și locală și protecția patrimoniului religios, tradițional și cultural material și imaterial; solicită Kosovo să își intensifice eforturile pentru a asigura grupurilor minoritare șanse egale și o reprezentare adecvată în viața politică și culturală, în mass-media publică, în administrație și în sistemul judiciar; solicită ca minoritățile religioase să fie protejate în Kosovo și să se asigure accesul la lăcașurile de cult</w:t>
      </w:r>
      <w:bookmarkEnd w:id="9"/>
      <w:r w:rsidRPr="006B60C9">
        <w:t>;</w:t>
      </w:r>
    </w:p>
    <w:p w:rsidR="009B58EA" w:rsidRPr="006B60C9" w:rsidP="009B58EA" w14:paraId="79781827" w14:textId="77777777">
      <w:pPr>
        <w:pStyle w:val="NormalHanging12a"/>
      </w:pPr>
      <w:r w:rsidRPr="006B60C9">
        <w:t>25.</w:t>
      </w:r>
      <w:r w:rsidRPr="006B60C9">
        <w:tab/>
        <w:t xml:space="preserve">regretă că femeile din grupurile minoritare, în special din comunitățile rome, </w:t>
      </w:r>
      <w:r w:rsidRPr="006B60C9">
        <w:t>așkali</w:t>
      </w:r>
      <w:r w:rsidRPr="006B60C9">
        <w:t xml:space="preserve"> și egiptene, se confruntă cu numeroase forme de discriminare, în special în ceea ce privește educația, ocuparea forței de muncă și accesul la asistență medicală; își exprimă îngrijorarea că în administrația din Kosovo nu sunt reprezentate în mod corespunzător comunitățile minoritare și că numărul femeilor în funcții de conducere se menține scăzut;</w:t>
      </w:r>
    </w:p>
    <w:p w:rsidR="009B58EA" w:rsidRPr="006B60C9" w:rsidP="009B58EA" w14:paraId="0F438BF4" w14:textId="77777777">
      <w:pPr>
        <w:pStyle w:val="NormalHanging12a"/>
      </w:pPr>
      <w:r w:rsidRPr="006B60C9">
        <w:t>26.</w:t>
      </w:r>
      <w:r w:rsidRPr="006B60C9">
        <w:tab/>
        <w:t>invită Kosovo să consolideze punerea în aplicare a mecanismelor existente care protejează drepturile comunităților nemajoritare, ale comunităților religioase și ale comunității LGBTIQ+ prin finalizarea noului Cod civil, care încă nu a fost adoptat; rămâne preocupat de persistența limbajului discriminatoriu la adresa femeilor și a persoanelor LGBTIQ+;</w:t>
      </w:r>
    </w:p>
    <w:p w:rsidR="009B58EA" w:rsidRPr="006B60C9" w:rsidP="009B58EA" w14:paraId="2D5CC5D1" w14:textId="77777777">
      <w:pPr>
        <w:pStyle w:val="NormalHanging12a"/>
      </w:pPr>
      <w:r w:rsidRPr="006B60C9">
        <w:t>27.</w:t>
      </w:r>
      <w:r w:rsidRPr="006B60C9">
        <w:tab/>
        <w:t>reliefează necesitatea de a consolida egalitatea de gen și drepturile femeilor în Kosovo; constată că, în linii mari, s-a stabilit cadrul juridic și instituțional privind egalitatea de gen și combaterea violenței pe criterii de gen; salută creșterea finanțării pentru serviciile de sprijin specializate, inclusiv adăposturile pentru victimele violenței de gen, baza de date pe deplin funcțională care înregistrează cazurile de violență domestică și eforturile de sensibilizare în curs; este preocupat totuși că persistă violența de gen și că punerea în aplicare și asigurarea respectării legislației rămân insuficiente, în special având în vedere că femeile, în special cele din comunitățile minoritare, se confruntă în continuare cu forme multiple de discriminare;</w:t>
      </w:r>
    </w:p>
    <w:p w:rsidR="009B58EA" w:rsidRPr="006B60C9" w:rsidP="009B58EA" w14:paraId="5B1DA2EA" w14:textId="77777777">
      <w:pPr>
        <w:pStyle w:val="NormalHanging12a"/>
      </w:pPr>
      <w:r w:rsidRPr="006B60C9">
        <w:t>28.</w:t>
      </w:r>
      <w:r w:rsidRPr="006B60C9">
        <w:tab/>
        <w:t>își reiterează apelul adresat autorităților de a îmbunătăți dialogul intern și de a colabora sincer și direct cu organizațiile independente ale societății civile ale sârbilor din Kosovo, în special din regiunea de nord, pentru a consolida încrederea, a îmbunătăți viața de zi cu zi a sârbilor din Kosovo și a-i integra cu succes;</w:t>
      </w:r>
    </w:p>
    <w:p w:rsidR="009B58EA" w:rsidRPr="006B60C9" w:rsidP="009B58EA" w14:paraId="61E1C27C" w14:textId="4EDB10F9">
      <w:pPr>
        <w:pStyle w:val="NormalHanging12a"/>
      </w:pPr>
      <w:r w:rsidRPr="006B60C9">
        <w:t>29.</w:t>
      </w:r>
      <w:r w:rsidRPr="006B60C9">
        <w:tab/>
        <w:t xml:space="preserve">felicită guvernul pentru aprobarea strategiei privind drepturile persoanelor cu dizabilități </w:t>
      </w:r>
      <w:r w:rsidRPr="006B60C9">
        <w:t>2025-2030 și a planului său de acțiune pentru perioada 2025-2027; regretă însă că Convenția ONU privind drepturile persoanelor cu dizabilități nu a fost încă adoptată în Kosovo; este preocupat că Kosovo nu s-a aliniat suficient la acquis-</w:t>
      </w:r>
      <w:r w:rsidRPr="006B60C9">
        <w:t>ul</w:t>
      </w:r>
      <w:r w:rsidRPr="006B60C9">
        <w:t xml:space="preserve"> UE în domeniu și că persoanele cu dizabilități, inclusiv copiii, se confruntă cu discriminare și bariere în calea accesului la educație, asistență medicală și servicii sociale; invită autoritățile să consolideze protecția drepturilor acestora și să adopte proiectul de lege privind recunoașterea statutului, serviciile și prestațiile;</w:t>
      </w:r>
      <w:bookmarkEnd w:id="7"/>
    </w:p>
    <w:p w:rsidR="009B58EA" w:rsidRPr="006B60C9" w:rsidP="009B58EA" w14:paraId="2CEEF57A" w14:textId="77777777">
      <w:pPr>
        <w:pStyle w:val="NormalHanging12a"/>
        <w:rPr>
          <w:bCs/>
        </w:rPr>
      </w:pPr>
      <w:r w:rsidRPr="006B60C9">
        <w:t>30.</w:t>
      </w:r>
      <w:r w:rsidRPr="006B60C9">
        <w:tab/>
        <w:t xml:space="preserve">subliniază importanța protejării patrimoniului multicultural al Kosovo, inclusiv a patrimoniului comunității croate, sprijinind în același timp dezvoltarea locală durabilă și implicarea comunităților; salută proiectul finanțat de UE și pus în aplicare de Programul Organizației Națiunilor Unite pentru Dezvoltare, care vizează conservarea și revitalizarea patrimoniului cultural al localității </w:t>
      </w:r>
      <w:r w:rsidRPr="006B60C9">
        <w:t>Janjevo</w:t>
      </w:r>
      <w:r w:rsidRPr="006B60C9">
        <w:t>;</w:t>
      </w:r>
    </w:p>
    <w:p w:rsidR="009B58EA" w:rsidRPr="006B60C9" w:rsidP="009B58EA" w14:paraId="664C0868" w14:textId="77777777">
      <w:pPr>
        <w:pStyle w:val="NormalHanging12a"/>
        <w:rPr>
          <w:bCs/>
        </w:rPr>
      </w:pPr>
      <w:r w:rsidRPr="006B60C9">
        <w:t>31.</w:t>
      </w:r>
      <w:r w:rsidRPr="006B60C9">
        <w:tab/>
        <w:t>regretă că noul proiect de lege privind manualele școlare nu a fost încă adoptat de Adunarea Națională din Kosovo; își exprimă îngrijorarea cu privire la întârzierile înregistrate în punerea în aplicare a strategiei Kosovo în domeniul educației pentru perioada 2022-2026 și la reducerea în continuare a finanțării învățământului public de bază; invită Kosovo să finalizeze adoptarea proiectului de lege privind manualele școlare, să încheie revizuirea manualelor actuale și să asigure formarea durabilă și sistematică a cadrelor didactice;</w:t>
      </w:r>
    </w:p>
    <w:p w:rsidR="009B58EA" w:rsidRPr="006B60C9" w:rsidP="009B58EA" w14:paraId="0DEB7BBD" w14:textId="77777777">
      <w:pPr>
        <w:pStyle w:val="NormalHanging12a"/>
        <w:rPr>
          <w:rFonts w:eastAsiaTheme="minorHAnsi"/>
          <w:kern w:val="2"/>
          <w:szCs w:val="24"/>
          <w14:ligatures w14:val="standardContextual"/>
        </w:rPr>
      </w:pPr>
      <w:r w:rsidRPr="006B60C9">
        <w:t>32.</w:t>
      </w:r>
      <w:r w:rsidRPr="006B60C9">
        <w:tab/>
        <w:t>ia act de caracterul pluralist al peisajului mediatic din Kosovo, dar subliniază că acesta rămâne fragil și expus la diverse presiuni; regretă profund lipsa progreselor în ceea ce privește garantarea libertății de exprimare și protecția efectivă a jurnaliștilor; regretă că Kosovo a coborât 24 de poziții în clasamentul mondial al libertății presei pentru 2025 în ceea ce privește libertatea mass-mediei, ajungând pe locul 99, ceea ce constituie un regres semnificativ și îngrijorător; evidențiază că libertatea presei este o valoare fundamentală a Uniunii Europene și că Kosovo trebuie să ia măsuri mai eficace decât cele adoptate în prezent pentru a o proteja;</w:t>
      </w:r>
    </w:p>
    <w:p w:rsidR="009B58EA" w:rsidRPr="006B60C9" w:rsidP="009B58EA" w14:paraId="1DF6C21A" w14:textId="77777777">
      <w:pPr>
        <w:pStyle w:val="NormalHanging12a"/>
      </w:pPr>
      <w:r w:rsidRPr="006B60C9">
        <w:t>33.</w:t>
      </w:r>
      <w:r w:rsidRPr="006B60C9">
        <w:tab/>
        <w:t>își reiterează profunda îngrijorare cu privire la deteriorarea mediului mediatic și a climatului în care își desfășoară activitatea profesioniștii din domeniul informației, în special cu privire la atacurile și amenințările îndreptate împotriva jurnaliștilor și a lucrătorilor din mass-media, inclusiv utilizarea unui limbaj ofensator la adresa mass-mediei de către înalți funcționari din Kosovo în timpul campaniei electorale; regretă că proiectul de lege privind protecția surselor jurnalistice nu a fost încă adoptat, ceea ce îi privează pe jurnaliști de o protecție juridică adecvată; subliniază că trebuie să existe toleranță zero față de atacurile fizice împotriva jurnaliștilor și solicită intensificarea investigării și a urmăririi penale a tuturor amenințărilor la adresa personalului din mass-media, precum și alinierea legislației legate de mass-media la acquis-</w:t>
      </w:r>
      <w:r w:rsidRPr="006B60C9">
        <w:t>ul</w:t>
      </w:r>
      <w:r w:rsidRPr="006B60C9">
        <w:t xml:space="preserve"> UE, în special la </w:t>
      </w:r>
      <w:r w:rsidRPr="006B60C9">
        <w:t>Regulamentul european privind libertatea mass-mediei</w:t>
      </w:r>
      <w:r>
        <w:rPr>
          <w:rStyle w:val="FootnoteReference"/>
        </w:rPr>
        <w:footnoteReference w:id="8"/>
      </w:r>
      <w:r w:rsidRPr="006B60C9">
        <w:t xml:space="preserve"> și la Directiva UE anti-SLAPP</w:t>
      </w:r>
      <w:r>
        <w:rPr>
          <w:rStyle w:val="FootnoteReference"/>
        </w:rPr>
        <w:footnoteReference w:id="9"/>
      </w:r>
      <w:r w:rsidRPr="006B60C9">
        <w:t>, precum și la alte obligații internaționale relevante în domeniul drepturilor omului; invită, în acest sens, autoritățile să adopte măsuri imediate și concrete pentru a garanta independența mass-mediei, a combate intimidările și a asigura un cadru propice unui jurnalism liber și pluralist;</w:t>
      </w:r>
    </w:p>
    <w:p w:rsidR="009B58EA" w:rsidRPr="006B60C9" w:rsidP="009B58EA" w14:paraId="1E811B04" w14:textId="77777777">
      <w:pPr>
        <w:pStyle w:val="NormalHanging12a"/>
      </w:pPr>
      <w:r w:rsidRPr="006B60C9">
        <w:t>34.</w:t>
      </w:r>
      <w:r w:rsidRPr="006B60C9">
        <w:tab/>
        <w:t>își exprimă profunda îngrijorare cu privire la informațiile referitoare la presiunile exercitate asupra jurnaliștilor de către actori politici și grupuri infracționale organizate, care au dus la cazuri de autocenzură; constată că este posibil ca jurnaliștii să se abțină să realizeze reportaje de investigație critice din cauza temerilor legate de siguranța lor fizică sau de siguranța locului de muncă; subliniază, de asemenea, informațiile conform cărora este posibil ca autoritățile publice să retragă publicitatea de pe canalele mass-media care publică conținut critic, exercitând astfel presiuni economice indirecte;</w:t>
      </w:r>
    </w:p>
    <w:p w:rsidR="009B58EA" w:rsidRPr="006B60C9" w:rsidP="009B58EA" w14:paraId="59F62B70" w14:textId="77777777">
      <w:pPr>
        <w:pStyle w:val="NormalHanging12a"/>
        <w:rPr>
          <w:rFonts w:ascii="Europea" w:hAnsi="Europea"/>
          <w:bCs/>
        </w:rPr>
      </w:pPr>
      <w:bookmarkStart w:id="10" w:name="_Hlk231922376"/>
      <w:r w:rsidRPr="006B60C9">
        <w:t>35.</w:t>
      </w:r>
      <w:r w:rsidRPr="006B60C9">
        <w:rPr>
          <w:i/>
        </w:rPr>
        <w:tab/>
      </w:r>
      <w:r w:rsidRPr="006B60C9">
        <w:t xml:space="preserve">își exprimă îngrijorarea că proiectul de lege privind Radioteleviziunea din Kosovo (RTK), organismul public de radiodifuziune al Kosovo, nu a fost încă adoptat și, în consecință, solicită adoptarea sa rapidă; </w:t>
      </w:r>
      <w:bookmarkEnd w:id="10"/>
      <w:r w:rsidRPr="006B60C9">
        <w:t>subliniază necesitatea de a asigura finanțarea sustenabilă și independența organismului public de radiodifuziune; regretă că funcția de director general al RTK este vacantă din septembrie 2024 și că Consiliul de administrație al RTK nu mai are cvorum din decembrie 2024, organismul public de radiodifuziune fiind, în fapt, nefuncțional și incapabil să își îndeplinească rolul; solicită o supraveghere echilibrată, reprezentativă și independentă din punct de vedere politic a RTK; solicită autorităților din Kosovo să numească membrii Consiliului de administrație al RTK și directorul general al RTK printr-un proces transparent și bazat pe merit, asigurând astfel funcționarea eficace a serviciului public de radiodifuziune din Kosovo; subliniază că orice reformă a organismului public de radiodifuziune trebuie să protejeze independența editorială, să evite influența politică și să asigure finanțarea durabilă și transparentă;</w:t>
      </w:r>
    </w:p>
    <w:p w:rsidR="009B58EA" w:rsidRPr="006B60C9" w:rsidP="009B58EA" w14:paraId="53ED505D" w14:textId="77777777">
      <w:pPr>
        <w:pStyle w:val="NormalHanging12a"/>
        <w:rPr>
          <w:bCs/>
        </w:rPr>
      </w:pPr>
      <w:r w:rsidRPr="006B60C9">
        <w:t>36.</w:t>
      </w:r>
      <w:r w:rsidRPr="006B60C9">
        <w:tab/>
        <w:t>constată cu îngrijorare că Raportul din 2025 privind traficul de persoane subliniază că autoritățile competente din Kosovo nu au îndeplinit pe deplin standardele minime pentru eliminarea traficului de ființe umane, în pofida eforturilor sporite depuse, inclusiv a îmbunătățirii ratelor de urmărire penală și a consolidării sprijinului acordat victimelor;</w:t>
      </w:r>
    </w:p>
    <w:p w:rsidR="009B58EA" w:rsidRPr="006B60C9" w:rsidP="009B58EA" w14:paraId="5230D01C" w14:textId="77777777">
      <w:pPr>
        <w:pStyle w:val="NormalHanging12a"/>
        <w:rPr>
          <w:i/>
        </w:rPr>
      </w:pPr>
      <w:r w:rsidRPr="006B60C9">
        <w:t>37.</w:t>
      </w:r>
      <w:r w:rsidRPr="006B60C9">
        <w:tab/>
        <w:t xml:space="preserve">își exprimă îngrijorarea cu privire la intensificarea dezinformării răspândite de actori străini în țările din regiune, inclusiv privind tensiunile interetnice, în special de surse legate de statul rus și de cel sârb și mai ales în perioadele electorale, contribuind astfel și mai mult la polarizarea politică; rămâne profund îngrijorat de ingerințele străine dăunătoare, de eforturile de destabilizare și de amenințările hibride, inclusiv </w:t>
      </w:r>
      <w:r w:rsidRPr="006B60C9">
        <w:t>dezinformarea generată de inteligența artificială și campaniile online coordonate, menite să influențeze procesele politice și opinia publică; solicită consolidarea răspunsului instituțional și îmbunătățirea educației în domeniul mass-mediei, inclusiv prin consolidarea formării cadrelor didactice, utilizarea unor resurse educaționale moderne și intensificarea cooperării cu mass-media independentă, cu organizațiile de verificare a informațiilor și cu programele relevante ale UE, cu scopul de a promova gândirea critică și implicarea digitală responsabilă; invită Kosovo și pe partenerii săi regionali să rămână uniți și să consolideze în continuare cooperarea regională, precum și cooperarea europeană cu Kosovo, în ceea ce privește combaterea amenințărilor externe, a dezinformării, a ingerințelor străine și a amenințărilor cibernetice și hibride care urmăresc să submineze perspectiva europeană a țării și a regiunii;</w:t>
      </w:r>
    </w:p>
    <w:p w:rsidR="009B58EA" w:rsidRPr="006B60C9" w:rsidP="009B58EA" w14:paraId="35AC9139" w14:textId="77777777">
      <w:pPr>
        <w:pStyle w:val="NormalHanging12a"/>
        <w:rPr>
          <w:bCs/>
        </w:rPr>
      </w:pPr>
      <w:r w:rsidRPr="006B60C9">
        <w:t>38.</w:t>
      </w:r>
      <w:r w:rsidRPr="006B60C9">
        <w:tab/>
        <w:t>felicită Kosovo pentru implicarea sa activă într-o serie de inițiative de cooperare regională, precum Acordul central european de comerț liber, Comunitatea Energiei, Comunitatea transporturilor, Procesul de Cooperare în Europa de Sud-Est și Consiliul de Cooperare Regională;</w:t>
      </w:r>
    </w:p>
    <w:p w:rsidR="009B58EA" w:rsidRPr="006B60C9" w:rsidP="009B58EA" w14:paraId="384C0363" w14:textId="77777777">
      <w:pPr>
        <w:pStyle w:val="NormalHanging12a"/>
      </w:pPr>
      <w:r w:rsidRPr="006B60C9">
        <w:t>39.</w:t>
      </w:r>
      <w:r w:rsidRPr="006B60C9">
        <w:tab/>
        <w:t>felicită autoritățile din Kosovo pentru implementarea cu succes a foii de parcurs pentru o soluție durabilă la posesia ilegală, utilizarea abuzivă și traficul de arme de calibru mic și armament ușor și explozivi; salută nivelul ridicat de respectare a normelor prevăzute în Protocolul ONU privind armele de foc;</w:t>
      </w:r>
    </w:p>
    <w:p w:rsidR="009B58EA" w:rsidRPr="006B60C9" w:rsidP="009B58EA" w14:paraId="572AB1F9" w14:textId="77777777">
      <w:pPr>
        <w:pStyle w:val="NormalHanging12a"/>
        <w:rPr>
          <w:b/>
        </w:rPr>
      </w:pPr>
      <w:r w:rsidRPr="006B60C9">
        <w:rPr>
          <w:b/>
          <w:i/>
        </w:rPr>
        <w:t>Reconcilierea și relațiile de bună vecinătate</w:t>
      </w:r>
    </w:p>
    <w:p w:rsidR="009B58EA" w:rsidRPr="006B60C9" w:rsidP="009B58EA" w14:paraId="1BFA8277" w14:textId="77777777">
      <w:pPr>
        <w:pStyle w:val="NormalHanging12a"/>
      </w:pPr>
      <w:r w:rsidRPr="006B60C9">
        <w:t>40.</w:t>
      </w:r>
      <w:r w:rsidRPr="006B60C9">
        <w:tab/>
        <w:t>reamintește că normalizarea relațiilor cu Serbia și punerea în aplicare a tuturor acordurilor încheiate în cadrul dialogului Belgrad-</w:t>
      </w:r>
      <w:r w:rsidRPr="006B60C9">
        <w:t>Priștina</w:t>
      </w:r>
      <w:r w:rsidRPr="006B60C9">
        <w:t xml:space="preserve"> rămân parte integrantă și constituie o componentă fundamentală și necesară a perspectivei europene a Kosovo; subliniază că progresele concrete, durabile și verificabile în acest domeniu sunt indispensabile pentru a consolida stabilitatea regională și pentru a promova orice perspectivă europeană a țării; insistă că standardizarea nu poate fi considerată o chestiune secundară, ci trebuie să rămână o prioritate politică absolută; subliniază importanța consolidării în continuare a eforturilor UE de facilitare a dialogului între părți în vederea depășirii impasului actual;</w:t>
      </w:r>
    </w:p>
    <w:p w:rsidR="009B58EA" w:rsidRPr="006B60C9" w:rsidP="009B58EA" w14:paraId="746BBD02" w14:textId="77777777">
      <w:pPr>
        <w:pStyle w:val="NormalHanging12a"/>
      </w:pPr>
      <w:r w:rsidRPr="006B60C9">
        <w:t>41.</w:t>
      </w:r>
      <w:r w:rsidRPr="006B60C9">
        <w:tab/>
        <w:t xml:space="preserve">își reiterează sprijinul deplin pentru dialogul facilitat de UE și salută prelungirea mandatului lui Peter </w:t>
      </w:r>
      <w:r w:rsidRPr="006B60C9">
        <w:t>Sørensen</w:t>
      </w:r>
      <w:r w:rsidRPr="006B60C9">
        <w:t xml:space="preserve"> în calitate de reprezentant special al UE pentru dialogul Belgrad-</w:t>
      </w:r>
      <w:r w:rsidRPr="006B60C9">
        <w:t>Priștina</w:t>
      </w:r>
      <w:r w:rsidRPr="006B60C9">
        <w:t xml:space="preserve"> până la 29 februarie 2028;</w:t>
      </w:r>
    </w:p>
    <w:p w:rsidR="009B58EA" w:rsidRPr="006B60C9" w:rsidP="009B58EA" w14:paraId="643EF541" w14:textId="77777777">
      <w:pPr>
        <w:pStyle w:val="NormalHanging12a"/>
      </w:pPr>
      <w:r w:rsidRPr="006B60C9">
        <w:t>42.</w:t>
      </w:r>
      <w:r w:rsidRPr="006B60C9">
        <w:tab/>
        <w:t>solicită din nou îmbunătățirea calității procesului de dialog prin participarea femeilor, creșterea transparenței față de public și implicarea semnificativă a societății civile;</w:t>
      </w:r>
    </w:p>
    <w:p w:rsidR="009B58EA" w:rsidRPr="006B60C9" w:rsidP="009B58EA" w14:paraId="5E539E72" w14:textId="77777777">
      <w:pPr>
        <w:pStyle w:val="NormalHanging12a"/>
        <w:rPr>
          <w:rFonts w:eastAsiaTheme="minorHAnsi"/>
        </w:rPr>
      </w:pPr>
      <w:r w:rsidRPr="006B60C9">
        <w:t>43.</w:t>
      </w:r>
      <w:r w:rsidRPr="006B60C9">
        <w:tab/>
        <w:t xml:space="preserve">reiterează importanța unei implicări constructive a autorităților din Kosovo și din Serbia pentru a înregistra progrese în punerea în aplicare a Acordului privind calea spre normalizarea relațiilor și a anexei la acesta privind punerea în aplicare, care rămâne valabil și obligatoriu din punct de vedere juridic pentru ambele părți; invită atât Kosovo, cât și Serbia să pună pe deplin în aplicare acordurile de la Bruxelles și de la </w:t>
      </w:r>
      <w:r w:rsidRPr="006B60C9">
        <w:t>Ohrid</w:t>
      </w:r>
      <w:r w:rsidRPr="006B60C9">
        <w:t>, inclusiv prin crearea asociației/comunității municipalităților cu majoritate sârbă, și solicită Serbiei să ridice opoziția sa față de aderarea Kosovo la organizații regionale și internaționale și să evite acțiunile unilaterale care ar putea submina procesul de dialog;</w:t>
      </w:r>
    </w:p>
    <w:p w:rsidR="009B58EA" w:rsidRPr="006B60C9" w:rsidP="009B58EA" w14:paraId="48F26177" w14:textId="77777777">
      <w:pPr>
        <w:pStyle w:val="NormalHanging12a"/>
      </w:pPr>
      <w:r w:rsidRPr="006B60C9">
        <w:t>44.</w:t>
      </w:r>
      <w:r w:rsidRPr="006B60C9">
        <w:tab/>
        <w:t xml:space="preserve">salută acordul încheiat la 14 martie 2026 privind punerea în aplicare a legislației </w:t>
      </w:r>
      <w:r w:rsidRPr="006B60C9">
        <w:t xml:space="preserve">Kosovo referitoare la străini, care introduce măsuri de atenuare pentru membrii comunității sârbe; constată că această înțelegere contribuie la asigurarea în continuare a accesului la servicii publice și evită riscul unei excluderi de facto a sârbilor din Kosovo; subliniază că astfel de soluții contribuie la consolidarea încrederii și reprezintă un pas pozitiv către normalizarea relațiilor dintre Belgrad și </w:t>
      </w:r>
      <w:r w:rsidRPr="006B60C9">
        <w:t>Priștina</w:t>
      </w:r>
      <w:r w:rsidRPr="006B60C9">
        <w:t xml:space="preserve"> și promovarea relațiilor de bună vecinătate;</w:t>
      </w:r>
    </w:p>
    <w:p w:rsidR="009B58EA" w:rsidRPr="006B60C9" w:rsidP="009B58EA" w14:paraId="1591FB35" w14:textId="77777777">
      <w:pPr>
        <w:pStyle w:val="NormalHanging12a"/>
      </w:pPr>
      <w:r w:rsidRPr="006B60C9">
        <w:t>45.</w:t>
      </w:r>
      <w:r w:rsidRPr="006B60C9">
        <w:tab/>
        <w:t>Ia act de închiderea, în mod necoordonat, a zeci de instituții sprijinite de Serbia în nordul Kosovo;</w:t>
      </w:r>
    </w:p>
    <w:p w:rsidR="009B58EA" w:rsidRPr="006B60C9" w:rsidP="009B58EA" w14:paraId="1C5EE617" w14:textId="77777777">
      <w:pPr>
        <w:pStyle w:val="NormalHanging12a"/>
      </w:pPr>
      <w:r w:rsidRPr="006B60C9">
        <w:t>46.</w:t>
      </w:r>
      <w:r w:rsidRPr="006B60C9">
        <w:tab/>
        <w:t xml:space="preserve">se așteaptă din partea Serbiei să coopereze pe deplin cu Kosovo pentru a-i aduce în sfârșit în fața justiției pe autorii atacului terorist de la </w:t>
      </w:r>
      <w:r w:rsidRPr="006B60C9">
        <w:t>Banjska</w:t>
      </w:r>
      <w:r w:rsidRPr="006B60C9">
        <w:t xml:space="preserve"> din 2023; condamnă faptul că Serbia încă nu i-a urmărit penal pe autori, în special pe Milan </w:t>
      </w:r>
      <w:r w:rsidRPr="006B60C9">
        <w:t>Radoičić</w:t>
      </w:r>
      <w:r w:rsidRPr="006B60C9">
        <w:t xml:space="preserve">, fostul vicepreședinte al </w:t>
      </w:r>
      <w:r w:rsidRPr="006B60C9">
        <w:t>Srpska</w:t>
      </w:r>
      <w:r w:rsidRPr="006B60C9">
        <w:t xml:space="preserve"> Lista; reiterează că toate persoanele responsabile de acte de violență trebuie trase la răspundere și aduse în fața justiției fără întârziere, în conformitate cu statul de drept și cu respectarea garanțiilor procedurale; condamnă ferm atacul din noiembrie 2024 asupra canalului </w:t>
      </w:r>
      <w:r w:rsidRPr="006B60C9">
        <w:t>Ibër-Lepenc</w:t>
      </w:r>
      <w:r w:rsidRPr="006B60C9">
        <w:t>/</w:t>
      </w:r>
      <w:r w:rsidRPr="006B60C9">
        <w:t>Ibar-Lepenac</w:t>
      </w:r>
      <w:r w:rsidRPr="006B60C9">
        <w:t xml:space="preserve"> din nordul Kosovo și solicită ca autorii să fie arestați rapid și aduși în fața justiției; solicită Serbiei să răspundă fără întârziere la cererea de asistență judiciară reciprocă formulată de Kosovo în ianuarie 2025 în legătură cu acest atac și să coopereze pe deplin în cadrul anchetei;</w:t>
      </w:r>
    </w:p>
    <w:p w:rsidR="009B58EA" w:rsidRPr="006B60C9" w:rsidP="009B58EA" w14:paraId="7FADBEEB" w14:textId="77777777">
      <w:pPr>
        <w:pStyle w:val="NormalHanging12a"/>
        <w:rPr>
          <w:rFonts w:eastAsiaTheme="minorHAnsi"/>
          <w:kern w:val="2"/>
          <w:szCs w:val="24"/>
          <w14:ligatures w14:val="standardContextual"/>
        </w:rPr>
      </w:pPr>
      <w:r w:rsidRPr="006B60C9">
        <w:t>47.</w:t>
      </w:r>
      <w:r w:rsidRPr="006B60C9">
        <w:tab/>
      </w:r>
      <w:bookmarkStart w:id="11" w:name="_Hlk227242454"/>
      <w:r w:rsidRPr="006B60C9">
        <w:t xml:space="preserve">ia act de faptul că soarta a până la 1 590 de persoane dispărute rămâne neelucidată, doar 26 de cazuri de persoane dispărute fiind soluționate între aprilie 2024 și sfârșitul perioadei de raportare, în septembrie 2025; solicită atât Kosovo, cât și Serbiei să se implice în mod constructiv și cu bună-credință în toate discuțiile tehnice cu scopul de a clarifica cazurile de persoane dispărute rămase, inclusiv prin intermediul subgrupului de lucru pentru aspecte criminalistice, și să se abțină de la orice formă de politizare; salută prima reuniune a Comisiei mixte pentru persoane dispărute, convocată de negociatorii-șefi din Kosovo și Serbia în ianuarie 2026 în cadrul dialogului facilitat de UE, și solicită continuarea cooperării pentru a accelera identificarea gropilor comune și schimbul de informații; </w:t>
      </w:r>
      <w:bookmarkEnd w:id="11"/>
    </w:p>
    <w:p w:rsidR="009B58EA" w:rsidRPr="006B60C9" w:rsidP="009B58EA" w14:paraId="478230E9" w14:textId="77777777">
      <w:pPr>
        <w:pStyle w:val="NormalHanging12a"/>
      </w:pPr>
      <w:r w:rsidRPr="006B60C9">
        <w:t>48.</w:t>
      </w:r>
      <w:r w:rsidRPr="006B60C9">
        <w:tab/>
        <w:t>solicită Serbiei să deschidă și să pună la dispoziție toate documentele relevante ale poliției și armatei, precum și toate documentele de arhivă relevante referitoare la războiul din Kosovo din 1998-1999, pentru a sprijini aflarea adevărului, înfăptuirea justiției și tragerea la răspundere, inclusiv în cazurile de violență sexuală în situații de conflict; constată că un acord general privind schimbul unor astfel de informații nu a fost încă pus în aplicare și își exprimă îngrijorarea cu privire la prelungirea perioadelor de clasificare a documentelor drept secrete, care riscă să întârzie și mai mult înfăptuirea justiției și recunoașterea supraviețuitorilor;</w:t>
      </w:r>
    </w:p>
    <w:p w:rsidR="009B58EA" w:rsidRPr="006B60C9" w:rsidP="009B58EA" w14:paraId="689B3814" w14:textId="77777777">
      <w:pPr>
        <w:pStyle w:val="NormalHanging12a"/>
      </w:pPr>
      <w:r w:rsidRPr="006B60C9">
        <w:t xml:space="preserve">49. </w:t>
      </w:r>
      <w:r w:rsidRPr="006B60C9">
        <w:tab/>
        <w:t xml:space="preserve">reamintește importanța asigurării accesului deplin la arhivele fostului serviciu secret iugoslav (UDBA) și ale Serviciului Secret al Armatei Populare Iugoslave (KOS), inclusiv la cele aflate la </w:t>
      </w:r>
      <w:r w:rsidRPr="006B60C9">
        <w:t>Priștina</w:t>
      </w:r>
      <w:r w:rsidRPr="006B60C9">
        <w:t xml:space="preserve"> și Belgrad, pentru cercetarea aprofundată și soluționarea chestiunilor legate de crimele și organizațiile criminale din perioada comunistă; evidențiază că deschiderea acestor arhive în întreaga regiune ar contribui la urmărirea adevărului, la asigurarea justiției pentru victime, la reconciliere și la consolidarea guvernanței democratice; </w:t>
      </w:r>
    </w:p>
    <w:p w:rsidR="009B58EA" w:rsidRPr="006B60C9" w:rsidP="009B58EA" w14:paraId="25C34483" w14:textId="77777777">
      <w:pPr>
        <w:pStyle w:val="NormalHanging12a"/>
      </w:pPr>
      <w:r w:rsidRPr="006B60C9">
        <w:t>50.</w:t>
      </w:r>
      <w:r w:rsidRPr="006B60C9">
        <w:tab/>
        <w:t xml:space="preserve">invită Kosovo să își continue implicarea într-o serie de inițiative de cooperare regională; </w:t>
      </w:r>
      <w:r w:rsidRPr="006B60C9">
        <w:t>reiterează importanța Forței NATO din Kosovo (KFOR) pentru securitatea în sens mai larg și salută eforturile susținute ale acesteia de a crea și menține un mediu sigur și securizat în Kosovo și, în general, în regiunea Balcanilor de Vest; reamintește importanța misiunii pentru dezvoltarea continuă a Forței de Securitate din Kosovo prin furnizarea de consiliere, formare și consolidare a capacităților; invită statele membre care contribuie la KFOR să se abțină de la reducerea prezenței lor;</w:t>
      </w:r>
    </w:p>
    <w:p w:rsidR="009B58EA" w:rsidRPr="006B60C9" w:rsidP="009B58EA" w14:paraId="4F2828FC" w14:textId="77777777">
      <w:pPr>
        <w:pStyle w:val="NormalHanging12a"/>
        <w:rPr>
          <w:szCs w:val="24"/>
        </w:rPr>
      </w:pPr>
      <w:r w:rsidRPr="006B60C9">
        <w:t>51.</w:t>
      </w:r>
      <w:r w:rsidRPr="006B60C9">
        <w:tab/>
        <w:t>solicită intensificarea eforturilor de a proteja patrimoniul religios și cultural din Kosovo, inclusiv lăcașurile de cult ortodoxe, islamice, catolice și altele, ca parte a unui angajament mai amplu față de pluralism, reconciliere și respectul pentru moștenirea culturală comună a Europei;</w:t>
      </w:r>
    </w:p>
    <w:p w:rsidR="009B58EA" w:rsidRPr="006B60C9" w:rsidP="009B58EA" w14:paraId="52B92BC1" w14:textId="77777777">
      <w:pPr>
        <w:pStyle w:val="NormalHanging12a"/>
        <w:rPr>
          <w:b/>
          <w:bCs/>
          <w:i/>
        </w:rPr>
      </w:pPr>
      <w:r w:rsidRPr="006B60C9">
        <w:rPr>
          <w:b/>
          <w:i/>
        </w:rPr>
        <w:t>Reformele socioeconomice</w:t>
      </w:r>
    </w:p>
    <w:p w:rsidR="009B58EA" w:rsidRPr="006B60C9" w:rsidP="009B58EA" w14:paraId="24D06DA5" w14:textId="77777777">
      <w:pPr>
        <w:pStyle w:val="NormalHanging12a"/>
      </w:pPr>
      <w:r w:rsidRPr="006B60C9">
        <w:t>52.</w:t>
      </w:r>
      <w:r w:rsidRPr="006B60C9">
        <w:tab/>
        <w:t>constată că Kosovo este moderat pregătit în domeniul politicii economice și monetare și în cel al competitivității; subliniază că Kosovo trebuie să își alinieze cadrul bugetar la acquis-</w:t>
      </w:r>
      <w:r w:rsidRPr="006B60C9">
        <w:t>ul</w:t>
      </w:r>
      <w:r w:rsidRPr="006B60C9">
        <w:t xml:space="preserve"> UE și să remedieze deficiențele structurale, în special baza de producție restrânsă și accesul dificil al IMM-urilor la finanțare; subliniază importanța asigurării unei creșteri economice durabile, a reducerii șomajului și a consolidării sistemului de protecție socială al țării, în conformitate cu acquis-</w:t>
      </w:r>
      <w:r w:rsidRPr="006B60C9">
        <w:t>ul</w:t>
      </w:r>
      <w:r w:rsidRPr="006B60C9">
        <w:t xml:space="preserve"> social al UE; subliniază că Kosovo trebuie să întreprindă reforme mai ample pentru a remedia deficiențele structurale persistente;</w:t>
      </w:r>
    </w:p>
    <w:p w:rsidR="009B58EA" w:rsidRPr="006B60C9" w:rsidP="009B58EA" w14:paraId="6B0B274F" w14:textId="77777777">
      <w:pPr>
        <w:pStyle w:val="NormalHanging12a"/>
        <w:rPr>
          <w:bCs/>
        </w:rPr>
      </w:pPr>
      <w:r w:rsidRPr="006B60C9">
        <w:t>53.</w:t>
      </w:r>
      <w:r w:rsidRPr="006B60C9">
        <w:tab/>
        <w:t xml:space="preserve">salută constatarea Comisiei potrivit căreia Kosovo a înregistrat unele progrese în dezvoltarea unei economii de piață funcționale, în special printr-o creștere economică mai robustă, un sector bancar solid și </w:t>
      </w:r>
      <w:r w:rsidRPr="006B60C9">
        <w:t>rezilient</w:t>
      </w:r>
      <w:r w:rsidRPr="006B60C9">
        <w:t>, reducerea sectorului informal și soluționarea mai rapidă a litigiilor comerciale; ia act de persistența economiei informale și invită autoritățile să aloce inspecției muncii resursele necesare pentru a-i permite să își îndeplinească pe deplin atribuțiile;</w:t>
      </w:r>
    </w:p>
    <w:p w:rsidR="009B58EA" w:rsidRPr="006B60C9" w:rsidP="009B58EA" w14:paraId="25EFEFC5" w14:textId="77777777">
      <w:pPr>
        <w:pStyle w:val="NormalHanging12a"/>
        <w:rPr>
          <w:bCs/>
        </w:rPr>
      </w:pPr>
      <w:r w:rsidRPr="006B60C9">
        <w:t>54.</w:t>
      </w:r>
      <w:r w:rsidRPr="006B60C9">
        <w:tab/>
        <w:t>salută faptul că Tribunalul Comercial din Kosovo soluționează în mod eficace cauzele privind drepturi de proprietate intelectuală; invită Tribunalul Comercial să coopereze în continuare cu Oficiul Uniunii Europene pentru Proprietate Intelectuală;</w:t>
      </w:r>
    </w:p>
    <w:p w:rsidR="009B58EA" w:rsidRPr="006B60C9" w:rsidP="009B58EA" w14:paraId="00CE2BF7" w14:textId="77777777">
      <w:pPr>
        <w:pStyle w:val="NormalHanging12a"/>
        <w:rPr>
          <w:rFonts w:eastAsiaTheme="minorHAnsi"/>
          <w:color w:val="000000" w:themeColor="text1"/>
          <w:kern w:val="2"/>
          <w:szCs w:val="24"/>
          <w14:ligatures w14:val="standardContextual"/>
        </w:rPr>
      </w:pPr>
      <w:r w:rsidRPr="006B60C9">
        <w:t>55.</w:t>
      </w:r>
      <w:r w:rsidRPr="006B60C9">
        <w:tab/>
        <w:t>solicită asigurarea unei protecții adecvate a lucrătorilor, a unor salarii echitabile și a respectării legislației muncii, în conformitate cu standardele UE; regretă că dialogul social din Kosovo rămâne limitat; solicită un sprijin specific pentru consolidarea capacității partenerilor sociali; invită autoritățile să garanteze independența și rolul legitim al sindicatelor recunoscute, precum și drepturile fundamentale ale lucrătorilor, în special dreptul la negociere colectivă, atât în drept, cât și în practică, în sectorul public și în cel privat; invită autoritățile din Kosovo să reînnoiască mandatul Consiliului Economic și Social, să promoveze dialogul social și să utilizeze Mecanismul de reformă și creștere pentru Balcanii de Vest pentru a contribui la consolidarea capacității partenerilor sociali;</w:t>
      </w:r>
    </w:p>
    <w:p w:rsidR="009B58EA" w:rsidRPr="006B60C9" w:rsidP="009B58EA" w14:paraId="00795C94" w14:textId="77777777">
      <w:pPr>
        <w:pStyle w:val="NormalHanging12a"/>
      </w:pPr>
      <w:r w:rsidRPr="006B60C9">
        <w:rPr>
          <w:color w:val="000000" w:themeColor="text1"/>
        </w:rPr>
        <w:t>56.</w:t>
      </w:r>
      <w:r w:rsidRPr="006B60C9">
        <w:rPr>
          <w:color w:val="000000" w:themeColor="text1"/>
        </w:rPr>
        <w:tab/>
      </w:r>
      <w:r w:rsidRPr="006B60C9">
        <w:t>salută consolidarea sistemului de remunerare în temeiul Legii privind salariile din sectorul public; regretă însă că aspectele legate de clasificarea posturilor, sistematizarea funcțiilor și hotărârea Curții Constituționale referitoare la neconstituționalitatea unor dispoziții nu au fost încă soluționate; solicită autorităților să adopte proiectul de lege privind gestionarea finanțelor publice și să integreze în legislație evaluarea riscurilor bugetare și metodologia privind investițiile publice;</w:t>
      </w:r>
    </w:p>
    <w:p w:rsidR="009B58EA" w:rsidRPr="006B60C9" w:rsidP="009B58EA" w14:paraId="4AE155EF" w14:textId="77777777">
      <w:pPr>
        <w:pStyle w:val="NormalHanging12a"/>
      </w:pPr>
      <w:r w:rsidRPr="006B60C9">
        <w:t>57.</w:t>
      </w:r>
      <w:r w:rsidRPr="006B60C9">
        <w:tab/>
        <w:t>își exprimă îngrijorarea că speranța de viață la naștere se menține sub media UE și că mortalitatea infantilă rămâne cea mai ridicată din regiune și semnificativ mai mare decât media UE; regretă că progresele în direcția acoperirii universale cu servicii de sănătate rămân foarte limitate și că persistă ineficiențe semnificative; solicită autorităților să asigure un acces mai bun la servicii de sănătate;</w:t>
      </w:r>
    </w:p>
    <w:p w:rsidR="009B58EA" w:rsidRPr="006B60C9" w:rsidP="009B58EA" w14:paraId="41AA91B1" w14:textId="77777777">
      <w:pPr>
        <w:pStyle w:val="NormalHanging12a"/>
      </w:pPr>
      <w:r w:rsidRPr="006B60C9">
        <w:t>58.</w:t>
      </w:r>
      <w:r w:rsidRPr="006B60C9">
        <w:tab/>
        <w:t>solicită Kosovo să acorde prioritate învățământului profesional de înaltă calitate, consolidării legăturilor dintre educație și nevoile pieței muncii și sprijinului specific acordat tinerilor antreprenori și cercetători, pentru a crea perspective credibile pentru tinerii din țară;</w:t>
      </w:r>
    </w:p>
    <w:p w:rsidR="009B58EA" w:rsidRPr="006B60C9" w:rsidP="009B58EA" w14:paraId="47A4190E" w14:textId="77777777">
      <w:pPr>
        <w:pStyle w:val="NormalHanging12a"/>
      </w:pPr>
      <w:r w:rsidRPr="006B60C9">
        <w:t>59.</w:t>
      </w:r>
      <w:r w:rsidRPr="006B60C9">
        <w:tab/>
        <w:t>încurajează Kosovo să continue încheierea de acorduri privind coordonarea sistemelor de securitate socială cu statele membre ale UE;</w:t>
      </w:r>
    </w:p>
    <w:p w:rsidR="009B58EA" w:rsidRPr="006B60C9" w:rsidP="009B58EA" w14:paraId="7D61FB2F" w14:textId="77777777">
      <w:pPr>
        <w:pStyle w:val="NormalHanging12a"/>
      </w:pPr>
      <w:r w:rsidRPr="006B60C9">
        <w:t>60.</w:t>
      </w:r>
      <w:r w:rsidRPr="006B60C9">
        <w:tab/>
        <w:t>constată că Kosovo a înregistrat unele progrese în pregătirea pentru transformarea digitală, inclusiv în ceea ce privește extinderea serviciilor online și a acoperirii 5G; regretă că doar 10 % din serviciile publice sunt oferite în prezent online și că digitalizarea rămâne fragmentată; subliniază că este necesar ca Kosovo să se alinieze la legislația UE în domeniul digital, inclusiv la Codul european al comunicațiilor electronice, la Directiva NIS 2, la setul de instrumente al UE pentru securitatea cibernetică a rețelelor 5G, la Regulamentul privind serviciile digitale, la Regulamentul privind piețele digitale și la Regulamentul privind identitatea digitală europeană; regretă că Kosovo a adoptat doar 8 din cele 14 acte legislative secundare care decurg din Legea privind securitatea cibernetică și că nici Agenția pentru Securitate Cibernetică, nici Consiliul Național pentru Securitate Cibernetică nu sunt încă pe deplin operaționale; solicită adoptarea unei strategii cuprinzătoare privind guvernanța electronică, în conformitate cu standardele UE, și îmbunătățirea interoperabilității sistemelor administrației publice; invită Kosovo să promoveze mai intens digitalizarea și să dezvolte în continuare servicii publice digitale securizate;</w:t>
      </w:r>
    </w:p>
    <w:p w:rsidR="009B58EA" w:rsidRPr="006B60C9" w:rsidP="009B58EA" w14:paraId="32EE36C2" w14:textId="77777777">
      <w:pPr>
        <w:pStyle w:val="NormalHanging12a"/>
      </w:pPr>
      <w:r w:rsidRPr="006B60C9">
        <w:t>61.</w:t>
      </w:r>
      <w:r w:rsidRPr="006B60C9">
        <w:tab/>
        <w:t>salută primii pași realizați de Kosovo în direcția unei abordări mai strategice a cercetării și inovării, inclusiv demararea finanțării pentru măsurile de sprijin a inovării și participarea Kosovo la rețeaua de centre europene de inovare digitală;</w:t>
      </w:r>
    </w:p>
    <w:p w:rsidR="009B58EA" w:rsidRPr="006B60C9" w:rsidP="009B58EA" w14:paraId="77B76D8A" w14:textId="77777777">
      <w:pPr>
        <w:pStyle w:val="NormalHanging12a"/>
      </w:pPr>
      <w:r w:rsidRPr="006B60C9">
        <w:t>62.</w:t>
      </w:r>
      <w:r w:rsidRPr="006B60C9">
        <w:tab/>
        <w:t>salută propunerea Comisiei de a deschide negocieri privind extinderea la Balcanii de Vest, inclusiv la Kosovo, a sistemului UE de roaming la prețurile de pe piața națională, în vederea obținerii unor beneficii concrete pentru cetățeni și întreprinderi și a consolidării conectivității regionale; ia act de faptul că această inițiativă se bazează pe acordurile regionale existente în materie de roaming; solicită adoptarea rapidă a mandatelor de negociere și încheierea în timp util a acordurilor, pentru a asigura integrarea rapidă și efectivă în sistemul UE de roaming la prețurile de pe piața națională;</w:t>
      </w:r>
    </w:p>
    <w:p w:rsidR="009B58EA" w:rsidRPr="006B60C9" w:rsidP="009B58EA" w14:paraId="52F248C2" w14:textId="77777777">
      <w:pPr>
        <w:pStyle w:val="NormalHanging12a"/>
        <w:rPr>
          <w:b/>
          <w:bCs/>
        </w:rPr>
      </w:pPr>
      <w:r w:rsidRPr="006B60C9">
        <w:rPr>
          <w:b/>
          <w:i/>
        </w:rPr>
        <w:t>Energie, mediu, dezvoltare durabilă și conectivitate</w:t>
      </w:r>
    </w:p>
    <w:p w:rsidR="009B58EA" w:rsidRPr="006B60C9" w:rsidP="009B58EA" w14:paraId="33DE1D9C" w14:textId="77777777">
      <w:pPr>
        <w:pStyle w:val="NormalHanging12a"/>
        <w:rPr>
          <w:bCs/>
        </w:rPr>
      </w:pPr>
      <w:r w:rsidRPr="006B60C9">
        <w:t>63.</w:t>
      </w:r>
      <w:r w:rsidRPr="006B60C9">
        <w:tab/>
        <w:t xml:space="preserve">constată că Kosovo rămâne puternic dependent de centrale electrice pe bază de cărbune învechite și trebuie să accelereze investițiile în eficiența energetică; salută faptul că s-au înregistrat unele progrese în sectorul energetic, în special prin lansarea unei licitații pentru o capacitate eoliană de 100 MW; îndeamnă Kosovo să își accelereze tranziția verde și să își reducă semnificativ dependența de combustibilii fosili și de centralele electrice pe bază de cărbune; invită UE să își intensifice eforturile pentru a ajuta Kosovo </w:t>
      </w:r>
      <w:r w:rsidRPr="006B60C9">
        <w:t>să atingă aceste obiective; invită guvernul din Kosovo să investească într-un mix energetic diversificat, care să consolideze securitatea aprovizionării; încurajează Kosovo să continue eforturile de a-și integra piața energiei electrice cu piețele energiei electrice europene, inclusiv prin punerea efectivă în aplicare a reformelor pieței energiei electrice și prin consolidarea cooperării transfrontaliere în sectorul energiei electrice;</w:t>
      </w:r>
    </w:p>
    <w:p w:rsidR="009B58EA" w:rsidRPr="006B60C9" w:rsidP="009B58EA" w14:paraId="6B22A90F" w14:textId="77777777">
      <w:pPr>
        <w:pStyle w:val="NormalHanging12a"/>
      </w:pPr>
      <w:r w:rsidRPr="006B60C9">
        <w:t>64.</w:t>
      </w:r>
      <w:r w:rsidRPr="006B60C9">
        <w:tab/>
        <w:t>încurajează Kosovo să își consolideze capacitatea instituțională și administrativă pentru a pune în aplicare proiecte strategice de infrastructură, inclusiv prin utilizarea unor evaluări cuprinzătoare ale impactului asupra mediului și a unor măsuri de sustenabilitate în etapa de planificare, și să continue implementarea proiectelor de conectivitate în domeniul transporturilor și al energiei aflate în curs; solicită Comisiei și Kosovo să acorde prioritate proiectelor strategice de conectivitate care leagă Balcanii de Vest de coridoarele europene de transport, energie și digital și de zona Mării Negre, inclusiv prin interconectări energetice, măsuri de eficiență energetică, investiții în surse regenerabile, integrarea în zona unică de plăți în euro (SEPA) și îmbunătățirea accesului IMM-urilor la finanțare; subliniază că aceste investiții sporesc convergența socioeconomică, reziliența geostrategică și securitatea economică europeană;</w:t>
      </w:r>
    </w:p>
    <w:p w:rsidR="009B58EA" w:rsidRPr="006B60C9" w:rsidP="009B58EA" w14:paraId="2BBC97EA" w14:textId="77777777">
      <w:pPr>
        <w:pStyle w:val="NormalHanging12a"/>
      </w:pPr>
      <w:r w:rsidRPr="006B60C9">
        <w:t>65.</w:t>
      </w:r>
      <w:r w:rsidRPr="006B60C9">
        <w:tab/>
        <w:t xml:space="preserve">îndeamnă Kosovo să extindă zonele protejate din țară și să se asigure că sunt luate măsuri adecvate pentru gestionarea ariilor protejate și a siturilor de patrimoniu cultural și istoric, cu scopul de a proteja biodiversitatea, inclusiv habitatele esențiale ale linxului balcanic, specie critic periclitată; salută cooperarea continuă a Kosovo cu Macedonia de Nord și Albania în ceea ce privește Parcul Național transfrontalier Munții </w:t>
      </w:r>
      <w:r w:rsidRPr="006B60C9">
        <w:t>Šar</w:t>
      </w:r>
      <w:r w:rsidRPr="006B60C9">
        <w:t>; încurajează Kosovo să intensifice în continuare și să accelereze eforturile de colaborare cu țările învecinate pentru a desemna zone protejate transfrontaliere și a elabora planuri coerente de gestionare transfrontalieră; îndeamnă Kosovo să modifice legislația privind gestionarea deșeurilor și să pună în aplicare legislația privind schimbările climatice;</w:t>
      </w:r>
    </w:p>
    <w:p w:rsidR="009B58EA" w:rsidRPr="006B60C9" w:rsidP="009B58EA" w14:paraId="7D1CC266" w14:textId="77777777">
      <w:pPr>
        <w:pStyle w:val="NormalHanging12a"/>
        <w:jc w:val="center"/>
      </w:pPr>
      <w:r w:rsidRPr="006B60C9">
        <w:t>°</w:t>
      </w:r>
    </w:p>
    <w:p w:rsidR="009B58EA" w:rsidRPr="006B60C9" w:rsidP="009B58EA" w14:paraId="535AAD74" w14:textId="77777777">
      <w:pPr>
        <w:pStyle w:val="NormalHanging12a"/>
        <w:jc w:val="center"/>
      </w:pPr>
      <w:r w:rsidRPr="006B60C9">
        <w:t>°</w:t>
      </w:r>
      <w:r w:rsidRPr="006B60C9">
        <w:tab/>
        <w:t>°</w:t>
      </w:r>
    </w:p>
    <w:p w:rsidR="00917970" w:rsidRPr="006B60C9" w:rsidP="00917970" w14:paraId="58BD1248" w14:textId="18B1D6BA">
      <w:pPr>
        <w:pStyle w:val="NormalHanging12a"/>
      </w:pPr>
      <w:r w:rsidRPr="006B60C9">
        <w:t>66.</w:t>
      </w:r>
      <w:r w:rsidRPr="006B60C9">
        <w:tab/>
        <w:t>încredințează Președintei sarcina de a transmite prezenta rezoluție Președintelui Consiliului European, Comisiei, Vicepreședintei Comisiei/Înaltei Reprezentante a Uniunii pentru afaceri externe și politica de securitate, guvernelor și parlamentelor statelor membre, precum și Președintei, Guvernului și Adunării Naționale a Kosovo.</w:t>
      </w:r>
    </w:p>
    <w:p w:rsidR="00E365E1" w:rsidRPr="006B60C9" w:rsidP="00DC5791" w14:paraId="0F39D083" w14:textId="278A6283"/>
    <w:sectPr w:rsidSect="00917970">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7970" w14:paraId="2EA3D3C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7970" w14:paraId="54D43CB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7970" w14:paraId="28444A8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C5791" w:rsidRPr="00917970" w14:paraId="7D65FB27" w14:textId="77777777">
      <w:r w:rsidRPr="00917970">
        <w:separator/>
      </w:r>
    </w:p>
  </w:footnote>
  <w:footnote w:type="continuationSeparator" w:id="1">
    <w:p w:rsidR="00DC5791" w:rsidRPr="00917970" w14:paraId="43530304" w14:textId="77777777">
      <w:r w:rsidRPr="00917970">
        <w:continuationSeparator/>
      </w:r>
    </w:p>
  </w:footnote>
  <w:footnote w:id="2">
    <w:p w:rsidR="009B58EA" w:rsidRPr="00917970" w:rsidP="00917970" w14:paraId="62687533" w14:textId="177190BE">
      <w:pPr>
        <w:pStyle w:val="FootnoteText"/>
        <w:ind w:left="567" w:hanging="567"/>
        <w:rPr>
          <w:sz w:val="24"/>
          <w:u w:val="single" w:color="0000FF"/>
          <w:lang w:val="ro-RO"/>
        </w:rPr>
      </w:pPr>
      <w:r w:rsidRPr="00917970">
        <w:rPr>
          <w:rStyle w:val="FootnoteReference"/>
          <w:sz w:val="24"/>
          <w:lang w:val="ro-RO"/>
        </w:rPr>
        <w:footnoteRef/>
      </w:r>
      <w:r w:rsidRPr="00917970" w:rsidR="00917970">
        <w:rPr>
          <w:sz w:val="24"/>
          <w:lang w:val="ro-RO"/>
        </w:rPr>
        <w:t xml:space="preserve"> </w:t>
      </w:r>
      <w:r w:rsidRPr="00917970" w:rsidR="00917970">
        <w:rPr>
          <w:sz w:val="24"/>
          <w:lang w:val="ro-RO"/>
        </w:rPr>
        <w:tab/>
      </w:r>
      <w:r w:rsidRPr="00917970">
        <w:rPr>
          <w:sz w:val="24"/>
          <w:lang w:val="ro-RO"/>
        </w:rPr>
        <w:t xml:space="preserve">JO L 71, 16.3.2016, p. 3, ELI: </w:t>
      </w:r>
      <w:hyperlink r:id="rId1" w:history="1">
        <w:r w:rsidRPr="00917970">
          <w:rPr>
            <w:rStyle w:val="Hyperlink"/>
            <w:sz w:val="24"/>
            <w:lang w:val="ro-RO"/>
          </w:rPr>
          <w:t>http://data.europa.eu/eli/agree_internation/2016/342/oj</w:t>
        </w:r>
      </w:hyperlink>
      <w:r w:rsidRPr="00917970">
        <w:rPr>
          <w:sz w:val="24"/>
          <w:lang w:val="ro-RO"/>
        </w:rPr>
        <w:t>.</w:t>
      </w:r>
    </w:p>
  </w:footnote>
  <w:footnote w:id="3">
    <w:p w:rsidR="009B58EA" w:rsidRPr="00917970" w:rsidP="00917970" w14:paraId="5C652355" w14:textId="5150F261">
      <w:pPr>
        <w:pStyle w:val="FootnoteText"/>
        <w:ind w:left="567" w:hanging="567"/>
        <w:rPr>
          <w:sz w:val="24"/>
          <w:u w:val="single" w:color="0000FF"/>
          <w:lang w:val="ro-RO"/>
        </w:rPr>
      </w:pPr>
      <w:r w:rsidRPr="00917970">
        <w:rPr>
          <w:rStyle w:val="FootnoteReference"/>
          <w:sz w:val="24"/>
          <w:lang w:val="ro-RO"/>
        </w:rPr>
        <w:footnoteRef/>
      </w:r>
      <w:r w:rsidRPr="00917970" w:rsidR="00917970">
        <w:rPr>
          <w:sz w:val="24"/>
          <w:lang w:val="ro-RO"/>
        </w:rPr>
        <w:t xml:space="preserve"> </w:t>
      </w:r>
      <w:r w:rsidRPr="00917970" w:rsidR="00917970">
        <w:rPr>
          <w:sz w:val="24"/>
          <w:lang w:val="ro-RO"/>
        </w:rPr>
        <w:tab/>
      </w:r>
      <w:r w:rsidRPr="00917970">
        <w:rPr>
          <w:sz w:val="24"/>
          <w:lang w:val="ro-RO"/>
        </w:rPr>
        <w:t>JO L 195, 27.7.2017, p. 3, ELI:</w:t>
      </w:r>
      <w:r w:rsidR="00520A02">
        <w:rPr>
          <w:sz w:val="24"/>
          <w:lang w:val="ro-RO"/>
        </w:rPr>
        <w:t> </w:t>
      </w:r>
      <w:hyperlink r:id="rId2" w:history="1">
        <w:r w:rsidRPr="00917970">
          <w:rPr>
            <w:rStyle w:val="Hyperlink"/>
            <w:sz w:val="24"/>
            <w:lang w:val="ro-RO"/>
          </w:rPr>
          <w:t>http://data.europa.eu/eli/agree_internation/2017/1388/oj</w:t>
        </w:r>
      </w:hyperlink>
      <w:r w:rsidRPr="00917970">
        <w:rPr>
          <w:sz w:val="24"/>
          <w:lang w:val="ro-RO"/>
        </w:rPr>
        <w:t>.</w:t>
      </w:r>
    </w:p>
  </w:footnote>
  <w:footnote w:id="4">
    <w:p w:rsidR="009B58EA" w:rsidRPr="00917970" w:rsidP="00917970" w14:paraId="2F094CBF" w14:textId="79441FF7">
      <w:pPr>
        <w:pStyle w:val="FootnoteText"/>
        <w:ind w:left="567" w:hanging="567"/>
        <w:rPr>
          <w:sz w:val="24"/>
          <w:u w:val="single" w:color="0000FF"/>
          <w:lang w:val="ro-RO"/>
        </w:rPr>
      </w:pPr>
      <w:r w:rsidRPr="00917970">
        <w:rPr>
          <w:rStyle w:val="FootnoteReference"/>
          <w:sz w:val="24"/>
          <w:lang w:val="ro-RO"/>
        </w:rPr>
        <w:footnoteRef/>
      </w:r>
      <w:r w:rsidRPr="00917970" w:rsidR="00917970">
        <w:rPr>
          <w:sz w:val="24"/>
          <w:lang w:val="ro-RO"/>
        </w:rPr>
        <w:t xml:space="preserve"> </w:t>
      </w:r>
      <w:r w:rsidRPr="00917970" w:rsidR="00917970">
        <w:rPr>
          <w:sz w:val="24"/>
          <w:lang w:val="ro-RO"/>
        </w:rPr>
        <w:tab/>
      </w:r>
      <w:r w:rsidRPr="00917970">
        <w:rPr>
          <w:sz w:val="24"/>
          <w:lang w:val="ro-RO"/>
        </w:rPr>
        <w:t xml:space="preserve">JO L 330, 20.9.2021, p. 1, ELI: </w:t>
      </w:r>
      <w:hyperlink r:id="rId3" w:history="1">
        <w:r w:rsidRPr="00917970">
          <w:rPr>
            <w:rStyle w:val="Hyperlink"/>
            <w:sz w:val="24"/>
            <w:lang w:val="ro-RO"/>
          </w:rPr>
          <w:t>http://data.europa.eu/eli/reg/2021/1529/oj</w:t>
        </w:r>
      </w:hyperlink>
      <w:r w:rsidRPr="00917970">
        <w:rPr>
          <w:sz w:val="24"/>
          <w:lang w:val="ro-RO"/>
        </w:rPr>
        <w:t>.</w:t>
      </w:r>
    </w:p>
  </w:footnote>
  <w:footnote w:id="5">
    <w:p w:rsidR="009B58EA" w:rsidRPr="00917970" w:rsidP="00917970" w14:paraId="12D1FF33" w14:textId="07DA36DB">
      <w:pPr>
        <w:pStyle w:val="FootnoteText"/>
        <w:ind w:left="567" w:hanging="567"/>
        <w:rPr>
          <w:sz w:val="24"/>
          <w:lang w:val="ro-RO"/>
        </w:rPr>
      </w:pPr>
      <w:r w:rsidRPr="00917970">
        <w:rPr>
          <w:rStyle w:val="FootnoteReference"/>
          <w:sz w:val="24"/>
          <w:lang w:val="ro-RO"/>
        </w:rPr>
        <w:footnoteRef/>
      </w:r>
      <w:r w:rsidRPr="00917970" w:rsidR="00917970">
        <w:rPr>
          <w:sz w:val="24"/>
          <w:lang w:val="ro-RO"/>
        </w:rPr>
        <w:t xml:space="preserve"> </w:t>
      </w:r>
      <w:r w:rsidRPr="00917970" w:rsidR="00917970">
        <w:rPr>
          <w:sz w:val="24"/>
          <w:lang w:val="ro-RO"/>
        </w:rPr>
        <w:tab/>
      </w:r>
      <w:r w:rsidRPr="00917970">
        <w:rPr>
          <w:sz w:val="24"/>
          <w:lang w:val="ro-RO"/>
        </w:rPr>
        <w:t>JO L 110, 25.4.2023, p. 1, ELI: </w:t>
      </w:r>
      <w:hyperlink r:id="rId4" w:tooltip="Oferă acces la acest document prin identificatorul său uniform de resurse ELI." w:history="1">
        <w:r w:rsidRPr="00917970">
          <w:rPr>
            <w:rStyle w:val="Hyperlink"/>
            <w:sz w:val="24"/>
            <w:lang w:val="ro-RO"/>
          </w:rPr>
          <w:t>http://data.europa.eu/eli/reg/2023/850/oj</w:t>
        </w:r>
      </w:hyperlink>
      <w:r w:rsidRPr="00917970">
        <w:rPr>
          <w:sz w:val="24"/>
          <w:lang w:val="ro-RO"/>
        </w:rPr>
        <w:t>.</w:t>
      </w:r>
    </w:p>
  </w:footnote>
  <w:footnote w:id="6">
    <w:p w:rsidR="009B58EA" w:rsidRPr="00917970" w:rsidP="00917970" w14:paraId="1D3809C4" w14:textId="4A570424">
      <w:pPr>
        <w:pStyle w:val="FootnoteText"/>
        <w:ind w:left="567" w:hanging="567"/>
        <w:rPr>
          <w:sz w:val="24"/>
          <w:lang w:val="ro-RO"/>
        </w:rPr>
      </w:pPr>
      <w:r w:rsidRPr="00917970">
        <w:rPr>
          <w:rStyle w:val="FootnoteReference"/>
          <w:sz w:val="24"/>
          <w:lang w:val="ro-RO"/>
        </w:rPr>
        <w:footnoteRef/>
      </w:r>
      <w:r w:rsidRPr="00917970" w:rsidR="00917970">
        <w:rPr>
          <w:sz w:val="24"/>
          <w:lang w:val="ro-RO"/>
        </w:rPr>
        <w:t xml:space="preserve"> </w:t>
      </w:r>
      <w:r w:rsidRPr="00917970" w:rsidR="00917970">
        <w:rPr>
          <w:sz w:val="24"/>
          <w:lang w:val="ro-RO"/>
        </w:rPr>
        <w:tab/>
      </w:r>
      <w:r w:rsidRPr="00917970">
        <w:rPr>
          <w:sz w:val="24"/>
          <w:lang w:val="ro-RO"/>
        </w:rPr>
        <w:t xml:space="preserve">JO L, 2024/1449, 24.5.2024, </w:t>
      </w:r>
      <w:r w:rsidRPr="00917970">
        <w:rPr>
          <w:color w:val="333333"/>
          <w:sz w:val="24"/>
          <w:shd w:val="clear" w:color="auto" w:fill="FFFFFF"/>
          <w:lang w:val="ro-RO"/>
        </w:rPr>
        <w:t>ELI: </w:t>
      </w:r>
      <w:hyperlink r:id="rId5" w:tooltip="Oferă acces la acest document prin identificatorul său uniform de resurse ELI." w:history="1">
        <w:r w:rsidRPr="00917970">
          <w:rPr>
            <w:rStyle w:val="Hyperlink"/>
            <w:color w:val="337AB7"/>
            <w:sz w:val="24"/>
            <w:shd w:val="clear" w:color="auto" w:fill="FFFFFF"/>
            <w:lang w:val="ro-RO"/>
          </w:rPr>
          <w:t>http://data.europa.eu/eli/reg/2024/1449/oj</w:t>
        </w:r>
      </w:hyperlink>
      <w:r w:rsidRPr="00917970">
        <w:rPr>
          <w:sz w:val="24"/>
          <w:lang w:val="ro-RO"/>
        </w:rPr>
        <w:t>.</w:t>
      </w:r>
    </w:p>
  </w:footnote>
  <w:footnote w:id="7">
    <w:p w:rsidR="009B58EA" w:rsidRPr="00917970" w:rsidP="00917970" w14:paraId="09DB6D90" w14:textId="3D399F54">
      <w:pPr>
        <w:pStyle w:val="FootnoteText"/>
        <w:ind w:left="567" w:hanging="567"/>
        <w:rPr>
          <w:sz w:val="24"/>
          <w:lang w:val="ro-RO"/>
        </w:rPr>
      </w:pPr>
      <w:r w:rsidRPr="00917970">
        <w:rPr>
          <w:rStyle w:val="FootnoteReference"/>
          <w:sz w:val="24"/>
          <w:lang w:val="ro-RO"/>
        </w:rPr>
        <w:footnoteRef/>
      </w:r>
      <w:r w:rsidRPr="00917970" w:rsidR="00917970">
        <w:rPr>
          <w:sz w:val="24"/>
          <w:lang w:val="ro-RO"/>
        </w:rPr>
        <w:t xml:space="preserve"> </w:t>
      </w:r>
      <w:r w:rsidRPr="00917970" w:rsidR="00917970">
        <w:rPr>
          <w:sz w:val="24"/>
          <w:lang w:val="ro-RO"/>
        </w:rPr>
        <w:tab/>
      </w:r>
      <w:r w:rsidRPr="00917970">
        <w:rPr>
          <w:sz w:val="24"/>
          <w:lang w:val="ro-RO"/>
        </w:rPr>
        <w:t>JO L, 2025/1161, 6.6.2025, ELI: </w:t>
      </w:r>
      <w:hyperlink r:id="rId6" w:tgtFrame="_blank" w:tooltip="Oferă acces la acest document prin identificatorul său uniform de resurse ELI." w:history="1">
        <w:r w:rsidRPr="00917970">
          <w:rPr>
            <w:rStyle w:val="Hyperlink"/>
            <w:sz w:val="24"/>
            <w:lang w:val="ro-RO"/>
          </w:rPr>
          <w:t>http://data.europa.eu/eli/dec/2025/1161/oj</w:t>
        </w:r>
      </w:hyperlink>
      <w:r w:rsidRPr="00917970">
        <w:rPr>
          <w:sz w:val="24"/>
          <w:lang w:val="ro-RO"/>
        </w:rPr>
        <w:t>.</w:t>
      </w:r>
    </w:p>
  </w:footnote>
  <w:footnote w:id="8">
    <w:p w:rsidR="009B58EA" w:rsidRPr="00917970" w:rsidP="00917970" w14:paraId="4206DA1F" w14:textId="306FEF51">
      <w:pPr>
        <w:pStyle w:val="FootnoteText"/>
        <w:ind w:left="567" w:hanging="567"/>
        <w:rPr>
          <w:sz w:val="24"/>
          <w:lang w:val="ro-RO"/>
        </w:rPr>
      </w:pPr>
      <w:r w:rsidRPr="00917970">
        <w:rPr>
          <w:rStyle w:val="FootnoteReference"/>
          <w:sz w:val="24"/>
          <w:lang w:val="ro-RO"/>
        </w:rPr>
        <w:footnoteRef/>
      </w:r>
      <w:r w:rsidRPr="00917970" w:rsidR="00917970">
        <w:rPr>
          <w:sz w:val="24"/>
          <w:lang w:val="ro-RO"/>
        </w:rPr>
        <w:t xml:space="preserve"> </w:t>
      </w:r>
      <w:r w:rsidRPr="00917970" w:rsidR="00917970">
        <w:rPr>
          <w:sz w:val="24"/>
          <w:lang w:val="ro-RO"/>
        </w:rPr>
        <w:tab/>
      </w:r>
      <w:r w:rsidRPr="00917970">
        <w:rPr>
          <w:sz w:val="24"/>
          <w:lang w:val="ro-RO"/>
        </w:rPr>
        <w:t>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w:t>
      </w:r>
      <w:r w:rsidR="00520A02">
        <w:rPr>
          <w:sz w:val="24"/>
          <w:lang w:val="ro-RO"/>
        </w:rPr>
        <w:t> </w:t>
      </w:r>
      <w:hyperlink r:id="rId7" w:history="1">
        <w:r w:rsidRPr="00917970">
          <w:rPr>
            <w:rStyle w:val="Hyperlink"/>
            <w:sz w:val="24"/>
            <w:lang w:val="ro-RO"/>
          </w:rPr>
          <w:t>http://data.europa.eu/eli/reg/2024/1083/oj</w:t>
        </w:r>
      </w:hyperlink>
      <w:r w:rsidRPr="00917970">
        <w:rPr>
          <w:sz w:val="24"/>
          <w:lang w:val="ro-RO"/>
        </w:rPr>
        <w:t>).</w:t>
      </w:r>
    </w:p>
  </w:footnote>
  <w:footnote w:id="9">
    <w:p w:rsidR="009B58EA" w:rsidRPr="00917970" w:rsidP="00917970" w14:paraId="1BEAA291" w14:textId="513CB118">
      <w:pPr>
        <w:pStyle w:val="FootnoteText"/>
        <w:ind w:left="567" w:hanging="567"/>
        <w:rPr>
          <w:sz w:val="24"/>
          <w:lang w:val="ro-RO"/>
        </w:rPr>
      </w:pPr>
      <w:r w:rsidRPr="00917970">
        <w:rPr>
          <w:rStyle w:val="FootnoteReference"/>
          <w:sz w:val="24"/>
          <w:lang w:val="ro-RO"/>
        </w:rPr>
        <w:footnoteRef/>
      </w:r>
      <w:r w:rsidRPr="00917970" w:rsidR="00917970">
        <w:rPr>
          <w:sz w:val="24"/>
          <w:lang w:val="ro-RO"/>
        </w:rPr>
        <w:t xml:space="preserve"> </w:t>
      </w:r>
      <w:r w:rsidRPr="00917970" w:rsidR="00917970">
        <w:rPr>
          <w:sz w:val="24"/>
          <w:lang w:val="ro-RO"/>
        </w:rPr>
        <w:tab/>
      </w:r>
      <w:r w:rsidRPr="00917970">
        <w:rPr>
          <w:sz w:val="24"/>
          <w:lang w:val="ro-RO"/>
        </w:rPr>
        <w:t>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w:t>
      </w:r>
      <w:r w:rsidR="00520A02">
        <w:rPr>
          <w:sz w:val="24"/>
          <w:lang w:val="ro-RO"/>
        </w:rPr>
        <w:t> </w:t>
      </w:r>
      <w:hyperlink r:id="rId8" w:history="1">
        <w:r w:rsidRPr="00917970">
          <w:rPr>
            <w:rStyle w:val="Hyperlink"/>
            <w:sz w:val="24"/>
            <w:lang w:val="ro-RO"/>
          </w:rPr>
          <w:t>http://data.europa.eu/eli/dir/2024/1069/oj</w:t>
        </w:r>
      </w:hyperlink>
      <w:r w:rsidRPr="0091797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7970" w14:paraId="5F49168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7970" w14:paraId="7A10E88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17970" w14:paraId="7083AF7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5114459">
    <w:abstractNumId w:val="9"/>
  </w:num>
  <w:num w:numId="2" w16cid:durableId="2007978165">
    <w:abstractNumId w:val="9"/>
  </w:num>
  <w:num w:numId="3" w16cid:durableId="160511243">
    <w:abstractNumId w:val="7"/>
  </w:num>
  <w:num w:numId="4" w16cid:durableId="1305351177">
    <w:abstractNumId w:val="7"/>
  </w:num>
  <w:num w:numId="5" w16cid:durableId="1856188130">
    <w:abstractNumId w:val="6"/>
  </w:num>
  <w:num w:numId="6" w16cid:durableId="858785847">
    <w:abstractNumId w:val="6"/>
  </w:num>
  <w:num w:numId="7" w16cid:durableId="755901929">
    <w:abstractNumId w:val="5"/>
  </w:num>
  <w:num w:numId="8" w16cid:durableId="318467058">
    <w:abstractNumId w:val="5"/>
  </w:num>
  <w:num w:numId="9" w16cid:durableId="1580750998">
    <w:abstractNumId w:val="4"/>
  </w:num>
  <w:num w:numId="10" w16cid:durableId="1861702944">
    <w:abstractNumId w:val="4"/>
  </w:num>
  <w:num w:numId="11" w16cid:durableId="757091696">
    <w:abstractNumId w:val="8"/>
  </w:num>
  <w:num w:numId="12" w16cid:durableId="278953420">
    <w:abstractNumId w:val="8"/>
  </w:num>
  <w:num w:numId="13" w16cid:durableId="1858424300">
    <w:abstractNumId w:val="3"/>
  </w:num>
  <w:num w:numId="14" w16cid:durableId="813059361">
    <w:abstractNumId w:val="3"/>
  </w:num>
  <w:num w:numId="15" w16cid:durableId="1680766170">
    <w:abstractNumId w:val="2"/>
  </w:num>
  <w:num w:numId="16" w16cid:durableId="2134130224">
    <w:abstractNumId w:val="2"/>
  </w:num>
  <w:num w:numId="17" w16cid:durableId="423067350">
    <w:abstractNumId w:val="1"/>
  </w:num>
  <w:num w:numId="18" w16cid:durableId="216160589">
    <w:abstractNumId w:val="1"/>
  </w:num>
  <w:num w:numId="19" w16cid:durableId="2015957724">
    <w:abstractNumId w:val="0"/>
  </w:num>
  <w:num w:numId="20" w16cid:durableId="372924674">
    <w:abstractNumId w:val="0"/>
  </w:num>
  <w:num w:numId="21" w16cid:durableId="834229476">
    <w:abstractNumId w:val="9"/>
  </w:num>
  <w:num w:numId="22" w16cid:durableId="110174911">
    <w:abstractNumId w:val="7"/>
  </w:num>
  <w:num w:numId="23" w16cid:durableId="517233983">
    <w:abstractNumId w:val="6"/>
  </w:num>
  <w:num w:numId="24" w16cid:durableId="697706420">
    <w:abstractNumId w:val="5"/>
  </w:num>
  <w:num w:numId="25" w16cid:durableId="1418404345">
    <w:abstractNumId w:val="4"/>
  </w:num>
  <w:num w:numId="26" w16cid:durableId="187565329">
    <w:abstractNumId w:val="8"/>
  </w:num>
  <w:num w:numId="27" w16cid:durableId="2116905448">
    <w:abstractNumId w:val="3"/>
  </w:num>
  <w:num w:numId="28" w16cid:durableId="1661352087">
    <w:abstractNumId w:val="2"/>
  </w:num>
  <w:num w:numId="29" w16cid:durableId="1923179726">
    <w:abstractNumId w:val="1"/>
  </w:num>
  <w:num w:numId="30" w16cid:durableId="1865942279">
    <w:abstractNumId w:val="0"/>
  </w:num>
  <w:num w:numId="31" w16cid:durableId="77601887">
    <w:abstractNumId w:val="9"/>
  </w:num>
  <w:num w:numId="32" w16cid:durableId="1264335869">
    <w:abstractNumId w:val="7"/>
  </w:num>
  <w:num w:numId="33" w16cid:durableId="905383724">
    <w:abstractNumId w:val="6"/>
  </w:num>
  <w:num w:numId="34" w16cid:durableId="1496651314">
    <w:abstractNumId w:val="5"/>
  </w:num>
  <w:num w:numId="35" w16cid:durableId="1926915705">
    <w:abstractNumId w:val="4"/>
  </w:num>
  <w:num w:numId="36" w16cid:durableId="1877236518">
    <w:abstractNumId w:val="8"/>
  </w:num>
  <w:num w:numId="37" w16cid:durableId="439375877">
    <w:abstractNumId w:val="3"/>
  </w:num>
  <w:num w:numId="38" w16cid:durableId="647706933">
    <w:abstractNumId w:val="2"/>
  </w:num>
  <w:num w:numId="39" w16cid:durableId="745691012">
    <w:abstractNumId w:val="1"/>
  </w:num>
  <w:num w:numId="40" w16cid:durableId="866453106">
    <w:abstractNumId w:val="0"/>
  </w:num>
  <w:num w:numId="41" w16cid:durableId="1412773840">
    <w:abstractNumId w:val="10"/>
  </w:num>
  <w:num w:numId="42" w16cid:durableId="477697916">
    <w:abstractNumId w:val="10"/>
  </w:num>
  <w:num w:numId="43" w16cid:durableId="212619831">
    <w:abstractNumId w:val="10"/>
  </w:num>
  <w:num w:numId="44" w16cid:durableId="1230111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791"/>
    <w:rsid w:val="00002272"/>
    <w:rsid w:val="00064002"/>
    <w:rsid w:val="000677B9"/>
    <w:rsid w:val="000831BA"/>
    <w:rsid w:val="0009517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A02"/>
    <w:rsid w:val="00545827"/>
    <w:rsid w:val="00560270"/>
    <w:rsid w:val="005C2568"/>
    <w:rsid w:val="005F1B17"/>
    <w:rsid w:val="006037C0"/>
    <w:rsid w:val="006631B6"/>
    <w:rsid w:val="00680577"/>
    <w:rsid w:val="006B60C9"/>
    <w:rsid w:val="006F74FA"/>
    <w:rsid w:val="0072588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A79"/>
    <w:rsid w:val="00917970"/>
    <w:rsid w:val="00930C23"/>
    <w:rsid w:val="0093193B"/>
    <w:rsid w:val="009509D8"/>
    <w:rsid w:val="00950B64"/>
    <w:rsid w:val="00981893"/>
    <w:rsid w:val="009B2864"/>
    <w:rsid w:val="009B58EA"/>
    <w:rsid w:val="009E18C0"/>
    <w:rsid w:val="00A1687D"/>
    <w:rsid w:val="00A43E52"/>
    <w:rsid w:val="00A4678D"/>
    <w:rsid w:val="00A778C7"/>
    <w:rsid w:val="00AB441E"/>
    <w:rsid w:val="00AB6293"/>
    <w:rsid w:val="00AE0928"/>
    <w:rsid w:val="00AF3B82"/>
    <w:rsid w:val="00B12E95"/>
    <w:rsid w:val="00B21477"/>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791"/>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6/2026"/>
    <w:docVar w:name="dvlangue" w:val="RO"/>
    <w:docVar w:name="dvnumam" w:val="0"/>
    <w:docVar w:name="dvpe" w:val="784.231"/>
    <w:docVar w:name="dvrapporteur" w:val="Raportor: "/>
    <w:docVar w:name="dvtitre" w:val="Rezoluția Parlamentului European din 17 iunie 2026 referitoare la raportul Comisiei privind Kosovo din 2025(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30B9CB2"/>
  <w15:chartTrackingRefBased/>
  <w15:docId w15:val="{C91213F1-B3A4-419E-A8BA-397BD7006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B58EA"/>
    <w:pPr>
      <w:spacing w:after="240"/>
      <w:ind w:left="567" w:hanging="567"/>
    </w:pPr>
  </w:style>
  <w:style w:type="paragraph" w:customStyle="1" w:styleId="EPComma">
    <w:name w:val="EPComma"/>
    <w:basedOn w:val="Normal"/>
    <w:rsid w:val="009B58EA"/>
    <w:pPr>
      <w:spacing w:before="480" w:after="240"/>
    </w:pPr>
  </w:style>
  <w:style w:type="character" w:styleId="Hyperlink">
    <w:name w:val="Hyperlink"/>
    <w:basedOn w:val="DefaultParagraphFont"/>
    <w:rsid w:val="009B58EA"/>
    <w:rPr>
      <w:color w:val="0563C1" w:themeColor="hyperlink"/>
      <w:u w:val="single"/>
    </w:rPr>
  </w:style>
  <w:style w:type="paragraph" w:styleId="Revision">
    <w:name w:val="Revision"/>
    <w:hidden/>
    <w:uiPriority w:val="99"/>
    <w:semiHidden/>
    <w:rsid w:val="00520A0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RO/ALL/?uri=CELEX:52020DC0641" TargetMode="External" /><Relationship Id="rId8" Type="http://schemas.openxmlformats.org/officeDocument/2006/relationships/hyperlink" Target="https://eur-lex.europa.eu/legal-content/RO/ALL/?uri=CELEX:52023DC0691" TargetMode="External" /><Relationship Id="rId9" Type="http://schemas.openxmlformats.org/officeDocument/2006/relationships/hyperlink" Target="https://eur-lex.europa.eu/legal-content/RO/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7247</Words>
  <Characters>44362</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2026-06-17T14:45:00Z</dcterms:created>
  <dcterms:modified xsi:type="dcterms:W3CDTF">2026-06-17T14:45:00Z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P10_TA(2026)0220_</vt:lpwstr>
  </property>
  <property fmtid="{D5CDD505-2E9C-101B-9397-08002B2CF9AE}" pid="4" name="&lt;Type&gt;">
    <vt:lpwstr>RR</vt:lpwstr>
  </property>
</Properties>
</file>