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5929F4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6596E" w:rsidP="0010095E" w14:paraId="544361BA" w14:textId="77777777">
            <w:pPr>
              <w:pStyle w:val="EPName"/>
            </w:pPr>
            <w:r w:rsidRPr="00B6596E">
              <w:t>Európsky parlament</w:t>
            </w:r>
          </w:p>
          <w:p w:rsidR="00751A4A" w:rsidRPr="00B6596E" w:rsidP="005F1B17" w14:paraId="3808F04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596E">
              <w:t>2024</w:t>
            </w:r>
            <w:r w:rsidRPr="00B6596E" w:rsidR="00817416">
              <w:t>-202</w:t>
            </w:r>
            <w:r w:rsidRPr="00B6596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6596E" w:rsidP="0010095E" w14:paraId="49F6366C" w14:textId="77777777">
            <w:pPr>
              <w:pStyle w:val="EPLogo"/>
            </w:pPr>
            <w:r w:rsidRPr="00B6596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6596E" w:rsidP="004C5D52" w14:paraId="64F56306" w14:textId="77777777">
      <w:pPr>
        <w:pStyle w:val="LineTop"/>
      </w:pPr>
    </w:p>
    <w:p w:rsidR="00680577" w:rsidRPr="00B6596E" w:rsidP="00680577" w14:paraId="34E4BD2A" w14:textId="77777777">
      <w:pPr>
        <w:pStyle w:val="EPBodyTA1"/>
      </w:pPr>
      <w:r w:rsidRPr="00B6596E">
        <w:t>PRIJATÉ TEXTY</w:t>
      </w:r>
    </w:p>
    <w:p w:rsidR="00D058B8" w:rsidRPr="00B6596E" w:rsidP="00D058B8" w14:paraId="4639C1E2" w14:textId="77777777">
      <w:pPr>
        <w:pStyle w:val="LineBottom"/>
      </w:pPr>
    </w:p>
    <w:p w:rsidR="00B467C1" w:rsidRPr="00B6596E" w:rsidP="00B467C1" w14:paraId="30CFDBD6" w14:textId="758A552D">
      <w:pPr>
        <w:pStyle w:val="ATHeading1"/>
      </w:pPr>
      <w:bookmarkStart w:id="0" w:name="TANumber"/>
      <w:r w:rsidRPr="00B6596E">
        <w:t>P10_TA(2026)0</w:t>
      </w:r>
      <w:r w:rsidRPr="00B6596E" w:rsidR="00B6596E">
        <w:t>220</w:t>
      </w:r>
      <w:bookmarkEnd w:id="0"/>
    </w:p>
    <w:p w:rsidR="00B467C1" w:rsidRPr="00B6596E" w:rsidP="00B467C1" w14:paraId="31316753" w14:textId="5DF273ED">
      <w:pPr>
        <w:pStyle w:val="ATHeading2"/>
      </w:pPr>
      <w:bookmarkStart w:id="1" w:name="title"/>
      <w:r w:rsidRPr="00B6596E">
        <w:t>Správa Komisie o Kosove za rok 2025</w:t>
      </w:r>
      <w:bookmarkEnd w:id="1"/>
    </w:p>
    <w:p w:rsidR="00B467C1" w:rsidRPr="00B6596E" w:rsidP="00B467C1" w14:paraId="4F55B909" w14:textId="77777777">
      <w:pPr>
        <w:rPr>
          <w:i/>
          <w:vanish/>
        </w:rPr>
      </w:pPr>
      <w:r>
        <w:rPr>
          <w:i/>
        </w:rPr>
        <w:fldChar w:fldCharType="begin"/>
      </w:r>
      <w:r w:rsidRPr="00B6596E">
        <w:rPr>
          <w:i/>
        </w:rPr>
        <w:instrText xml:space="preserve"> TC"(</w:instrText>
      </w:r>
      <w:bookmarkStart w:id="2" w:name="DocNumber"/>
      <w:r w:rsidRPr="00B6596E">
        <w:rPr>
          <w:i/>
        </w:rPr>
        <w:instrText>A10-0166/2026</w:instrText>
      </w:r>
      <w:bookmarkEnd w:id="2"/>
      <w:r w:rsidRPr="00B6596E">
        <w:rPr>
          <w:i/>
        </w:rPr>
        <w:instrText xml:space="preserve"> - Spravodajca: </w:instrText>
      </w:r>
      <w:r w:rsidRPr="00B6596E">
        <w:rPr>
          <w:i/>
        </w:rPr>
        <w:instrText>Riho</w:instrText>
      </w:r>
      <w:r w:rsidRPr="00B6596E">
        <w:rPr>
          <w:i/>
        </w:rPr>
        <w:instrText xml:space="preserve"> </w:instrText>
      </w:r>
      <w:r w:rsidRPr="00B6596E">
        <w:rPr>
          <w:i/>
        </w:rPr>
        <w:instrText>Terras</w:instrText>
      </w:r>
      <w:r w:rsidRPr="00B6596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467C1" w:rsidRPr="00B6596E" w:rsidP="00B467C1" w14:paraId="26A87EF7" w14:textId="77777777">
      <w:pPr>
        <w:rPr>
          <w:vanish/>
        </w:rPr>
      </w:pPr>
      <w:bookmarkStart w:id="3" w:name="Commission"/>
      <w:r w:rsidRPr="00B6596E">
        <w:rPr>
          <w:vanish/>
        </w:rPr>
        <w:t>Výbor pre zahraničné veci</w:t>
      </w:r>
      <w:bookmarkEnd w:id="3"/>
    </w:p>
    <w:p w:rsidR="00B467C1" w:rsidRPr="00B6596E" w:rsidP="00B467C1" w14:paraId="291B8467" w14:textId="77777777">
      <w:pPr>
        <w:rPr>
          <w:vanish/>
        </w:rPr>
      </w:pPr>
      <w:bookmarkStart w:id="4" w:name="PE"/>
      <w:r w:rsidRPr="00B6596E">
        <w:rPr>
          <w:vanish/>
        </w:rPr>
        <w:t>PE784.231</w:t>
      </w:r>
      <w:bookmarkEnd w:id="4"/>
    </w:p>
    <w:p w:rsidR="00B467C1" w:rsidRPr="00B6596E" w:rsidP="00B467C1" w14:paraId="1FB31F83" w14:textId="7D45D64B">
      <w:pPr>
        <w:pStyle w:val="ATHeading3"/>
      </w:pPr>
      <w:bookmarkStart w:id="5" w:name="Sujet"/>
      <w:r w:rsidRPr="00B6596E">
        <w:t xml:space="preserve">Uznesenie Európskeho parlamentu zo </w:t>
      </w:r>
      <w:r w:rsidRPr="00B6596E" w:rsidR="007A5BEE">
        <w:t>17</w:t>
      </w:r>
      <w:r w:rsidRPr="00B6596E">
        <w:t xml:space="preserve">. </w:t>
      </w:r>
      <w:r w:rsidRPr="00B6596E" w:rsidR="007A5BEE">
        <w:t xml:space="preserve">júna </w:t>
      </w:r>
      <w:r w:rsidRPr="00B6596E">
        <w:t>2026 o správe Komisie o Kosove za rok 2025</w:t>
      </w:r>
      <w:bookmarkEnd w:id="5"/>
      <w:r w:rsidRPr="00B6596E">
        <w:t xml:space="preserve"> </w:t>
      </w:r>
      <w:bookmarkStart w:id="6" w:name="References"/>
      <w:r w:rsidRPr="00B6596E">
        <w:t>(2025/2252(INI))</w:t>
      </w:r>
      <w:bookmarkEnd w:id="6"/>
    </w:p>
    <w:p w:rsidR="006E68D4" w:rsidRPr="00B6596E" w:rsidP="006E68D4" w14:paraId="41623123" w14:textId="77777777">
      <w:pPr>
        <w:pStyle w:val="EPComma"/>
      </w:pPr>
      <w:r w:rsidRPr="00B6596E">
        <w:rPr>
          <w:i/>
        </w:rPr>
        <w:t>Európsky parlament</w:t>
      </w:r>
      <w:r w:rsidRPr="00B6596E">
        <w:t>,</w:t>
      </w:r>
    </w:p>
    <w:p w:rsidR="006E68D4" w:rsidRPr="00B6596E" w:rsidP="006E68D4" w14:paraId="6F03DA50" w14:textId="77777777">
      <w:pPr>
        <w:pStyle w:val="NormalHanging12a"/>
      </w:pPr>
      <w:r w:rsidRPr="00B6596E">
        <w:t>–</w:t>
      </w:r>
      <w:r w:rsidRPr="00B6596E">
        <w:tab/>
        <w:t>so zreteľom na Dohodu o stabilizácii a pridružení medzi Európskou úniou a Európskym spoločenstvom pre atómovú energiu na jednej strane a Kosovom na strane druhej</w:t>
      </w:r>
      <w:r>
        <w:rPr>
          <w:rStyle w:val="FootnoteReference"/>
        </w:rPr>
        <w:footnoteReference w:id="2"/>
      </w:r>
      <w:r w:rsidRPr="00B6596E">
        <w:t>, ktorá nadobudla platnosť 1. apríla 2016,</w:t>
      </w:r>
    </w:p>
    <w:p w:rsidR="006E68D4" w:rsidRPr="00B6596E" w:rsidP="006E68D4" w14:paraId="01DB1DA9" w14:textId="77777777">
      <w:pPr>
        <w:pStyle w:val="NormalHanging12a"/>
      </w:pPr>
      <w:r w:rsidRPr="00B6596E">
        <w:t>–</w:t>
      </w:r>
      <w:r w:rsidRPr="00B6596E">
        <w:tab/>
        <w:t>so zreteľom na žiadosť Kosova o členstvo v Európskej únii z 15. decembra 2022,</w:t>
      </w:r>
    </w:p>
    <w:p w:rsidR="006E68D4" w:rsidRPr="00B6596E" w:rsidP="006E68D4" w14:paraId="4E0D93C4" w14:textId="77777777">
      <w:pPr>
        <w:pStyle w:val="NormalHanging12a"/>
      </w:pPr>
      <w:r w:rsidRPr="00B6596E">
        <w:t>–</w:t>
      </w:r>
      <w:r w:rsidRPr="00B6596E">
        <w:tab/>
        <w:t>so zreteľom na žiadosť Kosova o členstvo v Rade Európy z 12. mája 2022,</w:t>
      </w:r>
    </w:p>
    <w:p w:rsidR="006E68D4" w:rsidRPr="00B6596E" w:rsidP="006E68D4" w14:paraId="79EAA8F5" w14:textId="77777777">
      <w:pPr>
        <w:pStyle w:val="NormalHanging12a"/>
      </w:pPr>
      <w:r w:rsidRPr="00B6596E">
        <w:t>–</w:t>
      </w:r>
      <w:r w:rsidRPr="00B6596E">
        <w:tab/>
        <w:t>so zreteľom na Rámcovú dohodu medzi Európskou úniou a Kosovom o všeobecných zásadách účasti Kosova na programoch Únie</w:t>
      </w:r>
      <w:r>
        <w:rPr>
          <w:rStyle w:val="FootnoteReference"/>
        </w:rPr>
        <w:footnoteReference w:id="3"/>
      </w:r>
      <w:r w:rsidRPr="00B6596E">
        <w:t>, ktorá nadobudla platnosť 1. augusta 2017,</w:t>
      </w:r>
    </w:p>
    <w:p w:rsidR="006E68D4" w:rsidRPr="00B6596E" w:rsidP="006E68D4" w14:paraId="3A60BF48" w14:textId="77777777">
      <w:pPr>
        <w:pStyle w:val="NormalHanging12a"/>
      </w:pPr>
      <w:r w:rsidRPr="00B6596E">
        <w:t>–</w:t>
      </w:r>
      <w:r w:rsidRPr="00B6596E">
        <w:tab/>
        <w:t>so zreteľom na nariadenie Európskeho parlamentu a Rady (EÚ) 2021/1529 z 15. septembra 2021, ktorým sa zriaďuje nástroj predvstupovej pomoci (IPA III)</w:t>
      </w:r>
      <w:r>
        <w:rPr>
          <w:rStyle w:val="FootnoteReference"/>
        </w:rPr>
        <w:footnoteReference w:id="4"/>
      </w:r>
      <w:r w:rsidRPr="00B6596E">
        <w:t>,</w:t>
      </w:r>
    </w:p>
    <w:p w:rsidR="006E68D4" w:rsidRPr="00B6596E" w:rsidP="006E68D4" w14:paraId="2C9705CC" w14:textId="77777777">
      <w:pPr>
        <w:pStyle w:val="NormalHanging12a"/>
      </w:pPr>
      <w:r w:rsidRPr="00B6596E">
        <w:t>–</w:t>
      </w:r>
      <w:r w:rsidRPr="00B6596E">
        <w:tab/>
        <w:t>so zreteľom na nariadenie Európskeho parlamentu a Rady (EÚ) 2023/850 z 19. apríla 2023, ktorým sa mení nariadenie (EÚ) 2018/1806 uvádzajúce zoznam tretích krajín, ktorých štátni príslušníci musia mať víza pri prekračovaní vonkajších hraníc členských štátov, a krajín, ktorých štátni príslušníci sú oslobodení od tejto povinnosti</w:t>
      </w:r>
      <w:r>
        <w:rPr>
          <w:rStyle w:val="FootnoteReference"/>
        </w:rPr>
        <w:footnoteReference w:id="5"/>
      </w:r>
      <w:r w:rsidRPr="00B6596E">
        <w:t>, pokiaľ ide o Kosovo, a ktorým sa od 1. januára 2024 umožňuje bezvízový režim pre držiteľov biometrických pasov vydaných Kosovom,</w:t>
      </w:r>
    </w:p>
    <w:p w:rsidR="006E68D4" w:rsidRPr="00B6596E" w:rsidP="006E68D4" w14:paraId="38C63861" w14:textId="77777777">
      <w:pPr>
        <w:pStyle w:val="NormalHanging12a"/>
      </w:pPr>
      <w:r w:rsidRPr="00B6596E">
        <w:t>–</w:t>
      </w:r>
      <w:r w:rsidRPr="00B6596E">
        <w:tab/>
        <w:t xml:space="preserve">so zreteľom na nariadenie Európskeho parlamentu a Rady (EÚ) 2024/1449 zo 14. mája </w:t>
      </w:r>
      <w:r w:rsidRPr="00B6596E">
        <w:t>2024 o zriadení Nástroja na podporu reforiem a rastu pre západný Balkán</w:t>
      </w:r>
      <w:r>
        <w:rPr>
          <w:rStyle w:val="FootnoteReference"/>
        </w:rPr>
        <w:footnoteReference w:id="6"/>
      </w:r>
      <w:r w:rsidRPr="00B6596E">
        <w:t>,</w:t>
      </w:r>
    </w:p>
    <w:p w:rsidR="006E68D4" w:rsidRPr="00B6596E" w:rsidP="006E68D4" w14:paraId="276DAFD7" w14:textId="77777777">
      <w:pPr>
        <w:pStyle w:val="NormalHanging12a"/>
      </w:pPr>
      <w:r w:rsidRPr="00B6596E">
        <w:t>–</w:t>
      </w:r>
      <w:r w:rsidRPr="00B6596E">
        <w:tab/>
        <w:t>so zreteľom na závery predsedníctva zo zasadnutia Európskej rady v Solúne, ktoré sa konalo 19. a 20. júna 2003,</w:t>
      </w:r>
    </w:p>
    <w:p w:rsidR="006E68D4" w:rsidRPr="00B6596E" w:rsidP="006E68D4" w14:paraId="35FF9356" w14:textId="77777777">
      <w:pPr>
        <w:pStyle w:val="NormalHanging12a"/>
      </w:pPr>
      <w:r w:rsidRPr="00B6596E">
        <w:t>–</w:t>
      </w:r>
      <w:r w:rsidRPr="00B6596E">
        <w:tab/>
        <w:t xml:space="preserve">so zreteľom na samity EÚ – západný Balkán, ktoré sa konali v rokoch 2018, 2020 a 2021 v Sofii, v Záhrebe a v Brde pri </w:t>
      </w:r>
      <w:r w:rsidRPr="00B6596E">
        <w:t>Kranju</w:t>
      </w:r>
      <w:r w:rsidRPr="00B6596E">
        <w:t>, a na vyhlásenia z nich,</w:t>
      </w:r>
    </w:p>
    <w:p w:rsidR="006E68D4" w:rsidRPr="00B6596E" w:rsidP="006E68D4" w14:paraId="28C427FB" w14:textId="77777777">
      <w:pPr>
        <w:pStyle w:val="NormalHanging12a"/>
      </w:pPr>
      <w:r w:rsidRPr="00B6596E">
        <w:t>–</w:t>
      </w:r>
      <w:r w:rsidRPr="00B6596E">
        <w:tab/>
        <w:t>so zreteľom na stretnutie vedúcich predstaviteľov krajín západného Balkánu, ktoré sa uskutočnilo 1. júla 2025 v Skopje (Severné Macedónsko), o pláne rastu pre západný Balkán,</w:t>
      </w:r>
    </w:p>
    <w:p w:rsidR="006E68D4" w:rsidRPr="00B6596E" w:rsidP="006E68D4" w14:paraId="083E8494" w14:textId="77777777">
      <w:pPr>
        <w:pStyle w:val="NormalHanging12a"/>
      </w:pPr>
      <w:r w:rsidRPr="00B6596E">
        <w:t>–</w:t>
      </w:r>
      <w:r w:rsidRPr="00B6596E">
        <w:tab/>
        <w:t>so zreteľom na vyhlásenie prijaté na samite EÚ – západný Balkán, ktorý sa konal 17. decembra 2025,</w:t>
      </w:r>
    </w:p>
    <w:p w:rsidR="006E68D4" w:rsidRPr="00B6596E" w:rsidP="006E68D4" w14:paraId="6170E4AD" w14:textId="77777777">
      <w:pPr>
        <w:pStyle w:val="NormalHanging12a"/>
      </w:pPr>
      <w:r w:rsidRPr="00B6596E">
        <w:t>–</w:t>
      </w:r>
      <w:r w:rsidRPr="00B6596E">
        <w:tab/>
        <w:t>so zreteľom na závery Predsedníctva zo 16. decembra 2025 o rozširovaní,</w:t>
      </w:r>
    </w:p>
    <w:p w:rsidR="006E68D4" w:rsidRPr="00B6596E" w:rsidP="006E68D4" w14:paraId="4301A28E" w14:textId="77777777">
      <w:pPr>
        <w:pStyle w:val="NormalHanging12a"/>
      </w:pPr>
      <w:r w:rsidRPr="00B6596E">
        <w:t>–</w:t>
      </w:r>
      <w:r w:rsidRPr="00B6596E">
        <w:tab/>
        <w:t>so zreteľom na berlínsky proces, ktorý sa začal 28. augusta 2014,</w:t>
      </w:r>
    </w:p>
    <w:p w:rsidR="006E68D4" w:rsidRPr="00B6596E" w:rsidP="006E68D4" w14:paraId="30C5F608" w14:textId="77777777">
      <w:pPr>
        <w:pStyle w:val="NormalHanging12a"/>
      </w:pPr>
      <w:r w:rsidRPr="00B6596E">
        <w:t>–</w:t>
      </w:r>
      <w:r w:rsidRPr="00B6596E">
        <w:tab/>
        <w:t>so zreteľom na závery predsedu zo samitu o berlínskom procese, ktorý sa konal 22. októbra 2025,</w:t>
      </w:r>
    </w:p>
    <w:p w:rsidR="006E68D4" w:rsidRPr="00B6596E" w:rsidP="006E68D4" w14:paraId="357C5F95" w14:textId="77777777">
      <w:pPr>
        <w:pStyle w:val="NormalHanging12a"/>
      </w:pPr>
      <w:r w:rsidRPr="00B6596E">
        <w:t>–</w:t>
      </w:r>
      <w:r w:rsidRPr="00B6596E">
        <w:tab/>
        <w:t>so zreteľom na oznámenie Komisie zo 6. októbra 2020 s názvom Hospodársky a investičný plán pre západný Balkán (</w:t>
      </w:r>
      <w:hyperlink r:id="rId7" w:tgtFrame="https://eur-lex.europa.eu/legal-content/EN/ALL/?uri=CELEX:52020DC0641" w:history="1">
        <w:r w:rsidRPr="00B6596E">
          <w:t>COM(2020)0641</w:t>
        </w:r>
      </w:hyperlink>
      <w:r w:rsidRPr="00B6596E">
        <w:t>),</w:t>
      </w:r>
    </w:p>
    <w:p w:rsidR="006E68D4" w:rsidRPr="00B6596E" w:rsidP="006E68D4" w14:paraId="7F6BA653" w14:textId="77777777">
      <w:pPr>
        <w:pStyle w:val="NormalHanging12a"/>
      </w:pPr>
      <w:r w:rsidRPr="00B6596E">
        <w:t>–</w:t>
      </w:r>
      <w:r w:rsidRPr="00B6596E">
        <w:tab/>
        <w:t>so zreteľom na oznámenie Komisie z 8. novembra 2023 s názvom Nový plán rastu pre západný Balkán (</w:t>
      </w:r>
      <w:hyperlink r:id="rId8" w:tgtFrame="https://eur-lex.europa.eu/legal-content/EN/ALL/?uri=CELEX:52023DC0691" w:history="1">
        <w:r w:rsidRPr="00B6596E">
          <w:t>COM(2023)0691</w:t>
        </w:r>
      </w:hyperlink>
      <w:r w:rsidRPr="00B6596E">
        <w:t>),</w:t>
      </w:r>
    </w:p>
    <w:p w:rsidR="006E68D4" w:rsidRPr="00B6596E" w:rsidP="006E68D4" w14:paraId="5FD8BE21" w14:textId="77777777">
      <w:pPr>
        <w:pStyle w:val="NormalHanging12a"/>
      </w:pPr>
      <w:r w:rsidRPr="00B6596E">
        <w:t>–</w:t>
      </w:r>
      <w:r w:rsidRPr="00B6596E">
        <w:tab/>
        <w:t>so zreteľom na oznámenie Komisie z 20. marca 2024 o reformách pred rozšírením a o preskúmaní politík (</w:t>
      </w:r>
      <w:hyperlink r:id="rId9" w:tgtFrame="https://eur-lex.europa.eu/legal-content/EN/ALL/?uri=CELEX:52024DC0146" w:history="1">
        <w:r w:rsidRPr="00B6596E">
          <w:t>COM(2024)0146</w:t>
        </w:r>
      </w:hyperlink>
      <w:r w:rsidRPr="00B6596E">
        <w:t>),</w:t>
      </w:r>
    </w:p>
    <w:p w:rsidR="006E68D4" w:rsidRPr="00B6596E" w:rsidP="006E68D4" w14:paraId="1902DB1F" w14:textId="77777777">
      <w:pPr>
        <w:pStyle w:val="NormalHanging12a"/>
      </w:pPr>
      <w:r w:rsidRPr="00B6596E">
        <w:t>–</w:t>
      </w:r>
      <w:r w:rsidRPr="00B6596E">
        <w:tab/>
        <w:t>so zreteľom na oznámenie Komisie zo 4. novembra 2025 s názvom Oznámenie o politike rozširovania EÚ za rok 2025 (COM(2025)0690) a na sprievodný pracovný dokument útvarov Komisie s názvom Správa o Kosove za rok 2025 (SWD(2025)0752),</w:t>
      </w:r>
    </w:p>
    <w:p w:rsidR="006E68D4" w:rsidRPr="00B6596E" w:rsidP="006E68D4" w14:paraId="1D9CF3A7" w14:textId="77777777">
      <w:pPr>
        <w:pStyle w:val="NormalHanging12a"/>
      </w:pPr>
      <w:r w:rsidRPr="00B6596E">
        <w:t>–</w:t>
      </w:r>
      <w:r w:rsidRPr="00B6596E">
        <w:tab/>
        <w:t>so zreteľom na Zmluvu o založení Energetického spoločenstva, podpísanú 25. októbra 2005 v Aténach, ktorej cieľom je rozšíriť pravidlá vnútorného trhu EÚ s energiami na juhovýchodnú Európu,</w:t>
      </w:r>
    </w:p>
    <w:p w:rsidR="006E68D4" w:rsidRPr="00B6596E" w:rsidP="006E68D4" w14:paraId="293C1AC5" w14:textId="77777777">
      <w:pPr>
        <w:pStyle w:val="NormalHanging12a"/>
      </w:pPr>
      <w:r w:rsidRPr="00B6596E">
        <w:t>–</w:t>
      </w:r>
      <w:r w:rsidRPr="00B6596E">
        <w:tab/>
        <w:t>so zreteľom na rezolúciu Bezpečnostnej rady OSN č. 1244 z 10. júna 1999, na poradné stanovisko Medzinárodného súdneho dvora (MSD) z 22. júla 2010 k otázke súladu jednostranného vyhlásenia nezávislosti Kosova s medzinárodným právom a na rezolúciu Valného zhromaždenia OSN č. 64/298 z 9. septembra 2010, ktorou sa uznal obsah stanoviska Medzinárodného súdneho dvora a privítala pripravenosť EÚ uľahčiť dialóg medzi Srbskom a Kosovom,</w:t>
      </w:r>
    </w:p>
    <w:p w:rsidR="006E68D4" w:rsidRPr="00B6596E" w:rsidP="006E68D4" w14:paraId="01DBCDE3" w14:textId="77777777">
      <w:pPr>
        <w:pStyle w:val="NormalHanging12a"/>
      </w:pPr>
      <w:r w:rsidRPr="00B6596E">
        <w:t>–</w:t>
      </w:r>
      <w:r w:rsidRPr="00B6596E">
        <w:tab/>
        <w:t>so zreteľom na nepretržité zosúlaďovanie sa Kosova so spoločnou zahraničnou a bezpečnostnou politikou EÚ;</w:t>
      </w:r>
    </w:p>
    <w:p w:rsidR="006E68D4" w:rsidRPr="00B6596E" w:rsidP="006E68D4" w14:paraId="68763A87" w14:textId="77777777">
      <w:pPr>
        <w:pStyle w:val="NormalHanging12a"/>
      </w:pPr>
      <w:r w:rsidRPr="00B6596E">
        <w:t>–</w:t>
      </w:r>
      <w:r w:rsidRPr="00B6596E">
        <w:tab/>
        <w:t xml:space="preserve">so zreteľom na prvú dohodu o zásadách upravujúcich normalizáciu vzťahov medzi </w:t>
      </w:r>
      <w:r w:rsidRPr="00B6596E">
        <w:t>Srbskom a Kosovom z 19. apríla 2013, na dohody z 25. augusta 2015 a na prebiehajúci dialóg o normalizácii vzťahov sprostredkovaný EÚ,</w:t>
      </w:r>
    </w:p>
    <w:p w:rsidR="006E68D4" w:rsidRPr="00B6596E" w:rsidP="006E68D4" w14:paraId="1AB04EAD" w14:textId="77777777">
      <w:pPr>
        <w:pStyle w:val="NormalHanging12a"/>
      </w:pPr>
      <w:r w:rsidRPr="00B6596E">
        <w:t>–</w:t>
      </w:r>
      <w:r w:rsidRPr="00B6596E">
        <w:tab/>
        <w:t>so zreteľom na dohodu z Bruselu z 27. februára 2023 a dohodu z Ochridu z 18. marca 2023 a na vykonávaciu prílohu k nim,</w:t>
      </w:r>
    </w:p>
    <w:p w:rsidR="006E68D4" w:rsidRPr="00B6596E" w:rsidP="006E68D4" w14:paraId="78C6F01A" w14:textId="77777777">
      <w:pPr>
        <w:pStyle w:val="NormalHanging12a"/>
      </w:pPr>
      <w:r w:rsidRPr="00B6596E">
        <w:t>–</w:t>
      </w:r>
      <w:r w:rsidRPr="00B6596E">
        <w:tab/>
        <w:t>so zreteľom na pokračujúcu prítomnosť a mandát mierových síl v Kosove pod vedením NATO, ktoré naďalej pomáhajú udržiavať bezpečné a chránené prostredie a slobodu pohybu v Kosove,</w:t>
      </w:r>
    </w:p>
    <w:p w:rsidR="006E68D4" w:rsidRPr="00B6596E" w:rsidP="006E68D4" w14:paraId="02F60A90" w14:textId="77777777">
      <w:pPr>
        <w:pStyle w:val="NormalHanging12a"/>
      </w:pPr>
      <w:r w:rsidRPr="00B6596E">
        <w:t>–</w:t>
      </w:r>
      <w:r w:rsidRPr="00B6596E">
        <w:tab/>
        <w:t>so zreteľom na rozhodnutie Rady (SZBP) 2025/1161 z 5. júna 2025, ktorým sa mení jednotná akcia 2008/124/SZBP o misii Európskej únie na podporu právneho štátu v Kosove (EULEX Kosovo)</w:t>
      </w:r>
      <w:r>
        <w:rPr>
          <w:rStyle w:val="FootnoteReference"/>
        </w:rPr>
        <w:footnoteReference w:id="7"/>
      </w:r>
      <w:r w:rsidRPr="00B6596E">
        <w:t xml:space="preserve"> a ktorým sa predĺžil mandát misie do 14. júna 2027,</w:t>
      </w:r>
    </w:p>
    <w:p w:rsidR="006E68D4" w:rsidRPr="00B6596E" w:rsidP="006E68D4" w14:paraId="33FFE631" w14:textId="77777777">
      <w:pPr>
        <w:pStyle w:val="NormalHanging12a"/>
      </w:pPr>
      <w:r w:rsidRPr="00B6596E">
        <w:t>–</w:t>
      </w:r>
      <w:r w:rsidRPr="00B6596E">
        <w:tab/>
        <w:t>so zreteľom na záverečnú správu volebnej pozorovateľskej misie Európskej únie o parlamentných voľbách v Kosove v roku 2025,</w:t>
      </w:r>
    </w:p>
    <w:p w:rsidR="006E68D4" w:rsidRPr="00B6596E" w:rsidP="006E68D4" w14:paraId="7B2EC243" w14:textId="77777777">
      <w:pPr>
        <w:pStyle w:val="NormalHanging12a"/>
      </w:pPr>
      <w:r w:rsidRPr="00B6596E">
        <w:t>–</w:t>
      </w:r>
      <w:r w:rsidRPr="00B6596E">
        <w:tab/>
        <w:t>so zreteľom na svoje predchádzajúce uznesenia o Kosove,</w:t>
      </w:r>
    </w:p>
    <w:p w:rsidR="006E68D4" w:rsidRPr="00B6596E" w:rsidP="006E68D4" w14:paraId="4BDF7ABA" w14:textId="77777777">
      <w:pPr>
        <w:pStyle w:val="NormalHanging12a"/>
      </w:pPr>
      <w:r w:rsidRPr="00B6596E">
        <w:t>–</w:t>
      </w:r>
      <w:r w:rsidRPr="00B6596E">
        <w:tab/>
        <w:t xml:space="preserve">so zreteľom na spoločné odporúčania, ktoré 9. decembra 2024 prijal Parlamentný výbor pre stabilizáciu a pridruženie EÚ – Kosovo na svojej 12. schôdzi, </w:t>
      </w:r>
    </w:p>
    <w:p w:rsidR="006E68D4" w:rsidRPr="00B6596E" w:rsidP="006E68D4" w14:paraId="57740B1C" w14:textId="77777777">
      <w:pPr>
        <w:pStyle w:val="NormalHanging12a"/>
      </w:pPr>
      <w:r w:rsidRPr="00B6596E">
        <w:t>–</w:t>
      </w:r>
      <w:r w:rsidRPr="00B6596E">
        <w:tab/>
        <w:t xml:space="preserve">so zreteľom na index vnímania korupcie organizácie </w:t>
      </w:r>
      <w:r w:rsidRPr="00B6596E">
        <w:t>Transparency</w:t>
      </w:r>
      <w:r w:rsidRPr="00B6596E">
        <w:t xml:space="preserve"> International z roku 2025,</w:t>
      </w:r>
    </w:p>
    <w:p w:rsidR="006E68D4" w:rsidRPr="00B6596E" w:rsidP="006E68D4" w14:paraId="19DB0D56" w14:textId="77777777">
      <w:pPr>
        <w:pStyle w:val="NormalHanging12a"/>
      </w:pPr>
      <w:r w:rsidRPr="00B6596E">
        <w:t>–</w:t>
      </w:r>
      <w:r w:rsidRPr="00B6596E">
        <w:tab/>
        <w:t>so zreteľom na svetový rebríček slobody tlače za rok 2025, ktorý uverejnila organizácia Reportéri bez hraníc,</w:t>
      </w:r>
    </w:p>
    <w:p w:rsidR="006E68D4" w:rsidRPr="00B6596E" w:rsidP="006E68D4" w14:paraId="039B5FC2" w14:textId="77777777">
      <w:pPr>
        <w:pStyle w:val="NormalHanging12a"/>
        <w:rPr>
          <w:i/>
        </w:rPr>
      </w:pPr>
      <w:r w:rsidRPr="00B6596E">
        <w:rPr>
          <w:i/>
        </w:rPr>
        <w:t>–</w:t>
      </w:r>
      <w:r w:rsidRPr="00B6596E">
        <w:rPr>
          <w:i/>
        </w:rPr>
        <w:tab/>
      </w:r>
      <w:r w:rsidRPr="00B6596E">
        <w:t>so zreteľom na služobnú cestu na účely zistenia potrebných skutočností do Prištiny v rámci platformy Rady Európy pre bezpečnosť novinárov v dňoch 24. a 25. marca 2026,</w:t>
      </w:r>
    </w:p>
    <w:p w:rsidR="006E68D4" w:rsidRPr="00B6596E" w:rsidP="006E68D4" w14:paraId="7AB53BD6" w14:textId="77777777">
      <w:pPr>
        <w:pStyle w:val="NormalHanging12a"/>
      </w:pPr>
      <w:r w:rsidRPr="00B6596E">
        <w:t>–</w:t>
      </w:r>
      <w:r w:rsidRPr="00B6596E">
        <w:tab/>
        <w:t>so zreteľom na článok 55 rokovacieho poriadku,</w:t>
      </w:r>
    </w:p>
    <w:p w:rsidR="006E68D4" w:rsidRPr="00B6596E" w:rsidP="006E68D4" w14:paraId="15C580F3" w14:textId="77777777">
      <w:pPr>
        <w:pStyle w:val="NormalHanging12a"/>
      </w:pPr>
      <w:r w:rsidRPr="00B6596E">
        <w:t>–</w:t>
      </w:r>
      <w:r w:rsidRPr="00B6596E">
        <w:tab/>
        <w:t xml:space="preserve">so zreteľom na správu Výboru pre zahraničné veci ((A10-0166/2026), </w:t>
      </w:r>
    </w:p>
    <w:p w:rsidR="006E68D4" w:rsidRPr="00B6596E" w:rsidP="006E68D4" w14:paraId="54F095A9" w14:textId="77777777">
      <w:pPr>
        <w:pStyle w:val="NormalHanging12a"/>
      </w:pPr>
      <w:bookmarkStart w:id="7" w:name="_Hlk222084676"/>
      <w:r w:rsidRPr="00B6596E">
        <w:t>A.</w:t>
      </w:r>
      <w:r w:rsidRPr="00B6596E">
        <w:tab/>
        <w:t>keďže politika rozširovania je jedným z najúčinnejších nástrojov zahraničnej politiky EÚ, jednou z najúspešnejších politík na stimulovanie a podporu zásadných reforiem v krajinách zapojených do procesu rozširovania a strategickou geopolitickou investíciou do dlhodobého mieru, stability a bezpečnosti na celom kontinente;</w:t>
      </w:r>
    </w:p>
    <w:p w:rsidR="006E68D4" w:rsidRPr="00B6596E" w:rsidP="006E68D4" w14:paraId="2CAA54C1" w14:textId="77777777">
      <w:pPr>
        <w:pStyle w:val="NormalHanging12a"/>
      </w:pPr>
      <w:r w:rsidRPr="00B6596E">
        <w:t>B.</w:t>
      </w:r>
      <w:r w:rsidRPr="00B6596E">
        <w:tab/>
        <w:t>keďže demokracia, ľudské práva a právny štát sú základnými hodnotami, na ktorých je EÚ založená; keďže tieto základné hodnoty nemôžu byť v rámci procesu rozširovania ohrozené;</w:t>
      </w:r>
    </w:p>
    <w:p w:rsidR="006E68D4" w:rsidRPr="00B6596E" w:rsidP="006E68D4" w14:paraId="1D823A38" w14:textId="77777777">
      <w:pPr>
        <w:pStyle w:val="NormalHanging12a"/>
        <w:rPr>
          <w:szCs w:val="24"/>
        </w:rPr>
      </w:pPr>
      <w:r w:rsidRPr="00B6596E">
        <w:t>C.</w:t>
      </w:r>
      <w:r w:rsidRPr="00B6596E">
        <w:tab/>
        <w:t xml:space="preserve">keďže ústava </w:t>
      </w:r>
      <w:r w:rsidRPr="00B6596E">
        <w:t>Kosovskej</w:t>
      </w:r>
      <w:r w:rsidRPr="00B6596E">
        <w:t xml:space="preserve"> republiky je z hľadiska práv menšín jednou z najviac progresívnych;</w:t>
      </w:r>
    </w:p>
    <w:p w:rsidR="006E68D4" w:rsidRPr="00B6596E" w:rsidP="006E68D4" w14:paraId="28004279" w14:textId="77777777">
      <w:pPr>
        <w:pStyle w:val="NormalHanging12a"/>
        <w:rPr>
          <w:b/>
        </w:rPr>
      </w:pPr>
      <w:r w:rsidRPr="00B6596E">
        <w:t>D.</w:t>
      </w:r>
      <w:r w:rsidRPr="00B6596E">
        <w:tab/>
        <w:t xml:space="preserve">keďže každá krajina zapojená do procesu rozširovania sa posudzuje prísne na základe svojich vlastných zásluh; keďže časový harmonogram a pokrok v procese pristúpenia je </w:t>
      </w:r>
      <w:r w:rsidRPr="00B6596E">
        <w:t>určený vykonávaním potrebných reforiem a dodržiavaním súboru kritérií a spoločných európskych hodnôt;</w:t>
      </w:r>
      <w:r w:rsidRPr="00B6596E">
        <w:rPr>
          <w:b/>
        </w:rPr>
        <w:t xml:space="preserve"> </w:t>
      </w:r>
      <w:r w:rsidRPr="00B6596E">
        <w:t>keďže prístupový proces nemôže pokračovať bez toho, aby sa realizovali potrebné reformy;</w:t>
      </w:r>
    </w:p>
    <w:p w:rsidR="006E68D4" w:rsidRPr="00B6596E" w:rsidP="006E68D4" w14:paraId="2D02E46A" w14:textId="77777777">
      <w:pPr>
        <w:pStyle w:val="NormalHanging12a"/>
      </w:pPr>
      <w:r w:rsidRPr="00B6596E">
        <w:t>E.</w:t>
      </w:r>
      <w:r w:rsidRPr="00B6596E">
        <w:tab/>
        <w:t>keďže cesta Kosova k členstvu v EÚ závisí aj od normalizácie vzťahov so Srbskom a od dobrých susedských vzťahov;</w:t>
      </w:r>
    </w:p>
    <w:p w:rsidR="006E68D4" w:rsidRPr="00B6596E" w:rsidP="006E68D4" w14:paraId="630182C8" w14:textId="77777777">
      <w:pPr>
        <w:pStyle w:val="NormalHanging12a"/>
      </w:pPr>
      <w:r w:rsidRPr="00B6596E">
        <w:t>F.</w:t>
      </w:r>
      <w:r w:rsidRPr="00B6596E">
        <w:tab/>
        <w:t>keďže ochrana integrity demokratických procesov sa stala ústredným hľadiskom politiky rozširovania EÚ; keďže Kosovo je vystavené zahraničnému zasahovaniu a dezinformačným kampaniam, najmä z Ruska, a to aj prostredníctvom srbských nacionalistických médií, ktorých cieľom je destabilizovať demokratické inštitúcie, oslabiť spoločenskú súdržnosť a zabrániť európskej integrácii Kosova; keďže posilnenie demokratickej odolnosti je neoddeliteľnou súčasťou plnenia politických kritérií na pristúpenie;</w:t>
      </w:r>
    </w:p>
    <w:p w:rsidR="006E68D4" w:rsidRPr="00B6596E" w:rsidP="006E68D4" w14:paraId="4C032F69" w14:textId="77777777">
      <w:pPr>
        <w:pStyle w:val="NormalHanging12a"/>
        <w:rPr>
          <w:bCs/>
        </w:rPr>
      </w:pPr>
      <w:r w:rsidRPr="00B6596E">
        <w:t>G.</w:t>
      </w:r>
      <w:r w:rsidRPr="00B6596E">
        <w:tab/>
        <w:t>keďže v rozpore so všeobecnou európskou líniou nezávislosť Kosova zatiaľ neuznali Cyprus, Grécko, Rumunsko, Slovensko ani Španielsko;</w:t>
      </w:r>
    </w:p>
    <w:p w:rsidR="006E68D4" w:rsidRPr="00B6596E" w:rsidP="006E68D4" w14:paraId="313EB98B" w14:textId="77777777">
      <w:pPr>
        <w:pStyle w:val="NormalHanging12a"/>
        <w:rPr>
          <w:b/>
          <w:bCs/>
        </w:rPr>
      </w:pPr>
      <w:r w:rsidRPr="00B6596E">
        <w:rPr>
          <w:b/>
          <w:i/>
        </w:rPr>
        <w:t>Záväzok v súvislosti s pristúpením k EÚ</w:t>
      </w:r>
    </w:p>
    <w:p w:rsidR="006E68D4" w:rsidRPr="00B6596E" w:rsidP="006E68D4" w14:paraId="4E60E0A3" w14:textId="77777777">
      <w:pPr>
        <w:pStyle w:val="NormalHanging12a"/>
      </w:pPr>
      <w:r w:rsidRPr="00B6596E">
        <w:t>1.</w:t>
      </w:r>
      <w:r w:rsidRPr="00B6596E">
        <w:tab/>
        <w:t>oceňuje trvalý záväzok Kosova týkajúci sa pristúpenia k EÚ, ktorý odráža jasnú strategickú geopolitickú voľbu, ktorá zvyšuje bezpečnosť, pevné európske ukotvenie, všeobecnú zhodu medzi stranami v otázke európskej integrácie, ako aj vysokú úroveň podpory verejnosti európskej ceste Kosova, najmä prostredníctvom rozvoja úzkych a konkrétnych vzťahov s Európskou úniou;</w:t>
      </w:r>
    </w:p>
    <w:p w:rsidR="006E68D4" w:rsidRPr="00B6596E" w:rsidP="006E68D4" w14:paraId="7596B091" w14:textId="77777777">
      <w:pPr>
        <w:pStyle w:val="NormalHanging12a"/>
        <w:rPr>
          <w:color w:val="0070C0"/>
        </w:rPr>
      </w:pPr>
      <w:r w:rsidRPr="00B6596E">
        <w:t>2.</w:t>
      </w:r>
      <w:r w:rsidRPr="00B6596E">
        <w:tab/>
        <w:t xml:space="preserve">opätovne zdôrazňuje svoje pevné presvedčenie, že budúcnosť Kosova je v EÚ, a to najmä vzhľadom na súčasnú geopolitickú dynamiku v regióne, rýchle a zásadné zmeny vo svetovej politike a rastúcu konkurenciu zo strany autoritárskych režimov; zdôrazňuje, že zbližovanie Kosova a EÚ je súčasťou postupného integračného procesu, ktorý presahuje rámec samotného formálneho pristúpenia; zdôrazňuje, že konkrétne formy spolupráce a postupná integrácia, najmä prostredníctvom odvetvových partnerstiev, účasť na programoch EÚ, ako je Erasmus+, ako aj začlenenie do niektorých európskych politík, sú základnými pákami na posilnenie väzieb s Kosovom; zdôrazňuje, že tieto nástroje pomáhajú upevniť európske zakotvenie Kosova a reagovať na </w:t>
      </w:r>
      <w:r w:rsidRPr="00B6596E">
        <w:t>geostrategické</w:t>
      </w:r>
      <w:r w:rsidRPr="00B6596E">
        <w:t xml:space="preserve"> výzvy regiónu, a to aj tým, že sa zabráni vplyvu vonkajších aktérov bez toho, aby sa predurčilo tempo alebo výsledok procesu rozširovania;</w:t>
      </w:r>
    </w:p>
    <w:p w:rsidR="006E68D4" w:rsidRPr="00B6596E" w:rsidP="006E68D4" w14:paraId="3100A556" w14:textId="77777777">
      <w:pPr>
        <w:pStyle w:val="NormalHanging12a"/>
        <w:rPr>
          <w:bCs/>
        </w:rPr>
      </w:pPr>
      <w:r w:rsidRPr="00B6596E">
        <w:t>3.</w:t>
      </w:r>
      <w:r w:rsidRPr="00B6596E">
        <w:tab/>
        <w:t>víta zostavenie nového zhromaždenia a vlády Kosova 12. februára 2026 po predčasných parlamentných a demokratických voľbách, ktoré sa konali v decembri 2025, a po viac ako rok trvajúcej patovej politickej situácii a hlbokej politickej polarizácii; vyjadruje však poľutovanie nad ochromeným politickým procesom počas roku 2025, ktorý bol pre Kosovo „strateným rokom“; ďalej vyjadruje poľutovanie nad tým, že národné zhromaždenie v ústavnej lehote nezvolilo nového prezidenta; berie na vedomie rozpustenie národného zhromaždenia prezidentským dekrétom zo 6. marca 2026 a následný rozsudok ústavného súdu, ktorým sa toto rozhodnutie zrušilo a poslanci zhromaždenia dostali 34 dní na zvolenie nového prezidenta, inak by sa v krajine museli konať nové voľby; berie na vedomie neúspešné pokusy o zvolenie prezidenta v tejto lehote a následné oznámenie nových parlamentných volieb na 7. júna 2026;</w:t>
      </w:r>
    </w:p>
    <w:p w:rsidR="006E68D4" w:rsidRPr="00B6596E" w:rsidP="006E68D4" w14:paraId="00D3950F" w14:textId="77777777">
      <w:pPr>
        <w:pStyle w:val="NormalHanging12a"/>
        <w:rPr>
          <w:i/>
        </w:rPr>
      </w:pPr>
      <w:r w:rsidRPr="00B6596E">
        <w:t>4.</w:t>
      </w:r>
      <w:r w:rsidRPr="00B6596E">
        <w:tab/>
        <w:t xml:space="preserve">okrem toho víta skutočnosť, že Národné zhromaždenie Kosova 13. februára 2026 </w:t>
      </w:r>
      <w:r w:rsidRPr="00B6596E">
        <w:t>ratifikovalo dohody v rámci nástroja na podporu reforiem a rastu; konštatuje, že Kosovu sa tým otvára cesta k prístupu k značným grantom a zvýhodneným úverom zameraným na presadzovanie kľúčových reforiem, k urýchleniu jeho hospodárskej konvergencie a dosiahnutie ďalšieho pokroku na jeho európskej ceste; vyjadruje hlboké poľutovanie nad tým, že vzhľadom na „stratený rok“ a s ohľadom na možnú stratu ďalších mesiacov v dôsledku volebnej kampane krajina nemusí byť schopná v stanovených termínoch uskutočniť všetky potrebné reformy, čím by riskovala stratu významných objemov finančnej podpory v rámci nástroja na podporu reforiem a rastu;</w:t>
      </w:r>
    </w:p>
    <w:p w:rsidR="006E68D4" w:rsidRPr="00B6596E" w:rsidP="006E68D4" w14:paraId="500A187F" w14:textId="77777777">
      <w:pPr>
        <w:pStyle w:val="NormalHanging12a"/>
      </w:pPr>
      <w:r w:rsidRPr="00B6596E">
        <w:t>5.</w:t>
      </w:r>
      <w:r w:rsidRPr="00B6596E">
        <w:tab/>
        <w:t>zdôrazňuje, že dôveryhodné rozširovanie sa opiera o proces založený na zásluhách, ktorý si vyžaduje trvalé a nezvratné reformné úsilie a dôsledné vykonávanie reforiem, ktoré spĺňajú normy EÚ, najmä kodanské kritériá;</w:t>
      </w:r>
      <w:r w:rsidRPr="00B6596E">
        <w:rPr>
          <w:i/>
        </w:rPr>
        <w:t xml:space="preserve"> </w:t>
      </w:r>
      <w:r w:rsidRPr="00B6596E">
        <w:t>vyzýva Kosovo, aby urýchlilo svoj pokrok pri vykonávaní reforiem súvisiacich s EÚ, najmä v oblastiach právneho štátu, základných slobôd a boja proti korupcii, najmä korupcii na najvyššej úrovni, a aby pokračovalo v úsilí posilnením svojho záväzku voči európskym hodnotám a normám; zdôrazňuje, že akákoľvek predvstupová pomoc a súvisiaca finančná pomoc musia zostať prísne podmienené merateľnými a overiteľnými výsledkami v týchto oblastiach; v tejto súvislosti pripomína dôležitosť dodržiavania zásad právneho štátu, zaručenia rešpektovania názorov všetkých a účinného uplatňovania zákonov v praxi; zdôrazňuje, že je nevyhnutné prehodnotiť priority a dosiahnuť hmatateľný pokrok v týchto reformách, aby Kosovo posilnilo svoje väzby s Európou a dosiahlo pokrok na ceste vedúcej k pristúpeniu k EÚ; zdôrazňuje, že rozšírenie zahŕňa aj dôkladnú prípravu zo strany inštitúcií EÚ a členských štátov s cieľom zabezpečiť úspešnú integráciu potenciálnych nových členov, a to pri rešpektovaní hospodárskej stability vnútorného trhu, sociálnych a environmentálnych noriem a riadneho fungovania inštitúcií EÚ;</w:t>
      </w:r>
    </w:p>
    <w:p w:rsidR="006E68D4" w:rsidRPr="00B6596E" w:rsidP="006E68D4" w14:paraId="2E5A94E2" w14:textId="77777777">
      <w:pPr>
        <w:pStyle w:val="NormalHanging12a"/>
      </w:pPr>
      <w:r w:rsidRPr="00B6596E">
        <w:t>6.</w:t>
      </w:r>
      <w:r w:rsidRPr="00B6596E">
        <w:tab/>
        <w:t>podporuje žiadosť Kosova o členstvo v EÚ predloženú v decembri 2022; opakuje svoju výzvu členským štátom v rámci Rady, aby vyzvali Komisiu, aby bez zbytočného odkladu predložila svoj dotazník a svoje stanovisko k opodstatnenosti žiadosti krajiny o členstvo, a aby vyzvali Radu, aby následne konala rýchlo, a to aj udelením štatútu kandidátskej krajiny po splnení príslušných kritérií; vyzýva päť členských štátov, ktoré ešte neuznali nezávislosť Kosova, aby tak bezodkladne urobili a umožnili mu tak postupovať za rovnakých podmienok ako ostatné kandidátske krajiny; pripomína poradné stanovisko Medzinárodného súdneho dvora z 22. júla 2010, v ktorom sa uvádza, že jednostranné vyhlásenie nezávislosti Kosova nie je porušením všeobecného medzinárodného práva;</w:t>
      </w:r>
    </w:p>
    <w:p w:rsidR="006E68D4" w:rsidRPr="00B6596E" w:rsidP="006E68D4" w14:paraId="640E71C0" w14:textId="77777777">
      <w:pPr>
        <w:pStyle w:val="NormalHanging12a"/>
      </w:pPr>
      <w:r w:rsidRPr="00B6596E">
        <w:t>7.</w:t>
      </w:r>
      <w:r w:rsidRPr="00B6596E">
        <w:tab/>
        <w:t>opakuje, že plne podporuje žiadosť Kosova o členstvo v Rade Európy a jeho plán strategického smerovania k pripojeniu sa k programu NATO Partnerstvo za mier a jeho žiadosti o členstvo v ďalších medzinárodných organizáciách; vyzýva príslušné organizácie, ako aj členské štáty, aby tieto žiadosti aktívne podporili; konštatuje, že zblížením Kosova s NATO sa posilní európska bezpečnosť; vyzýva Komisiu a úrad EÚ v Kosove, aby zintenzívnili svoje úsilie o zviditeľnenie a lepšie pochopenie úlohy EÚ, ako aj konkrétnych výhod posilneného partnerstva medzi EÚ a Kosovom; naliehavo vyzýva Srbsko, aby nenamietalo proti členstvu Kosova v Rade Európy a ďalších medzinárodných organizáciách, čo by bolo v rozpore s dohodou medzi Kosovom a Srbskom z roku 2023 o normalizácii vzťahov;</w:t>
      </w:r>
    </w:p>
    <w:p w:rsidR="006E68D4" w:rsidRPr="00B6596E" w:rsidP="006E68D4" w14:paraId="192EAFD0" w14:textId="77777777">
      <w:pPr>
        <w:pStyle w:val="NormalHanging12a"/>
      </w:pPr>
      <w:r w:rsidRPr="00B6596E">
        <w:t>8.</w:t>
      </w:r>
      <w:r w:rsidRPr="00B6596E">
        <w:tab/>
        <w:t xml:space="preserve">oceňuje Kosovo ako spoľahlivého partnera EÚ, čo dokazuje jeho pokračujúce dobrovoľné zosúlaďovanie sa so spoločnou zahraničnou a bezpečnostnou politikou (SZBP) EÚ, vrátane pokračujúceho vykonávania reštriktívnych opatrení EÚ voči Rusku </w:t>
      </w:r>
      <w:r w:rsidRPr="00B6596E">
        <w:t>a Bielorusku, jasného odsúdenia útočnej vojny Ruska proti Ukrajine a trvalo vysokej úrovne verejnej podpory integrácie do EÚ medzi jeho občanmi; očakáva, že Kosovo bude pokračovať v tomto zosúlaďovaní a v úsilí o obmedzenie ruskej hrozby;</w:t>
      </w:r>
    </w:p>
    <w:p w:rsidR="006E68D4" w:rsidRPr="00B6596E" w:rsidP="006E68D4" w14:paraId="2F1B88F8" w14:textId="77777777">
      <w:pPr>
        <w:pStyle w:val="NormalHanging12a"/>
      </w:pPr>
      <w:r w:rsidRPr="00B6596E">
        <w:t>9.</w:t>
      </w:r>
      <w:r w:rsidRPr="00B6596E">
        <w:tab/>
        <w:t>víta podpísanie trojstranného vyhlásenia o spolupráci v oblasti obrany medzi Kosovom, Albánskom a Chorvátskom z 18. marca 2025, ktorého cieľom je posilniť obranné spôsobilosti a zlepšiť spoluprácu v boji proti hybridným hrozbám;</w:t>
      </w:r>
    </w:p>
    <w:p w:rsidR="006E68D4" w:rsidRPr="00B6596E" w:rsidP="006E68D4" w14:paraId="4E6253BB" w14:textId="77777777">
      <w:pPr>
        <w:pStyle w:val="NormalHanging12a"/>
      </w:pPr>
      <w:r w:rsidRPr="00B6596E">
        <w:t>10.</w:t>
      </w:r>
      <w:r w:rsidRPr="00B6596E">
        <w:tab/>
        <w:t xml:space="preserve">víta dlho odkladané rozhodnutie zrušiť opatrenia EÚ voči Kosovu, a to vrátane 216 miliónov EUR v rámci prioritných zmlúv a programovania, ktoré boli uvoľnené v decembri, a zostávajúcich 205 miliónov EUR, ktoré boli uvoľnené začiatkom roka 2026; domnieva sa, že tieto opatrenia boli v jasnom rozpore s preukázaným záväzkom Kosova voči európskym hodnotám a jeho zosúladením s politikami EÚ a už neboli opodstatnené vzhľadom na to, že boli splnené všetky potrebné požiadavky; berie na vedomie negatívny vplyv týchto opatrení na </w:t>
      </w:r>
      <w:r w:rsidRPr="00B6596E">
        <w:t>kosovskú</w:t>
      </w:r>
      <w:r w:rsidRPr="00B6596E">
        <w:t xml:space="preserve"> spoločnosť, najmä na miestne komunity, organizácie občianskej spoločnosti a malé a stredné podniky (MSP); kladie si otázku, prečo chýba transparentnosť a predvídateľnosť, verejnosť nie je dostatočne informovaná a trvanie opatrení sa predlžuje, hoci Kosovo spĺňa požiadavky stanovené EÚ;</w:t>
      </w:r>
    </w:p>
    <w:p w:rsidR="006E68D4" w:rsidRPr="00B6596E" w:rsidP="006E68D4" w14:paraId="2D330B45" w14:textId="77777777">
      <w:pPr>
        <w:pStyle w:val="NormalHanging12a"/>
        <w:rPr>
          <w:b/>
          <w:i/>
        </w:rPr>
      </w:pPr>
      <w:r w:rsidRPr="00B6596E">
        <w:rPr>
          <w:b/>
          <w:i/>
        </w:rPr>
        <w:t>Demokracia a právny štát</w:t>
      </w:r>
    </w:p>
    <w:p w:rsidR="006E68D4" w:rsidRPr="00B6596E" w:rsidP="006E68D4" w14:paraId="1A4423D8" w14:textId="77777777">
      <w:pPr>
        <w:pStyle w:val="NormalHanging12a"/>
      </w:pPr>
      <w:r w:rsidRPr="00B6596E">
        <w:t>11.</w:t>
      </w:r>
      <w:r w:rsidRPr="00B6596E">
        <w:tab/>
        <w:t xml:space="preserve">víta celkové pozitívne hodnotenie priebehu parlamentných a komunálnych volieb v roku 2025 a konštatuje, že prebehli pokojným, súťaživým a inkluzívnym spôsobom v rámci revidovaného volebného rámca v súlade s predchádzajúcimi odporúčaniami volebnej pozorovateľskej misie EÚ; vyjadruje uznanie orgánom za zavedenie elektronického hlasovacieho systému v Kosove; konštatuje však, že v priebehu volieb boli zistené určité nedostatky a naliehavo žiada </w:t>
      </w:r>
      <w:r w:rsidRPr="00B6596E">
        <w:t>kosovské</w:t>
      </w:r>
      <w:r w:rsidRPr="00B6596E">
        <w:t xml:space="preserve"> orgány, aby ich zohľadnili pri organizácii budúcich volieb;</w:t>
      </w:r>
    </w:p>
    <w:p w:rsidR="006E68D4" w:rsidRPr="00B6596E" w:rsidP="006E68D4" w14:paraId="431FDDC6" w14:textId="77777777">
      <w:pPr>
        <w:pStyle w:val="NormalHanging12a"/>
      </w:pPr>
      <w:r w:rsidRPr="00B6596E">
        <w:t>12.</w:t>
      </w:r>
      <w:r w:rsidRPr="00B6596E">
        <w:tab/>
        <w:t xml:space="preserve">víta účasť </w:t>
      </w:r>
      <w:r w:rsidRPr="00B6596E">
        <w:t>kosovských</w:t>
      </w:r>
      <w:r w:rsidRPr="00B6596E">
        <w:t xml:space="preserve"> Srbov v parlamentných a komunálnych voľbách v roku 2025 a prevzatie funkcie štyrmi novozvolenými srbskými starostami v obciach so srbskou väčšinou na severe Kosova po ich albánskych predchodcoch; vyjadruje však znepokojenie nad nátlakom vyvíjaným na voličov závislých od srbskej sociálnej pomoci a zamestnania, aby v parlamentných voľbách vo februári 2025 hlasovali za zástupcov strany </w:t>
      </w:r>
      <w:r w:rsidRPr="00B6596E">
        <w:t>Srpska</w:t>
      </w:r>
      <w:r w:rsidRPr="00B6596E">
        <w:t xml:space="preserve"> Lista;</w:t>
      </w:r>
    </w:p>
    <w:p w:rsidR="006E68D4" w:rsidRPr="00B6596E" w:rsidP="006E68D4" w14:paraId="388BD9A2" w14:textId="77777777">
      <w:pPr>
        <w:pStyle w:val="NormalHanging12a"/>
        <w:rPr>
          <w:bCs/>
        </w:rPr>
      </w:pPr>
      <w:r w:rsidRPr="00B6596E">
        <w:t>13.</w:t>
      </w:r>
      <w:r w:rsidRPr="00B6596E">
        <w:tab/>
        <w:t>vyjadruje poľutovanie nad pokračujúcimi pokusmi o politizáciu nezávislých inštitúcií vrátane ústrednej volebnej komisie a nad nedostatkami v riadení nezávislej komisie pre médiá; vyzýva Kosovo, aby ďalej zosúlaďovalo právny rámec, ktorým sa riadi nezávislá komisia pre médiá, s odporúčaniami Rady Európy a s normami EÚ s cieľom posilniť regulačnú nezávislosť, právnu istotu a dôveru verejnosti v dohľad nad médiami; vyzýva orgány, aby zabezpečili vymenúvania vychádzajúce zo zásluh, transparentnosť vo výberových konaniach a plné rešpektovanie nezávislosti týchto inštitúcií; zdôrazňuje, že odolné demokratické inštitúcie sú prvou obrannou líniou proti manipulácii informačného prostredia, skrytému ovplyvňovaniu a politicky motivovanému skresľovaniu verejnej diskusie; vyzýva Kosovo, aby vytvorilo inštitucionalizovaný rámec demokratickej odolnosti, ktorý by zahŕňal národné zhromaždenie, vládu, nezávislé regulačné orgány a volebnú správu, s jasne vymedzenými povinnosťami, pravidelnými posúdeniami rizík a verejným podávaním správ;</w:t>
      </w:r>
    </w:p>
    <w:p w:rsidR="006E68D4" w:rsidRPr="00B6596E" w:rsidP="006E68D4" w14:paraId="6828FA7C" w14:textId="77777777">
      <w:pPr>
        <w:pStyle w:val="NormalHanging12a"/>
      </w:pPr>
      <w:r w:rsidRPr="00B6596E">
        <w:t>14.</w:t>
      </w:r>
      <w:r w:rsidRPr="00B6596E">
        <w:tab/>
        <w:t>víta skutočnosť, že organizácie občianskej spoločnosti pôsobia vo všeobecne priaznivom prostredí, a vyzýva orgány, aby zabezpečili, že občianska spoločnosť bude od raného štádia zmysluplne zapojená do prípravy a realizácie reforiem súvisiacich s EÚ; zdôrazňuje význam zvýšenej zodpovednosti a transparentnosti v súvislosti s verejným financovaním organizácií občianskej spoločnosti; zdôrazňuje, že občianska spoločnosť má zásadný význam pri podpore demokracie a pluralizmu a pri presadzovaní dobrej správy vecí verejných a spoločenského pokroku;</w:t>
      </w:r>
    </w:p>
    <w:p w:rsidR="006E68D4" w:rsidRPr="00B6596E" w:rsidP="006E68D4" w14:paraId="071E50B3" w14:textId="77777777">
      <w:pPr>
        <w:pStyle w:val="NormalHanging12a"/>
        <w:rPr>
          <w:bCs/>
        </w:rPr>
      </w:pPr>
      <w:r w:rsidRPr="00B6596E">
        <w:t>15.</w:t>
      </w:r>
      <w:r w:rsidRPr="00B6596E">
        <w:tab/>
        <w:t xml:space="preserve">vyjadruje uznanie orgánom za konzultácie s Benátskou komisiou o balíku návrhov zákonov o súdnictve vrátane zákona o Prokurátorskej rade Kosova; vyjadruje však pretrvávajúce znepokojenie nad obmedzeným vykonávaním stratégie v oblasti právneho štátu a nedostatočným pokračovaním reforiem zo strany vlády, nad neúplným zložením Súdnej rady Kosova a nad oneskoreniami vo vykonávaní reforiem v oblasti justície; vyjadruje znepokojenie nad tým, že vláda neprijala potrebný vykonávací akt, v ktorom by načrtla organizačnú štruktúru a mechanizmy spolupráce medzi špeciálnou vyšetrovacou jednotkou </w:t>
      </w:r>
      <w:r w:rsidRPr="00B6596E">
        <w:t>kosovskej</w:t>
      </w:r>
      <w:r w:rsidRPr="00B6596E">
        <w:t xml:space="preserve"> polície a Úradom špeciálnej prokuratúry; víta pokrok dosiahnutý v súvislosti s vymenovaním nového predsedu Prokurátorskej rady Kosova a očakáva, že nové zloženie bude finalizované po obnovení práce národného zhromaždenia; víta prijatie 17 nových sudcov v Súdnej rade Kosova v transparentnom procese založenom na zásluhách a vyzýva prezidenta, aby bezodkladne potvrdil ich vymenovanie; naliehavo vyzýva Kosovo, aby prijalo rozhodné opatrenia na riešenie nedostatkov a zabezpečilo zosúladenie právnych predpisov o integrite a zodpovednosti súdnictva s európskymi normami a príslušnými odporúčaniami Benátskej komisie;</w:t>
      </w:r>
    </w:p>
    <w:p w:rsidR="006E68D4" w:rsidRPr="00B6596E" w:rsidP="006E68D4" w14:paraId="310A9ADA" w14:textId="77777777">
      <w:pPr>
        <w:pStyle w:val="NormalHanging12a"/>
      </w:pPr>
      <w:r w:rsidRPr="00B6596E">
        <w:t>16.</w:t>
      </w:r>
      <w:r w:rsidRPr="00B6596E">
        <w:tab/>
        <w:t>víta skutočnosť, že Kosovo znížilo administratívne zaťaženie prostredníctvom vykonávania programu v oblasti prevencie a znižovania administratívneho zaťaženia na roky 2025 – 2028 a jeho akčného plánu na roky 2025 – 2026; víta toto zlepšenie a prijatie zmien zákona o verejných činiteľoch a vyzýva Kosovo, aby ďalej zlepšovalo verejnú správu a systém štátnej služby vychádzajúci zo zásluh; konštatuje, že strategický rámec Kosova pre verejnú správu síce existuje, no nevykonáva sa účinným spôsobom;</w:t>
      </w:r>
    </w:p>
    <w:p w:rsidR="006E68D4" w:rsidRPr="00B6596E" w:rsidP="006E68D4" w14:paraId="7EE35D08" w14:textId="77777777">
      <w:pPr>
        <w:pStyle w:val="NormalHanging12a"/>
      </w:pPr>
      <w:r w:rsidRPr="00B6596E">
        <w:t xml:space="preserve">17. </w:t>
      </w:r>
      <w:r w:rsidRPr="00B6596E">
        <w:tab/>
      </w:r>
      <w:bookmarkStart w:id="8" w:name="_Hlk227243576"/>
      <w:r w:rsidRPr="00B6596E">
        <w:t>vyjadruje hlboké znepokojenie nad celkovo nedostatočným pokrokom v boji proti korupcii; vyjadruje poľutovanie nad nedostatkom hmatateľného štrukturálneho pokroku v tejto oblasti napriek prijatým záväzkom a zdôrazňuje, že korupcia zostáva systémovým problémom, ktorý podkopáva fungovanie verejných inštitúcií a dôveru verejnosti; so znepokojením berie na vedomie pokles Kosova v indexe vnímania korupcie za rok 2025, v ktorom sa umiestnilo na 76. mieste zo 182 krajín a území, čo je o tri miesta nižšie ako v roku 2024, čo predstavuje znepokojujúci zvrat v doterajšom trende postupného zlepšovania, pričom sa však Kosovo stále radí pred niektoré ďalšie krajiny v regióne; vyzýva orgány, aby bezodkladne prijali a vykonali konkrétne, účinné a overiteľné opatrenia na posilnenie prevencie, vyšetrovania a stíhania korupcie; vyzýva najmä na urýchlené prijatie národnej protikorupčnej stratégie a akčného plánu na roky 2025 – 2028, intenzívnejšie využívanie majetkových priznaní a plánov integrity a účinnejšie uplatňovanie nástrojov konfiškácie v prípadoch korupcie; zdôrazňuje, že je potrebné posilniť nezávislosť a operačnú kapacitu orgánov pre boj proti korupcii a zabezpečiť účinnú koordináciu medzi prokuratúrou, políciou a finančnými spravodajskými jednotkami; upozorňuje na to, že predchádzajúce odporúčania Komisie týkajúce sa posilnenia kapacity Agentúry na predchádzanie korupcii a vykonávania protikorupčných právnych predpisov sa ešte len majú vykonať; vyzýva na neustále zlepšovanie kvality vyšetrovaní v prípadoch korupcie na vysokých miestach;</w:t>
      </w:r>
      <w:bookmarkEnd w:id="8"/>
    </w:p>
    <w:p w:rsidR="006E68D4" w:rsidRPr="00B6596E" w:rsidP="006E68D4" w14:paraId="7374F2D1" w14:textId="77777777">
      <w:pPr>
        <w:pStyle w:val="NormalHanging12a"/>
      </w:pPr>
      <w:r w:rsidRPr="00B6596E">
        <w:t>18.</w:t>
      </w:r>
      <w:r w:rsidRPr="00B6596E">
        <w:tab/>
        <w:t>je znepokojený skutočnosťou, že v boji proti organizovanej trestnej činnosti sa dosiahol len obmedzený pokrok; vyzýva na urýchlené prijatie národnej stratégie a akčného plánu boja proti organizovanej trestnej činnosti; zdôrazňuje význam boja proti zločineckým sieťam posilnením medzinárodnej spolupráce prostredníctvom výmeny spravodajských informácií a posilnením spolupráce aktérov v oblasti presadzovania práva a trestného stíhania; vyzýva susedné krajiny Kosova, aby umožnili Kosovu zapojiť sa do medzinárodnej spolupráce na všetkých úrovniach s cieľom maximalizovať účinok boja proti organizovanej trestnej činnosti; zdôrazňuje potrebu prehĺbiť spoluprácu v oblasti boja proti drogám; vyzýva na ďalšie zosúladenie v oblasti boja proti terorizmu;</w:t>
      </w:r>
    </w:p>
    <w:p w:rsidR="006E68D4" w:rsidRPr="00B6596E" w:rsidP="006E68D4" w14:paraId="68941FF4" w14:textId="77777777">
      <w:pPr>
        <w:pStyle w:val="NormalHanging12a"/>
      </w:pPr>
      <w:r w:rsidRPr="00B6596E">
        <w:t>19.</w:t>
      </w:r>
      <w:r w:rsidRPr="00B6596E">
        <w:tab/>
        <w:t xml:space="preserve">zdôrazňuje pokračujúce úsilie misie EULEX, ktorá pomáha </w:t>
      </w:r>
      <w:r w:rsidRPr="00B6596E">
        <w:t>kosovským</w:t>
      </w:r>
      <w:r w:rsidRPr="00B6596E">
        <w:t xml:space="preserve"> orgánom pri vytváraní udržateľných a nezávislých inštitúcií právneho štátu; konštatuje, že pretrvávajúcimi problémami vrátane obmedzených právomocí v oblasti presadzovania práva sa obmedzil vplyv jej práce; vyzýva na neustále prehodnocovanie pridanej hodnoty, rozsahu pôsobnosti a strategických cieľov misie s cieľom zabezpečiť jej relevantnosť a efektívnosť;</w:t>
      </w:r>
    </w:p>
    <w:p w:rsidR="006E68D4" w:rsidRPr="00B6596E" w:rsidP="006E68D4" w14:paraId="159AC05D" w14:textId="77777777">
      <w:pPr>
        <w:pStyle w:val="NormalHanging12a"/>
      </w:pPr>
      <w:r w:rsidRPr="00B6596E">
        <w:t>20.</w:t>
      </w:r>
      <w:r w:rsidRPr="00B6596E">
        <w:tab/>
        <w:t xml:space="preserve">vyjadruje znepokojenie nad hlásenými prípadmi neprimeraného použitia sily a zneužitia právomoci zo strany niektorých príslušníkov </w:t>
      </w:r>
      <w:r w:rsidRPr="00B6596E">
        <w:t>kosovskej</w:t>
      </w:r>
      <w:r w:rsidRPr="00B6596E">
        <w:t xml:space="preserve"> polície na severe Kosova; vyzýva </w:t>
      </w:r>
      <w:r w:rsidRPr="00B6596E">
        <w:t>kosovskú</w:t>
      </w:r>
      <w:r w:rsidRPr="00B6596E">
        <w:t xml:space="preserve"> políciu, aby zabezpečila, že jej personál bude v plnej miere dodržiavať všetky požiadavky týkajúce sa právneho štátu a ľudských práv; pripomína spoločnú zodpovednosť všetkých politických zástupcov a všetkých ľudí v Kosove za dodržiavanie mieru a právneho štátu;</w:t>
      </w:r>
    </w:p>
    <w:p w:rsidR="006E68D4" w:rsidRPr="00B6596E" w:rsidP="006E68D4" w14:paraId="6CD278C3" w14:textId="77777777">
      <w:pPr>
        <w:pStyle w:val="NormalHanging12a"/>
        <w:rPr>
          <w:b/>
          <w:i/>
        </w:rPr>
      </w:pPr>
      <w:r w:rsidRPr="00B6596E">
        <w:rPr>
          <w:b/>
          <w:i/>
        </w:rPr>
        <w:t>Základné slobody a ľudské práva</w:t>
      </w:r>
    </w:p>
    <w:p w:rsidR="006E68D4" w:rsidRPr="00B6596E" w:rsidP="006E68D4" w14:paraId="616FCDE5" w14:textId="77777777">
      <w:pPr>
        <w:pStyle w:val="NormalHanging12a"/>
        <w:rPr>
          <w:bCs/>
        </w:rPr>
      </w:pPr>
      <w:r w:rsidRPr="00B6596E">
        <w:t>21.</w:t>
      </w:r>
      <w:r w:rsidRPr="00B6596E">
        <w:tab/>
        <w:t>konštatuje, že hoci je právny a inštitucionálny rámec pre ľudské práva vo všeobecnosti zavedený, jeho uplatňovanie je stále nedostatočné;</w:t>
      </w:r>
      <w:r w:rsidRPr="00B6596E">
        <w:rPr>
          <w:i/>
        </w:rPr>
        <w:t xml:space="preserve"> </w:t>
      </w:r>
      <w:r w:rsidRPr="00B6596E">
        <w:t xml:space="preserve">víta prijatie stratégie na ochranu a podporu práv komunít; víta skutočnosť, že Kosovo vykonalo rozsudok Ústavného súdu o vlastníctve pozemkov kláštora </w:t>
      </w:r>
      <w:r w:rsidRPr="00B6596E">
        <w:t>Dečani</w:t>
      </w:r>
      <w:r w:rsidRPr="00B6596E">
        <w:t>; vyzýva Kosovo, aby investovalo do účinnejšieho vykonávania rámca pre ľudské práva;</w:t>
      </w:r>
    </w:p>
    <w:p w:rsidR="006E68D4" w:rsidRPr="00B6596E" w:rsidP="006E68D4" w14:paraId="193AAA2D" w14:textId="77777777">
      <w:pPr>
        <w:pStyle w:val="NormalHanging12a"/>
      </w:pPr>
      <w:r w:rsidRPr="00B6596E">
        <w:t>22.</w:t>
      </w:r>
      <w:r w:rsidRPr="00B6596E">
        <w:tab/>
        <w:t xml:space="preserve">uznáva, že </w:t>
      </w:r>
      <w:r w:rsidRPr="00B6596E">
        <w:t>kosovská</w:t>
      </w:r>
      <w:r w:rsidRPr="00B6596E">
        <w:t xml:space="preserve"> ústava je z hľadiska práv menšín veľmi progresívna; v tejto súvislosti s poľutovaním konštatuje, že petícia podpísaná takmer 500 ľuďmi, ktorí sa historicky považujú za Bulharov, a ktorá bola zaregistrovaná v národnom zhromaždení Kosova v januári 2023, doteraz nebola posúdená, a odporúča, aby sa ich práva zakotvili v právnych predpisoch a zabezpečovali aj v praxi s cieľom chrániť historickú, kultúrnu a politickú identitu bulharskej menšiny; vyzýva Kosovo, aby zabezpečilo, že všetky menšiny uznané podľa zákona o ochrane práv menšín a členovia ich komunít budú plne začlenené do ústavy krajiny;</w:t>
      </w:r>
    </w:p>
    <w:p w:rsidR="006E68D4" w:rsidRPr="00B6596E" w:rsidP="006E68D4" w14:paraId="7A9F4DF8" w14:textId="77777777">
      <w:pPr>
        <w:pStyle w:val="NormalHanging12a"/>
      </w:pPr>
      <w:r w:rsidRPr="00B6596E">
        <w:t>23.</w:t>
      </w:r>
      <w:r w:rsidRPr="00B6596E">
        <w:tab/>
        <w:t>poznamenáva, že väzenský systém v Kosove je vo všeobecnosti v súlade so štandardnými minimálnymi pravidlami OSN a Rady Európy; vyzýva na lepšiu ochranu práv väzňov, najmä väzenkýň, väzňov patriacich k menšine a väzňov s problémami v oblasti duševného zdravia;</w:t>
      </w:r>
    </w:p>
    <w:p w:rsidR="006E68D4" w:rsidRPr="00B6596E" w:rsidP="006E68D4" w14:paraId="4C7F2A30" w14:textId="77777777">
      <w:pPr>
        <w:pStyle w:val="NormalHanging12a"/>
        <w:rPr>
          <w:bCs/>
        </w:rPr>
      </w:pPr>
      <w:r w:rsidRPr="00B6596E">
        <w:t>24.</w:t>
      </w:r>
      <w:r w:rsidRPr="00B6596E">
        <w:tab/>
      </w:r>
      <w:bookmarkStart w:id="9" w:name="_Hlk227248502"/>
      <w:r w:rsidRPr="00B6596E">
        <w:t xml:space="preserve">zdôrazňuje, že je potrebné posilniť vykonávanie právnych predpisov na ochranu práv zraniteľných skupín a osôb patriacich k menšinovým spoločenstvám, najmä pokiaľ ide o ich zastúpenie vo verejných inštitúciách a používanie jazykov, a to aj zabezpečením rovnakého a účinného prístupu k štátnemu vzdelávaniu v ich materinskom jazyku, ako aj prístupu k zdravotnej starostlivosti a verejným službám, rešpektovaním jazykových a </w:t>
      </w:r>
      <w:r w:rsidRPr="00B6596E">
        <w:t>vlastníckych práv, primeraným zastúpením v ústrednej a miestnej správe a ochranou hmotného a nehmotného, náboženského, tradičného a kultúrneho dedičstva; vyzýva Kosovo, aby zintenzívnilo úsilie poskytovať menšinám rovnaké príležitosti a primerané zastúpenie v politickom a kultúrnom živote, vo verejných médiách, v správe a súdnictve; vyzýva na ochranu náboženských menšín v Kosove a na zabezpečenie prístupu k miestam bohoslužieb</w:t>
      </w:r>
      <w:bookmarkEnd w:id="9"/>
      <w:r w:rsidRPr="00B6596E">
        <w:t>;</w:t>
      </w:r>
    </w:p>
    <w:p w:rsidR="006E68D4" w:rsidRPr="00B6596E" w:rsidP="006E68D4" w14:paraId="45826075" w14:textId="77777777">
      <w:pPr>
        <w:pStyle w:val="NormalHanging12a"/>
      </w:pPr>
      <w:r w:rsidRPr="00B6596E">
        <w:t>25.</w:t>
      </w:r>
      <w:r w:rsidRPr="00B6596E">
        <w:tab/>
        <w:t xml:space="preserve">vyjadruje poľutovanie nad tým, že ženy z menšinových skupín, najmä z komunít Rómov, </w:t>
      </w:r>
      <w:r w:rsidRPr="00B6596E">
        <w:t>Aškalov</w:t>
      </w:r>
      <w:r w:rsidRPr="00B6596E">
        <w:t xml:space="preserve"> a Egypťanov, čelia mnohým formám diskriminácie, najmä v oblasti vzdelávania, zamestnanosti a prístupu k zdravotnej starostlivosti; vyjadruje obavy, že menšinové komunity nie sú primerane zastúpené v správe Kosova a že počet žien vo vedúcich funkciách je naďalej nízky;</w:t>
      </w:r>
    </w:p>
    <w:p w:rsidR="006E68D4" w:rsidRPr="00B6596E" w:rsidP="006E68D4" w14:paraId="35BB4D5C" w14:textId="77777777">
      <w:pPr>
        <w:pStyle w:val="NormalHanging12a"/>
      </w:pPr>
      <w:r w:rsidRPr="00B6596E">
        <w:t>26.</w:t>
      </w:r>
      <w:r w:rsidRPr="00B6596E">
        <w:tab/>
        <w:t>vyzýva Kosovo, aby posilnilo vykonávanie existujúcich mechanizmov na ochranu práv menšinových komunít, náboženských komunít a komunity LGBTIQ+ finalizáciou nového občianskeho zákonníka, ktorého prijatie je stále v štádiu schvaľovania; je naďalej znepokojený tým, že diskriminačný jazyk namierený proti ženám a LGBTIQ+ osobám pretrváva;</w:t>
      </w:r>
    </w:p>
    <w:p w:rsidR="006E68D4" w:rsidRPr="00B6596E" w:rsidP="006E68D4" w14:paraId="6D9388A1" w14:textId="77777777">
      <w:pPr>
        <w:pStyle w:val="NormalHanging12a"/>
      </w:pPr>
      <w:r w:rsidRPr="00B6596E">
        <w:t>27.</w:t>
      </w:r>
      <w:r w:rsidRPr="00B6596E">
        <w:tab/>
        <w:t>zdôrazňuje potrebu posilniť rodovú rovnosť a práva žien v Kosove; konštatuje, že právny a inštitucionálny rámec pre rodovú rovnosť a boj proti rodovo motivovanému násiliu je z veľkej časti zavedený; víta zvýšenie finančných prostriedkov na špecializované podporné služby vrátane útulkov pre obete rodovo motivovaného násilia, plne funkčnú databázu zaznamenávajúcu prípady domáceho násilia a prebiehajúce úsilie o zvyšovanie informovanosti; vyjadruje však znepokojenie nad tým, že rodovo motivované násilie pretrváva a že vykonávanie a presadzovanie práva zostávajú nedostatočné, najmä vzhľadom na to, že ženy, najmä ženy z menšinových komunít, naďalej čelia viacerým formám diskriminácie;</w:t>
      </w:r>
    </w:p>
    <w:p w:rsidR="006E68D4" w:rsidRPr="00B6596E" w:rsidP="006E68D4" w14:paraId="4FED69E5" w14:textId="77777777">
      <w:pPr>
        <w:pStyle w:val="NormalHanging12a"/>
      </w:pPr>
      <w:r w:rsidRPr="00B6596E">
        <w:t>28.</w:t>
      </w:r>
      <w:r w:rsidRPr="00B6596E">
        <w:tab/>
        <w:t xml:space="preserve">opakuje svoju výzvu orgánom na zlepšenie vnútorného dialógu a skutočnú priamu spoluprácu s nezávislými organizáciami občianskej spoločnosti </w:t>
      </w:r>
      <w:r w:rsidRPr="00B6596E">
        <w:t>kosovských</w:t>
      </w:r>
      <w:r w:rsidRPr="00B6596E">
        <w:t xml:space="preserve"> Srbov, najmä na severe, s cieľom vybudovať dôveru, zlepšiť každodenný život </w:t>
      </w:r>
      <w:r w:rsidRPr="00B6596E">
        <w:t>kosovských</w:t>
      </w:r>
      <w:r w:rsidRPr="00B6596E">
        <w:t xml:space="preserve"> Srbov a úspešne ich integrovať;</w:t>
      </w:r>
    </w:p>
    <w:p w:rsidR="006E68D4" w:rsidRPr="00B6596E" w:rsidP="006E68D4" w14:paraId="62045520" w14:textId="77777777">
      <w:pPr>
        <w:pStyle w:val="NormalHanging12a"/>
      </w:pPr>
      <w:r w:rsidRPr="00B6596E">
        <w:t>29.</w:t>
      </w:r>
      <w:r w:rsidRPr="00B6596E">
        <w:tab/>
        <w:t xml:space="preserve">vyjadruje uznanie vláde za schválenie stratégie v oblasti práv osôb so zdravotným postihnutím na roky 2025 – 2030 a súvisiaceho akčného plánu na roky 2025 – 2027; vyjadruje však poľutovanie nad tým, že Kosovo doteraz neprijalo Dohovor OSN o právach osôb so zdravotným postihnutím; vyjadruje znepokojenie nad nedostatočným zosúladením Kosova s </w:t>
      </w:r>
      <w:r w:rsidRPr="00B6596E">
        <w:rPr>
          <w:i/>
          <w:iCs/>
        </w:rPr>
        <w:t>acquis</w:t>
      </w:r>
      <w:r w:rsidRPr="00B6596E">
        <w:t xml:space="preserve"> EÚ v tejto oblasti a nad diskrimináciou a prekážkami, ktorým čelia osoby so zdravotným postihnutím vrátane detí v prístupe k vzdelávaniu, zdravotnej starostlivosti a sociálnym službám; vyzýva orgány, aby posilnili ochranu ich práv a prijali návrh zákona o uznávaní postavení, službách a dávkach;</w:t>
      </w:r>
    </w:p>
    <w:p w:rsidR="006E68D4" w:rsidRPr="00B6596E" w:rsidP="006E68D4" w14:paraId="5B428BC8" w14:textId="77777777">
      <w:pPr>
        <w:pStyle w:val="NormalHanging12a"/>
        <w:rPr>
          <w:bCs/>
        </w:rPr>
      </w:pPr>
      <w:r w:rsidRPr="00B6596E">
        <w:t>30.</w:t>
      </w:r>
      <w:r w:rsidRPr="00B6596E">
        <w:tab/>
        <w:t xml:space="preserve">zdôrazňuje, že je dôležité chrániť multikultúrne dedičstvo Kosova vrátane dedičstva chorvátskej komunity a zároveň podporovať udržateľný miestny rozvoj a zapojenie komunity; víta projekt financovaný EÚ, ktorý sa realizuje v rámci Rozvojového programu Organizácie Spojených národov s cieľom zachovať a oživiť kultúrne dedičstvo mesta </w:t>
      </w:r>
      <w:r w:rsidRPr="00B6596E">
        <w:t>Janjevo</w:t>
      </w:r>
      <w:r w:rsidRPr="00B6596E">
        <w:t>;</w:t>
      </w:r>
    </w:p>
    <w:p w:rsidR="006E68D4" w:rsidRPr="00B6596E" w:rsidP="006E68D4" w14:paraId="22F96BB9" w14:textId="77777777">
      <w:pPr>
        <w:pStyle w:val="NormalHanging12a"/>
        <w:rPr>
          <w:bCs/>
        </w:rPr>
      </w:pPr>
      <w:r w:rsidRPr="00B6596E">
        <w:t>31.</w:t>
      </w:r>
      <w:r w:rsidRPr="00B6596E">
        <w:tab/>
        <w:t xml:space="preserve">vyjadruje poľutovanie nad tým, že nový návrh zákona o učebniciach stále čaká na prijatie Národným zhromaždením Kosova; vyjadruje znepokojenie nad tým, že </w:t>
      </w:r>
      <w:r w:rsidRPr="00B6596E">
        <w:t>vykonávanie stratégie Kosova v oblasti vzdelávania na roky 2022 – 2026 sa oneskoruje a že financovanie základného štátneho vzdelávania sa neustále znižuje; vyzýva Kosovo, aby dokončilo prijímanie návrhu zákona o učebniciach, ako aj revíziu súčasných učebníc a zabezpečilo udržateľné a systematické vzdelávanie učiteľov;</w:t>
      </w:r>
    </w:p>
    <w:p w:rsidR="006E68D4" w:rsidRPr="00B6596E" w:rsidP="006E68D4" w14:paraId="55A6598B" w14:textId="77777777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B6596E">
        <w:t>32.</w:t>
      </w:r>
      <w:r w:rsidRPr="00B6596E">
        <w:tab/>
        <w:t>berie na vedomie pluralitný mediálny priestor v Kosove, ale zdôrazňuje, že je naďalej krehký a vystavený rôznym tlakom; vyjadruje hlboké poľutovanie nad nedostatočným pokrokom pri zabezpečovaní slobody prejavu a účinnej ochrany novinárov; vyjadruje poľutovanie nad tým, že Kosovo sa vo svetovom rebríčku slobody médií za rok 2025 prepadlo o 24 miest na 99. miesto, čo je výrazný a znepokojivý pokles; konštatuje, že sloboda tlače je základnou európskou hodnotou a že Kosovo musí prijať účinnejšie opatrenia na jej ochranu, než aké prijíma v súčasnosti;</w:t>
      </w:r>
    </w:p>
    <w:p w:rsidR="006E68D4" w:rsidRPr="00B6596E" w:rsidP="006E68D4" w14:paraId="69C61252" w14:textId="77777777">
      <w:pPr>
        <w:pStyle w:val="NormalHanging12a"/>
      </w:pPr>
      <w:r w:rsidRPr="00B6596E">
        <w:t>33.</w:t>
      </w:r>
      <w:r w:rsidRPr="00B6596E">
        <w:tab/>
        <w:t xml:space="preserve">opätovne vyjadruje vážne znepokojenie nad zhoršovaním mediálneho prostredia a atmosféry, v ktorej pracujú odborníci v oblasti informácií, a najmä nad útokmi a hrozbami voči novinárom a pracovníkom médií vrátane používania urážlivého jazyka zameraného na médiá zo strany vysokopostavených </w:t>
      </w:r>
      <w:r w:rsidRPr="00B6596E">
        <w:t>kosovských</w:t>
      </w:r>
      <w:r w:rsidRPr="00B6596E">
        <w:t xml:space="preserve"> úradníkov počas volebnej kampane; vyjadruje poľutovanie nad tým, že návrh zákona o ochrane novinárskych zdrojov stále čaká na prijatie, v dôsledku čoho novinári nemajú primeranú právnu ochranu; zdôrazňuje, že voči fyzickým útokom na novinárov musí existovať nulová tolerancia, a vyzýva na dôraznejšie vyšetrovanie a stíhanie všetkých hrozieb voči pracovníkom médií a na zosúladenie právnych predpisov v oblasti médií s </w:t>
      </w:r>
      <w:r w:rsidRPr="00B6596E">
        <w:rPr>
          <w:i/>
          <w:iCs/>
        </w:rPr>
        <w:t>acquis</w:t>
      </w:r>
      <w:r w:rsidRPr="00B6596E">
        <w:t xml:space="preserve"> EÚ, najmä s európskym aktom o slobode médií</w:t>
      </w:r>
      <w:r>
        <w:rPr>
          <w:rStyle w:val="FootnoteReference"/>
        </w:rPr>
        <w:footnoteReference w:id="8"/>
      </w:r>
      <w:r w:rsidRPr="00B6596E">
        <w:t xml:space="preserve"> a smernicou EÚ proti strategickým žalobám proti verejnej účasti (</w:t>
      </w:r>
      <w:r w:rsidRPr="00B6596E">
        <w:t>Anti</w:t>
      </w:r>
      <w:r w:rsidRPr="00B6596E">
        <w:t>-SLAPP)</w:t>
      </w:r>
      <w:r>
        <w:rPr>
          <w:rStyle w:val="FootnoteReference"/>
        </w:rPr>
        <w:footnoteReference w:id="9"/>
      </w:r>
      <w:r w:rsidRPr="00B6596E">
        <w:t>, ako aj s ďalšími príslušnými medzinárodnými záväzkami v oblasti ľudských práv; v tejto súvislosti vyzýva orgány, aby prijali okamžité a konkrétne opatrenia na zaručenie nezávislosti médií, boj proti zastrašovaniu a zabezpečenie rámca priaznivého pre slobodnú a pluralitnú žurnalistiku;</w:t>
      </w:r>
    </w:p>
    <w:p w:rsidR="006E68D4" w:rsidRPr="00B6596E" w:rsidP="006E68D4" w14:paraId="6EB9B20C" w14:textId="77777777">
      <w:pPr>
        <w:pStyle w:val="NormalHanging12a"/>
      </w:pPr>
      <w:r w:rsidRPr="00B6596E">
        <w:t>34.</w:t>
      </w:r>
      <w:r w:rsidRPr="00B6596E">
        <w:tab/>
        <w:t xml:space="preserve">vyjadruje vážne znepokojenie nad správami o nátlaku politických subjektov a organizovaných zločineckých skupín na novinárov, ktorý viedol k autocenzúre; konštatuje, že novinári sa môžu vyhýbať kritickému investigatívnemu spravodajstvu z dôvodu obáv o svoju fyzickú bezpečnosť či istotu pracovného miesta; ďalej upozorňuje na správy, že verejné orgány môžu stiahnuť reklamu z médií, ktoré uverejňujú kritický obsah, čím na </w:t>
      </w:r>
      <w:r w:rsidRPr="00B6596E">
        <w:t>ne</w:t>
      </w:r>
      <w:r w:rsidRPr="00B6596E">
        <w:t xml:space="preserve"> vyvíjajú nepriamy ekonomický tlak;</w:t>
      </w:r>
    </w:p>
    <w:p w:rsidR="006E68D4" w:rsidRPr="00B6596E" w:rsidP="006E68D4" w14:paraId="64F06387" w14:textId="77777777">
      <w:pPr>
        <w:pStyle w:val="NormalHanging12a"/>
        <w:rPr>
          <w:rFonts w:ascii="Europea" w:hAnsi="Europea"/>
          <w:bCs/>
        </w:rPr>
      </w:pPr>
      <w:bookmarkStart w:id="10" w:name="_Hlk231922376"/>
      <w:r w:rsidRPr="00B6596E">
        <w:t>35.</w:t>
      </w:r>
      <w:r w:rsidRPr="00B6596E">
        <w:rPr>
          <w:i/>
        </w:rPr>
        <w:tab/>
      </w:r>
      <w:r w:rsidRPr="00B6596E">
        <w:t>vyjadruje znepokojenie nad tým, že prijatie návrhu zákona o </w:t>
      </w:r>
      <w:r w:rsidRPr="00B6596E">
        <w:t>Kosovskom</w:t>
      </w:r>
      <w:r w:rsidRPr="00B6596E">
        <w:t xml:space="preserve"> rozhlase a televízii (RTK), verejnoprávnom vysielateľovi Kosova, zostáva otvorené, a preto vyzýva na jeho urýchlené prijatie; </w:t>
      </w:r>
      <w:bookmarkEnd w:id="10"/>
      <w:r w:rsidRPr="00B6596E">
        <w:t xml:space="preserve">zdôrazňuje, že je potrebné zabezpečiť udržateľné financovanie a nezávislosť verejnoprávneho vysielateľa; vyjadruje poľutovanie nad tým, že pozícia generálneho riaditeľa RTK je od septembra 2024 neobsadená a že rada RTK nie je od decembra 2024 uznášaniaschopná, v dôsledku čoho je verejnoprávny vysielateľ fakticky nefunkčný a nemôže plniť svoju úlohu; vyzýva na vyvážený, </w:t>
      </w:r>
      <w:r w:rsidRPr="00B6596E">
        <w:t xml:space="preserve">reprezentatívny a politicky nezávislý dohľad nad RTK; vyzýva </w:t>
      </w:r>
      <w:r w:rsidRPr="00B6596E">
        <w:t>kosovské</w:t>
      </w:r>
      <w:r w:rsidRPr="00B6596E">
        <w:t xml:space="preserve"> orgány, aby v transparentnom procese založenom na zásluhách vymenovali členov rady a generálneho riaditeľa RTK, čím sa zaručí účinné fungovanie verejnoprávneho vysielania v Kosove; zdôrazňuje, že akákoľvek reforma týkajúca sa verejnoprávneho vysielateľa musí chrániť redakčnú nezávislosť, brániť politickému vplyvu a zabezpečiť udržateľné a transparentné financovanie;</w:t>
      </w:r>
    </w:p>
    <w:p w:rsidR="006E68D4" w:rsidRPr="00B6596E" w:rsidP="006E68D4" w14:paraId="752724E8" w14:textId="77777777">
      <w:pPr>
        <w:pStyle w:val="NormalHanging12a"/>
        <w:rPr>
          <w:bCs/>
        </w:rPr>
      </w:pPr>
      <w:r w:rsidRPr="00B6596E">
        <w:t>36.</w:t>
      </w:r>
      <w:r w:rsidRPr="00B6596E">
        <w:tab/>
        <w:t>so znepokojením konštatuje, že v správe o obchodovaní s ľuďmi za rok 2025 sa zdôrazňuje, že príslušné orgány v Kosove v plnej miere nesplnili minimálne normy na odstránenie obchodovania s ľuďmi, a to napriek tomu, že preukázali zvýšené úsilie vrátane zvýšeného počtu trestných stíhaní a posilnených opatrení na podporu obetí;</w:t>
      </w:r>
    </w:p>
    <w:p w:rsidR="006E68D4" w:rsidRPr="00B6596E" w:rsidP="006E68D4" w14:paraId="79BFC393" w14:textId="77777777">
      <w:pPr>
        <w:pStyle w:val="NormalHanging12a"/>
        <w:rPr>
          <w:i/>
        </w:rPr>
      </w:pPr>
      <w:r w:rsidRPr="00B6596E">
        <w:t>37.</w:t>
      </w:r>
      <w:r w:rsidRPr="00B6596E">
        <w:tab/>
        <w:t>vyjadruje znepokojenie nad nárastom dezinformácií, ktoré šíria zahraniční aktéri v krajinách v regióne, a to aj v súvislosti s napätím medzi etnikami, najmä zo zdrojov prepojených so štátnymi orgánmi Ruska a Srbska a predovšetkým počas volebných období, čo ďalej prispieva k politickej polarizácii; vyjadruje pretrvávajúce vážne znepokojenie nad škodlivým zahraničným zasahovaním, destabilizačným úsilím a hybridnými hrozbami vrátane dezinformácií generovaných umelou inteligenciou a koordinovaných online kampaní zameraných na ovplyvňovanie politických procesov a verejnej mienky; požaduje posilnenú inštitucionálnu reakciu a zlepšenie mediálnej gramotnosti, čo sa má dosiahnuť prostredníctvom opatrení vrátane posilnenej odbornej prípravy učiteľov a moderných vzdelávacích zdrojov a zlepšenej spolupráce s nezávislými médiami, organizáciami overujúcimi fakty a príslušnými programami EÚ s cieľom podporovať kritické myslenie a zodpovedné zapájanie sa do digitálneho prostredia; vyzýva Kosovo a jeho regionálnych partnerov, aby zostali jednotní a ďalej posilňovali regionálnu spoluprácu, ako aj európsku spoluprácu s Kosovom v boji proti vonkajším hrozbám, dezinformáciám, zahraničnému zasahovaniu a kybernetickým a hybridným hrozbám, ktoré sa snažia podkopať európsku perspektívu krajiny a regiónu;</w:t>
      </w:r>
    </w:p>
    <w:p w:rsidR="006E68D4" w:rsidRPr="00B6596E" w:rsidP="006E68D4" w14:paraId="4CBEE2CD" w14:textId="77777777">
      <w:pPr>
        <w:pStyle w:val="NormalHanging12a"/>
        <w:rPr>
          <w:bCs/>
        </w:rPr>
      </w:pPr>
      <w:r w:rsidRPr="00B6596E">
        <w:t>38.</w:t>
      </w:r>
      <w:r w:rsidRPr="00B6596E">
        <w:tab/>
        <w:t>oceňuje aktívne zapojenie Kosova do viacerých iniciatív regionálnej spolupráce, ako sú Stredoeurópska dohoda o voľnom obchode, Energetické spoločenstvo, Dopravné spoločenstvo, proces spolupráce v juhovýchodnej Európe a Rada pre regionálnu spoluprácu;</w:t>
      </w:r>
    </w:p>
    <w:p w:rsidR="006E68D4" w:rsidRPr="00B6596E" w:rsidP="006E68D4" w14:paraId="520FAAD0" w14:textId="77777777">
      <w:pPr>
        <w:pStyle w:val="NormalHanging12a"/>
      </w:pPr>
      <w:r w:rsidRPr="00B6596E">
        <w:t>39.</w:t>
      </w:r>
      <w:r w:rsidRPr="00B6596E">
        <w:tab/>
        <w:t>vyjadruje uznanie orgánom Kosova za úspešné vykonávanie plánu na udržateľné riešenie problému nedovolenej držby a zneužívania ručných a ľahkých zbraní strelných zbraní a munície a nedovoleného obchodovania s nimi na západnom Balkáne; víta vysokú úroveň dodržiavania pravidiel stanovených v protokole OSN o strelných zbraniach;</w:t>
      </w:r>
    </w:p>
    <w:p w:rsidR="006E68D4" w:rsidRPr="00B6596E" w:rsidP="006E68D4" w14:paraId="3E18CD52" w14:textId="77777777">
      <w:pPr>
        <w:pStyle w:val="NormalHanging12a"/>
        <w:rPr>
          <w:b/>
        </w:rPr>
      </w:pPr>
      <w:r w:rsidRPr="00B6596E">
        <w:rPr>
          <w:b/>
          <w:i/>
        </w:rPr>
        <w:t>Zmierenie a dobré susedské vzťahy</w:t>
      </w:r>
    </w:p>
    <w:p w:rsidR="006E68D4" w:rsidRPr="00B6596E" w:rsidP="006E68D4" w14:paraId="5889A1DF" w14:textId="77777777">
      <w:pPr>
        <w:pStyle w:val="NormalHanging12a"/>
      </w:pPr>
      <w:r w:rsidRPr="00B6596E">
        <w:t>40.</w:t>
      </w:r>
      <w:r w:rsidRPr="00B6596E">
        <w:tab/>
        <w:t>pripomína, že normalizácia vzťahov so Srbskom a vykonávanie všetkých dohôd dosiahnutých v rámci dialógu medzi Belehradom a Prištinou zostávajú neoddeliteľnou súčasťou a základným a nevyhnutným prvkom európskej perspektívy Kosova; zdôrazňuje, že konkrétny, trvalý a overiteľný pokrok v tejto oblasti je životne dôležitý pre posilnenie regionálnej stability a dosiahnutie pokroku v európskej perspektíve krajiny; zdôrazňuje, že normalizáciu nemožno vnímať ako druhoradú záležitosť, ale musí zostať absolútnou politickou prioritou; zdôrazňuje, že je dôležité ďalej posilňovať sprostredkovateľské úsilie EÚ medzi stranami s cieľom prekonať súčasnú patovú situáciu;</w:t>
      </w:r>
    </w:p>
    <w:p w:rsidR="006E68D4" w:rsidRPr="00B6596E" w:rsidP="006E68D4" w14:paraId="3313D51C" w14:textId="77777777">
      <w:pPr>
        <w:pStyle w:val="NormalHanging12a"/>
      </w:pPr>
      <w:r w:rsidRPr="00B6596E">
        <w:t>41.</w:t>
      </w:r>
      <w:r w:rsidRPr="00B6596E">
        <w:tab/>
        <w:t xml:space="preserve">opakuje svoju plnú podporu dialógu, ktorý sprostredkúva EÚ, a víta predĺženie mandátu Petra </w:t>
      </w:r>
      <w:r w:rsidRPr="00B6596E">
        <w:t>Sørensena</w:t>
      </w:r>
      <w:r w:rsidRPr="00B6596E">
        <w:t xml:space="preserve"> ako osobitného zástupcu EÚ pre dialóg medzi Belehradom a Prištinou do 29. februára 2028;</w:t>
      </w:r>
    </w:p>
    <w:p w:rsidR="006E68D4" w:rsidRPr="00B6596E" w:rsidP="006E68D4" w14:paraId="1AE358A2" w14:textId="77777777">
      <w:pPr>
        <w:pStyle w:val="NormalHanging12a"/>
      </w:pPr>
      <w:r w:rsidRPr="00B6596E">
        <w:t>42.</w:t>
      </w:r>
      <w:r w:rsidRPr="00B6596E">
        <w:tab/>
        <w:t>opakuje výzvu na zlepšenie kvality dialógu zapojením žien, väčšou transparentnosťou voči verejnosti a zmysluplným zapojením občianskej spoločnosti;</w:t>
      </w:r>
    </w:p>
    <w:p w:rsidR="006E68D4" w:rsidRPr="00B6596E" w:rsidP="006E68D4" w14:paraId="1ECC00F1" w14:textId="77777777">
      <w:pPr>
        <w:pStyle w:val="NormalHanging12a"/>
        <w:rPr>
          <w:rFonts w:eastAsiaTheme="minorHAnsi"/>
        </w:rPr>
      </w:pPr>
      <w:r w:rsidRPr="00B6596E">
        <w:t>43.</w:t>
      </w:r>
      <w:r w:rsidRPr="00B6596E">
        <w:tab/>
        <w:t>opätovne zdôrazňuje význam konštruktívneho zapojenia orgánov Kosova a Srbska v záujme pokročenia vo vykonávaní dohody o ceste k normalizácii vzťahov, ktorá je naďalej platná a právne záväzná pre obe strany, a vykonávacej prílohy k nej; vyzýva Kosovo aj Srbsko, aby v plnej miere vykonali dohody z Bruselu a Ochridu vrátane prostredníctvom zriadenia združenia/spoločenstva obcí so srbskou väčšinou a stiahnutia námietok Srbska voči členstvu Kosova v regionálnych a medzinárodných organizáciách a aby sa vyhli jednostranným krokom, ktoré by mohli narušiť proces dialógu;</w:t>
      </w:r>
    </w:p>
    <w:p w:rsidR="006E68D4" w:rsidRPr="00B6596E" w:rsidP="006E68D4" w14:paraId="134CD8F9" w14:textId="77777777">
      <w:pPr>
        <w:pStyle w:val="NormalHanging12a"/>
      </w:pPr>
      <w:r w:rsidRPr="00B6596E">
        <w:t>44.</w:t>
      </w:r>
      <w:r w:rsidRPr="00B6596E">
        <w:tab/>
        <w:t xml:space="preserve">víta dohodu dosiahnutú 14. marca 2026 o vykonávaní </w:t>
      </w:r>
      <w:r w:rsidRPr="00B6596E">
        <w:t>kosovských</w:t>
      </w:r>
      <w:r w:rsidRPr="00B6596E">
        <w:t xml:space="preserve"> právnych predpisov o cudzincoch, ktorou sa zavádzajú zmierňujúce opatrenia pre príslušníkov srbskej komunity; konštatuje, že táto dohoda pomáha zabezpečiť kontinuitu prístupu k verejným službám a zabraňuje riziku faktického vylúčenia </w:t>
      </w:r>
      <w:r w:rsidRPr="00B6596E">
        <w:t>kosovských</w:t>
      </w:r>
      <w:r w:rsidRPr="00B6596E">
        <w:t xml:space="preserve"> Srbov; zdôrazňuje, že takéto riešenia prispievajú k budovaniu dôvery a predstavujú pozitívny krok k normalizácii vzťahov medzi Belehradom a Prištinou a k podpore dobrých susedských vzťahov;</w:t>
      </w:r>
    </w:p>
    <w:p w:rsidR="006E68D4" w:rsidRPr="00B6596E" w:rsidP="006E68D4" w14:paraId="062C7D83" w14:textId="77777777">
      <w:pPr>
        <w:pStyle w:val="NormalHanging12a"/>
      </w:pPr>
      <w:r w:rsidRPr="00B6596E">
        <w:t>45.</w:t>
      </w:r>
      <w:r w:rsidRPr="00B6596E">
        <w:tab/>
        <w:t>berie na vedomie nekoordinované zatvorenie desiatok inštitúcií podporovaných Srbskom na severe Kosova;</w:t>
      </w:r>
    </w:p>
    <w:p w:rsidR="006E68D4" w:rsidRPr="00B6596E" w:rsidP="006E68D4" w14:paraId="73D7AEC7" w14:textId="77777777">
      <w:pPr>
        <w:pStyle w:val="NormalHanging12a"/>
      </w:pPr>
      <w:r w:rsidRPr="00B6596E">
        <w:t>46.</w:t>
      </w:r>
      <w:r w:rsidRPr="00B6596E">
        <w:tab/>
        <w:t>očakáva, že Srbsko bude plne spolupracovať s Kosovom, aby konečne postavili pred súd páchateľov teroristického útoku v </w:t>
      </w:r>
      <w:r w:rsidRPr="00B6596E">
        <w:t>Banjske</w:t>
      </w:r>
      <w:r w:rsidRPr="00B6596E">
        <w:t xml:space="preserve"> v roku 2023; odsudzuje skutočnosť, že Srbsko doteraz nestíhalo vinníkov, najmä Milana </w:t>
      </w:r>
      <w:r w:rsidRPr="00B6596E">
        <w:t>Radoičića</w:t>
      </w:r>
      <w:r w:rsidRPr="00B6596E">
        <w:t xml:space="preserve">, bývalého podpredsedu strany </w:t>
      </w:r>
      <w:r w:rsidRPr="00B6596E">
        <w:t>Srpska</w:t>
      </w:r>
      <w:r w:rsidRPr="00B6596E">
        <w:t xml:space="preserve"> Lista; opätovne zdôrazňuje, že všetky osoby zodpovedné za násilné činy musia byť vzaté na zodpovednosť a musia bezodkladne čeliť spravodlivosti v súlade so zásadami právneho štátu a s riadnym súdnym procesom; dôrazne odsudzuje útok na kanál </w:t>
      </w:r>
      <w:r w:rsidRPr="00B6596E">
        <w:t>Ibër-Lepenc</w:t>
      </w:r>
      <w:r w:rsidRPr="00B6596E">
        <w:t>/</w:t>
      </w:r>
      <w:r w:rsidRPr="00B6596E">
        <w:t>Ibar-Lepenac</w:t>
      </w:r>
      <w:r w:rsidRPr="00B6596E">
        <w:t xml:space="preserve"> na severe Kosova z novembra 2024 a žiada, aby boli páchatelia urýchlene zadržaní a postavení pred súd; vyzýva Srbsko, aby bezodkladne odpovedalo na žiadosť Kosova z januára 2025 o vzájomnú právnu pomoc v súvislosti s týmto útokom a aby plne spolupracovalo pri vyšetrovaní;</w:t>
      </w:r>
    </w:p>
    <w:p w:rsidR="006E68D4" w:rsidRPr="00B6596E" w:rsidP="006E68D4" w14:paraId="3458FE3B" w14:textId="77777777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B6596E">
        <w:t>47.</w:t>
      </w:r>
      <w:r w:rsidRPr="00B6596E">
        <w:tab/>
      </w:r>
      <w:bookmarkStart w:id="11" w:name="_Hlk227242454"/>
      <w:r w:rsidRPr="00B6596E">
        <w:t xml:space="preserve">berie na vedomie skutočnosť, že osud až 1 590 nezvestných osôb zostáva nevyriešený, pričom od apríla 2024 do konca vykazovaného obdobia v septembri 2025 sa vyriešilo len 26 prípadov nezvestných osôb; vyzýva Kosovo aj Srbsko, aby sa konštruktívne a v dobrej viere zapojili do všetkých technických diskusií zameraných na objasnenie osudu zostávajúcich nezvestných osôb, a to aj prostredníctvom pracovnej podskupiny pre forenzné otázky, a aby sa zdržali akéhokoľvek politizovania; víta prvé zasadnutie spoločnej komisie pre nezvestné osoby, ktoré zvolali hlavní vyjednávači Kosova a Srbska v januári 2026 v rámci dialógu sprostredkovaného EÚ, a vyzýva na ďalšiu spoluprácu s cieľom urýchliť identifikáciu masových hrobov a výmenu informácií; </w:t>
      </w:r>
      <w:bookmarkEnd w:id="11"/>
    </w:p>
    <w:p w:rsidR="006E68D4" w:rsidRPr="00B6596E" w:rsidP="006E68D4" w14:paraId="551DF3AD" w14:textId="77777777">
      <w:pPr>
        <w:pStyle w:val="NormalHanging12a"/>
      </w:pPr>
      <w:r w:rsidRPr="00B6596E">
        <w:t>48.</w:t>
      </w:r>
      <w:r w:rsidRPr="00B6596E">
        <w:tab/>
        <w:t xml:space="preserve">vyzýva Srbsko, aby sprístupnilo a zdieľalo všetku príslušnú policajnú, vojenskú a archívnu dokumentáciu týkajúcu sa vojny v Kosove v rokoch 1998 – 1999 s cieľom podporiť pravdu, spravodlivosť a zodpovednosť, a to aj v prípadoch sexuálneho násilia počas konfliktu; konštatuje, že všeobecná dohoda o zdieľaní takýchto informácií sa ešte </w:t>
      </w:r>
      <w:r w:rsidRPr="00B6596E">
        <w:t xml:space="preserve">nezačala uplatňovať, a vyjadruje znepokojenie nad predĺžením obdobia utajovania informácií, čo predstavuje riziko ďalšieho oddialenia výkonu spravodlivosti a uznania obetí; </w:t>
      </w:r>
    </w:p>
    <w:p w:rsidR="006E68D4" w:rsidRPr="00B6596E" w:rsidP="006E68D4" w14:paraId="791A104E" w14:textId="77777777">
      <w:pPr>
        <w:pStyle w:val="NormalHanging12a"/>
      </w:pPr>
      <w:r w:rsidRPr="00B6596E">
        <w:t xml:space="preserve">49. </w:t>
      </w:r>
      <w:r w:rsidRPr="00B6596E">
        <w:tab/>
        <w:t xml:space="preserve">pripomína, že je dôležité zabezpečiť úplný prístup k archívom juhoslovanskej tajnej služby (UDBA) a tajnej služby Juhoslovanskej ľudovej armády (KOS) vrátane archívov uchovávaných v Prištine a v Belehrade, s cieľom dôkladne vyšetriť a riešiť zločiny a zločinecké organizácie z obdobia komunizmu; zdôrazňuje, že otvorenie týchto archívov v celom regióne by prispelo k hľadaniu pravdy, spravodlivosti pre obete, zmiereniu a upevneniu demokratickej správy vecí verejných; </w:t>
      </w:r>
    </w:p>
    <w:p w:rsidR="006E68D4" w:rsidRPr="00B6596E" w:rsidP="006E68D4" w14:paraId="77F08614" w14:textId="77777777">
      <w:pPr>
        <w:pStyle w:val="NormalHanging12a"/>
      </w:pPr>
      <w:r w:rsidRPr="00B6596E">
        <w:t>50.</w:t>
      </w:r>
      <w:r w:rsidRPr="00B6596E">
        <w:tab/>
        <w:t xml:space="preserve">vyzýva Kosovo, aby sa naďalej zapájalo do viacerých iniciatív regionálnej spolupráce; opätovne zdôrazňuje význam mierových síl v Kosove pod vedením NATO pre širšiu bezpečnosť a oceňuje ich trvalé úsilie o budovanie a udržiavanie bezpečného prostredia v Kosove a v regióne západného Balkánu vo všeobecnosti; pripomína význam misie pre pokračujúci rozvoj </w:t>
      </w:r>
      <w:r w:rsidRPr="00B6596E">
        <w:t>kosovských</w:t>
      </w:r>
      <w:r w:rsidRPr="00B6596E">
        <w:t xml:space="preserve"> bezpečnostných síl prostredníctvom poskytovania poradenstva, odbornej prípravy a budovania kapacít; vyzýva členské štáty, ktoré prispievajú k mierovým silám v Kosove, aby neznižovali svoju prítomnosť;</w:t>
      </w:r>
    </w:p>
    <w:p w:rsidR="006E68D4" w:rsidRPr="00B6596E" w:rsidP="006E68D4" w14:paraId="6154B64F" w14:textId="77777777">
      <w:pPr>
        <w:pStyle w:val="NormalHanging12a"/>
        <w:rPr>
          <w:szCs w:val="24"/>
        </w:rPr>
      </w:pPr>
      <w:r w:rsidRPr="00B6596E">
        <w:t>51.</w:t>
      </w:r>
      <w:r w:rsidRPr="00B6596E">
        <w:tab/>
        <w:t>vyzýva na obnovenie úsilia v oblasti ochrany náboženského a kultúrneho dedičstva v Kosove vrátane pravoslávnych, islamských, katolíckych a iných pamiatok ako súčasti širšieho záväzku k pluralizmu, zmiereniu a rešpektovaniu spoločného kultúrneho dedičstva Európy;</w:t>
      </w:r>
    </w:p>
    <w:p w:rsidR="006E68D4" w:rsidRPr="00B6596E" w:rsidP="006E68D4" w14:paraId="09E2D715" w14:textId="77777777">
      <w:pPr>
        <w:pStyle w:val="NormalHanging12a"/>
        <w:rPr>
          <w:b/>
          <w:bCs/>
          <w:i/>
        </w:rPr>
      </w:pPr>
      <w:r w:rsidRPr="00B6596E">
        <w:rPr>
          <w:b/>
          <w:i/>
        </w:rPr>
        <w:t>Sociálno-ekonomické reformy</w:t>
      </w:r>
    </w:p>
    <w:p w:rsidR="006E68D4" w:rsidRPr="00B6596E" w:rsidP="006E68D4" w14:paraId="5E62070F" w14:textId="77777777">
      <w:pPr>
        <w:pStyle w:val="NormalHanging12a"/>
      </w:pPr>
      <w:r w:rsidRPr="00B6596E">
        <w:t>52.</w:t>
      </w:r>
      <w:r w:rsidRPr="00B6596E">
        <w:tab/>
        <w:t xml:space="preserve">konštatuje, že Kosovo je mierne pripravené v oblastiach hospodárskej a menovej politiky a konkurencieschopnosti; zdôrazňuje, že Kosovo musí zosúladiť svoj fiškálny rámec s </w:t>
      </w:r>
      <w:r w:rsidRPr="00B6596E">
        <w:rPr>
          <w:i/>
          <w:iCs/>
        </w:rPr>
        <w:t>acquis</w:t>
      </w:r>
      <w:r w:rsidRPr="00B6596E">
        <w:t xml:space="preserve"> EÚ a riešiť štrukturálne nedostatky, najmä obmedzenú výrobnú základňu a sťažený prístup MSP k financovaniu; zdôrazňuje význam zabezpečenia udržateľného hospodárskeho rastu, znižovania nezamestnanosti a posilňovania systému sociálnej ochrany krajiny v súlade so sociálnym </w:t>
      </w:r>
      <w:r w:rsidRPr="00B6596E">
        <w:rPr>
          <w:i/>
          <w:iCs/>
        </w:rPr>
        <w:t>acquis</w:t>
      </w:r>
      <w:r w:rsidRPr="00B6596E">
        <w:t xml:space="preserve"> EÚ; zdôrazňuje, že musí uskutočniť rozsiahlejšie reformy na riešenie zostávajúcich štrukturálnych nedostatkov;</w:t>
      </w:r>
    </w:p>
    <w:p w:rsidR="006E68D4" w:rsidRPr="00B6596E" w:rsidP="006E68D4" w14:paraId="71B5C0C2" w14:textId="77777777">
      <w:pPr>
        <w:pStyle w:val="NormalHanging12a"/>
        <w:rPr>
          <w:bCs/>
        </w:rPr>
      </w:pPr>
      <w:r w:rsidRPr="00B6596E">
        <w:t>53.</w:t>
      </w:r>
      <w:r w:rsidRPr="00B6596E">
        <w:tab/>
        <w:t>víta zistenie Komisie, že Kosovo dosiahlo určitý pokrok v rozvoji fungujúceho trhového hospodárstva, predovšetkým prostredníctvom väčšieho rastu, zdravého a odolného bankového sektora, obmedzenia formálneho sektora a rýchlejšieho riešenia obchodných sporov; berie na vedomie pretrvávanie neformálneho hospodárstva a vyzýva orgány, aby poskytli inšpektorátu práce potrebné zdroje, ktoré mu umožnia plne vykonávať jeho funkcie;</w:t>
      </w:r>
    </w:p>
    <w:p w:rsidR="006E68D4" w:rsidRPr="00B6596E" w:rsidP="006E68D4" w14:paraId="64B0CB69" w14:textId="77777777">
      <w:pPr>
        <w:pStyle w:val="NormalHanging12a"/>
        <w:rPr>
          <w:bCs/>
        </w:rPr>
      </w:pPr>
      <w:r w:rsidRPr="00B6596E">
        <w:t>54.</w:t>
      </w:r>
      <w:r w:rsidRPr="00B6596E">
        <w:tab/>
        <w:t>víta skutočnosť, že obchodný súd v Kosove účinne rieši prípady týkajúce sa práv duševného vlastníctva; vyzýva obchodný súd, aby naďalej spolupracoval s Úradom Európskej únie pre duševné vlastníctvo (EUIPO);</w:t>
      </w:r>
    </w:p>
    <w:p w:rsidR="006E68D4" w:rsidRPr="00B6596E" w:rsidP="006E68D4" w14:paraId="6D785B93" w14:textId="77777777">
      <w:pPr>
        <w:pStyle w:val="NormalHanging12a"/>
        <w:rPr>
          <w:rFonts w:eastAsiaTheme="minorHAnsi"/>
          <w:color w:val="000000" w:themeColor="text1"/>
          <w:kern w:val="2"/>
          <w:szCs w:val="24"/>
          <w14:ligatures w14:val="standardContextual"/>
        </w:rPr>
      </w:pPr>
      <w:r w:rsidRPr="00B6596E">
        <w:t>55.</w:t>
      </w:r>
      <w:r w:rsidRPr="00B6596E">
        <w:tab/>
        <w:t xml:space="preserve">žiada, aby sa zabezpečila primeraná ochrana práce, spravodlivé mzdy a presadzovanie pracovného práva v súlade s normami EÚ; vyjadruje poľutovanie nad tým, že sociálny dialóg v Kosove je naďalej obmedzený; žiada cielenú podporu na budovanie kapacít sociálnych partnerov; vyzýva </w:t>
      </w:r>
      <w:r w:rsidRPr="00B6596E">
        <w:t>kosovské</w:t>
      </w:r>
      <w:r w:rsidRPr="00B6596E">
        <w:t xml:space="preserve"> orgány, aby právne a prakticky zaručili nezávislosť a legitímnu úlohu reprezentatívnych odborových zväzov a základné práva pracovníkov vrátane práva na kolektívne vyjednávanie vo verejnom aj v súkromnom </w:t>
      </w:r>
      <w:r w:rsidRPr="00B6596E">
        <w:t xml:space="preserve">sektore; vyzýva </w:t>
      </w:r>
      <w:r w:rsidRPr="00B6596E">
        <w:t>kosovské</w:t>
      </w:r>
      <w:r w:rsidRPr="00B6596E">
        <w:t xml:space="preserve"> orgány, aby obnovili mandát Hospodárskej a sociálnej rady, podporovali sociálny dialóg a využívali Nástroj na podporu reforiem a rastu pre západný Balkán na pomoc pri budovaní kapacít sociálnych partnerov;</w:t>
      </w:r>
    </w:p>
    <w:p w:rsidR="006E68D4" w:rsidRPr="00B6596E" w:rsidP="006E68D4" w14:paraId="3D5E0DD7" w14:textId="77777777">
      <w:pPr>
        <w:pStyle w:val="NormalHanging12a"/>
      </w:pPr>
      <w:r w:rsidRPr="00B6596E">
        <w:rPr>
          <w:color w:val="000000" w:themeColor="text1"/>
        </w:rPr>
        <w:t>56.</w:t>
      </w:r>
      <w:r w:rsidRPr="00B6596E">
        <w:rPr>
          <w:color w:val="000000" w:themeColor="text1"/>
        </w:rPr>
        <w:tab/>
      </w:r>
      <w:r w:rsidRPr="00B6596E">
        <w:t>víta konsolidáciu systému odmeňovania v rámci zákona o platoch vo verejnom sektore; vyjadruje však poľutovanie nad tým, že klasifikácia pracovných miest, systematizácia pozícií a rozhodnutie Ústavného súdu o protiústavných ustanoveniach zostávajú neriešené; vyzýva orgány, aby prijali návrh zákona o riadení verejných financií a aby do legislatívy začlenili hodnotenie fiškálnych rizík a metodiku verejných investícií;</w:t>
      </w:r>
    </w:p>
    <w:p w:rsidR="006E68D4" w:rsidRPr="00B6596E" w:rsidP="006E68D4" w14:paraId="5C45B943" w14:textId="77777777">
      <w:pPr>
        <w:pStyle w:val="NormalHanging12a"/>
      </w:pPr>
      <w:r w:rsidRPr="00B6596E">
        <w:t>57.</w:t>
      </w:r>
      <w:r w:rsidRPr="00B6596E">
        <w:tab/>
        <w:t>vyjadruje znepokojenie nad tým, že stredná dĺžka života pri narodení je stále nižšia ako priemer EÚ a že úmrtnosť detí je naďalej najvyššia v regióne a výrazne vyššia ako priemer EÚ; vyjadruje poľutovanie nad tým, že pokrok v oblasti všeobecne dostupnej zdravotnej starostlivosti je naďalej veľmi obmedzený a že v nej pretrváva značná neefektívnosť; vyzýva orgány, aby zabezpečili lepší prístup k službám zdravotnej starostlivosti pre všetkých občanov;</w:t>
      </w:r>
    </w:p>
    <w:p w:rsidR="006E68D4" w:rsidRPr="00B6596E" w:rsidP="006E68D4" w14:paraId="79E1161B" w14:textId="77777777">
      <w:pPr>
        <w:pStyle w:val="NormalHanging12a"/>
      </w:pPr>
      <w:r w:rsidRPr="00B6596E">
        <w:t>58.</w:t>
      </w:r>
      <w:r w:rsidRPr="00B6596E">
        <w:tab/>
        <w:t>vyzýva Kosovo, aby stanovilo vysokokvalitné odborné vzdelávanie, silnejšie prepojenie medzi vzdelávaním a potrebami trhu práce a cielenú podporu mladých podnikateľov a výskumných pracovníkov ako priority s cieľom vytvoriť dôveryhodné vyhliadky pre mladých ľudí v krajine;</w:t>
      </w:r>
    </w:p>
    <w:p w:rsidR="006E68D4" w:rsidRPr="00B6596E" w:rsidP="006E68D4" w14:paraId="4B19F0AF" w14:textId="77777777">
      <w:pPr>
        <w:pStyle w:val="NormalHanging12a"/>
      </w:pPr>
      <w:r w:rsidRPr="00B6596E">
        <w:t>59.</w:t>
      </w:r>
      <w:r w:rsidRPr="00B6596E">
        <w:tab/>
        <w:t>nabáda Kosovo, aby pokračovalo v uzatváraní dohôd o koordinácii sociálneho zabezpečenia s členskými štátmi EÚ;</w:t>
      </w:r>
    </w:p>
    <w:p w:rsidR="006E68D4" w:rsidRPr="00B6596E" w:rsidP="006E68D4" w14:paraId="3D33528D" w14:textId="77777777">
      <w:pPr>
        <w:pStyle w:val="NormalHanging12a"/>
      </w:pPr>
      <w:r w:rsidRPr="00B6596E">
        <w:t>60.</w:t>
      </w:r>
      <w:r w:rsidRPr="00B6596E">
        <w:tab/>
        <w:t xml:space="preserve">konštatuje, že Kosovo dosiahlo určitý pokrok v príprave na digitálnu transformáciu vrátane rozšírenia online služieb a pokrytia 5G; vyjadruje poľutovanie nad tým, že len 10 % verejných služieb sa v súčasnosti poskytuje online a že digitalizácia je naďalej fragmentovaná; zdôrazňuje, že je potrebné, aby sa Kosovo zosúladilo s príslušnými právnymi predpismi EÚ v oblasti digitálnych technológií vrátane európskeho kódexu elektronických komunikácií, smernice NIS 2, súboru nástrojov EÚ pre kybernetickú bezpečnosť 5G, aktu o digitálnych službách, aktu o digitálnych trhoch a európskeho rámca digitálnej identity; vyjadruje poľutovanie nad tým, že Kosovo prijalo len 8 zo 14 sekundárnych právnych predpisov vyplývajúcich zo zákona o kybernetickej bezpečnosti a že Agentúra pre kybernetickú bezpečnosť a Národná rada pre kybernetickú bezpečnosť stále nie sú plne funkčné; vyzýva na prijatie komplexnej stratégie pre elektronickú verejnú správu zosúladenej s normami EÚ a na zlepšenie </w:t>
      </w:r>
      <w:r w:rsidRPr="00B6596E">
        <w:t>interoperability</w:t>
      </w:r>
      <w:r w:rsidRPr="00B6596E">
        <w:t xml:space="preserve"> systémov verejnej správy; vyzýva Kosovo, aby intenzívnejšie podporovalo digitalizáciu a ďalej rozvíjalo bezpečné digitálne verejné služby;</w:t>
      </w:r>
    </w:p>
    <w:p w:rsidR="006E68D4" w:rsidRPr="00B6596E" w:rsidP="006E68D4" w14:paraId="74F2B10E" w14:textId="77777777">
      <w:pPr>
        <w:pStyle w:val="NormalHanging12a"/>
      </w:pPr>
      <w:r w:rsidRPr="00B6596E">
        <w:t>61.</w:t>
      </w:r>
      <w:r w:rsidRPr="00B6596E">
        <w:tab/>
        <w:t>víta prvé kroky Kosova k strategickejšiemu prístupu k výskumu a inováciám vrátane začatia financovania opatrení na podporu inovácií a účasti Kosova v sieti európskych centier digitálnych inovácií;</w:t>
      </w:r>
    </w:p>
    <w:p w:rsidR="006E68D4" w:rsidRPr="00B6596E" w:rsidP="006E68D4" w14:paraId="1D7F4B04" w14:textId="77777777">
      <w:pPr>
        <w:pStyle w:val="NormalHanging12a"/>
      </w:pPr>
      <w:r w:rsidRPr="00B6596E">
        <w:t>62.</w:t>
      </w:r>
      <w:r w:rsidRPr="00B6596E">
        <w:tab/>
        <w:t xml:space="preserve">víta návrh Komisie na začatie rokovaní o rozšírení systému roamingu za vnútroštátne ceny EÚ na západný Balkán vrátane Kosova s cieľom priniesť hmatateľné výhody občanom a podnikom a posilniť regionálnu prepojenosť; konštatuje, že táto iniciatíva vychádza z existujúcich regionálnych </w:t>
      </w:r>
      <w:r w:rsidRPr="00B6596E">
        <w:t>roamingových</w:t>
      </w:r>
      <w:r w:rsidRPr="00B6596E">
        <w:t xml:space="preserve"> opatrení; vyzýva na urýchlené prijatie mandátov na rokovania a včasné uzavretie dohôd s cieľom zabezpečiť rýchlu a účinnú integráciu do režimu EÚ „roaming za vnútroštátne ceny“;</w:t>
      </w:r>
    </w:p>
    <w:p w:rsidR="006E68D4" w:rsidRPr="00B6596E" w:rsidP="006E68D4" w14:paraId="376DA5B4" w14:textId="77777777">
      <w:pPr>
        <w:pStyle w:val="NormalHanging12a"/>
        <w:rPr>
          <w:b/>
          <w:bCs/>
        </w:rPr>
      </w:pPr>
      <w:r w:rsidRPr="00B6596E">
        <w:rPr>
          <w:b/>
          <w:i/>
        </w:rPr>
        <w:t>Energetika, životné prostredie, udržateľný rozvoj a prepojenosť</w:t>
      </w:r>
    </w:p>
    <w:p w:rsidR="006E68D4" w:rsidRPr="00B6596E" w:rsidP="006E68D4" w14:paraId="047ACEA6" w14:textId="77777777">
      <w:pPr>
        <w:pStyle w:val="NormalHanging12a"/>
        <w:rPr>
          <w:bCs/>
        </w:rPr>
      </w:pPr>
      <w:r w:rsidRPr="00B6596E">
        <w:t>63.</w:t>
      </w:r>
      <w:r w:rsidRPr="00B6596E">
        <w:tab/>
        <w:t>konštatuje, že Kosovo je naďalej značne závislé od zastaraných uhoľných tepelných elektrární a musí urýchliť investície do energetickej efektívnosti; víta skutočnosť, že sa dosiahol určitý pokrok v odvetví energetiky, najmä spustením aukcie veternej elektrárne s výkonom 100 MW; naliehavo vyzýva Kosovo, aby urýchlilo svoju zelenú transformáciu a výrazne znížilo svoju závislosť od fosílnych palív a uhoľných elektrární; vyzýva EÚ, aby zintenzívnila svoje úsilie s cieľom pomôcť Kosovu dosiahnuť tieto ciele; vyzýva vládu Kosova, aby investovala do diverzifikovaného energetického mixu, ktorým sa posilní bezpečnosť dodávok; nabáda Kosovo, aby pokračovalo v úsilí o integráciu svojho trhu s elektrinou do európskych trhov, a to aj prostredníctvom účinného vykonávania reforiem trhu s elektrinou a posilnenej cezhraničnej spolupráce v odvetví elektrickej energie;</w:t>
      </w:r>
    </w:p>
    <w:p w:rsidR="006E68D4" w:rsidRPr="00B6596E" w:rsidP="006E68D4" w14:paraId="76566B20" w14:textId="77777777">
      <w:pPr>
        <w:pStyle w:val="NormalHanging12a"/>
      </w:pPr>
      <w:r w:rsidRPr="00B6596E">
        <w:t>64.</w:t>
      </w:r>
      <w:r w:rsidRPr="00B6596E">
        <w:tab/>
        <w:t xml:space="preserve">nabáda Kosovo, aby posilnilo svoje inštitucionálne a administratívne kapacity na realizáciu strategických projektov v oblasti infraštruktúry, a to aj prostredníctvom využívania komplexných posúdení vplyvu na životné prostredie a opatrení v oblasti udržateľnosti vo fáze plánovania, a aby pokračovalo v realizácii rozpracovaných projektov v oblasti dopravnej prepojenosti a energetickej konektivity; vyzýva Komisiu a Kosovo, aby uprednostnili strategické projekty v oblasti prepojenosti západného Balkánu s európskymi dopravnými, energetickými a digitálnymi koridormi a čiernomorským regiónom, a to aj prostredníctvom energetických prepojení, opatrení na zvýšenie energetickej účinnosti, investícií do obnoviteľných zdrojov energie, integrácie do systému jednotnej oblasti platieb v eurách (SEPA) a zlepšenia prístupu MSP k financovaniu; zdôrazňuje, že tieto investície posilňujú sociálno-ekonomickú konvergenciu, </w:t>
      </w:r>
      <w:r w:rsidRPr="00B6596E">
        <w:t>geostrategickú</w:t>
      </w:r>
      <w:r w:rsidRPr="00B6596E">
        <w:t xml:space="preserve"> odolnosť a európsku hospodársku bezpečnosť;</w:t>
      </w:r>
    </w:p>
    <w:p w:rsidR="006E68D4" w:rsidRPr="00B6596E" w:rsidP="006E68D4" w14:paraId="6C58ACFF" w14:textId="77777777">
      <w:pPr>
        <w:pStyle w:val="NormalHanging12a"/>
      </w:pPr>
      <w:r w:rsidRPr="00B6596E">
        <w:t>65.</w:t>
      </w:r>
      <w:r w:rsidRPr="00B6596E">
        <w:tab/>
        <w:t xml:space="preserve">naliehavo vyzýva Kosovo, aby rozšírilo chránené oblasti v krajine a zabezpečilo prijatie vhodných opatrení na správu chránených oblastí a lokalít kultúrneho a historického dedičstva s cieľom zachovať biodiverzitu vrátane hlavných biotopov kriticky ohrozeného rysa balkánskeho; víta trvalú spoluprácu Kosova so Severným Macedónskom a s Albánskom v súvislosti s cezhraničným národným parkom </w:t>
      </w:r>
      <w:r w:rsidRPr="00B6596E">
        <w:t>Šar</w:t>
      </w:r>
      <w:r w:rsidRPr="00B6596E">
        <w:t xml:space="preserve"> planina; nabáda Kosovo, aby ešte zintenzívnilo a urýchlilo úsilie o spoluprácu so susednými krajinami pri vymedzovaní cezhraničných chránených oblastí a vypracúvaní jednotných cezhraničných plánov riadenia; naliehavo vyzýva Kosovo, aby zabezpečilo zmenu zákona o nakladaní s odpadmi a vykonávanie zákona o zmene klímy;</w:t>
      </w:r>
    </w:p>
    <w:p w:rsidR="0096221D" w:rsidRPr="00B6596E" w:rsidP="0096221D" w14:paraId="1521B061" w14:textId="487840CB">
      <w:pPr>
        <w:pStyle w:val="NormalHanging12a"/>
        <w:widowControl/>
        <w:ind w:left="0" w:firstLine="0"/>
        <w:jc w:val="center"/>
      </w:pPr>
      <w:r w:rsidRPr="00B6596E">
        <w:t>°</w:t>
      </w:r>
    </w:p>
    <w:p w:rsidR="0096221D" w:rsidRPr="00B6596E" w:rsidP="0096221D" w14:paraId="56729E41" w14:textId="062E0985">
      <w:pPr>
        <w:pStyle w:val="NormalHanging12a"/>
        <w:widowControl/>
        <w:ind w:left="0" w:firstLine="0"/>
        <w:jc w:val="center"/>
      </w:pPr>
      <w:r w:rsidRPr="00B6596E">
        <w:t>°     °</w:t>
      </w:r>
    </w:p>
    <w:p w:rsidR="00E365E1" w:rsidRPr="00B6596E" w:rsidP="0096221D" w14:paraId="74969D63" w14:textId="5E459450">
      <w:pPr>
        <w:pStyle w:val="NormalHanging12a"/>
      </w:pPr>
      <w:r w:rsidRPr="00B6596E">
        <w:t>66.</w:t>
      </w:r>
      <w:r w:rsidRPr="00B6596E">
        <w:tab/>
        <w:t xml:space="preserve">poveruje svoju predsedníčku, aby postúpila toto uznesenie predsedovi Európskej rady, Komisii, podpredsedníčke Komisie/vysokej predstaviteľke Únie pre zahraničné veci a bezpečnostnú politiku, vládam a parlamentom členských štátov a prezidentovi, vláde a Národnému zhromaždeniu </w:t>
      </w:r>
      <w:bookmarkEnd w:id="7"/>
      <w:r w:rsidRPr="00B6596E">
        <w:t>Kosova.</w:t>
      </w:r>
    </w:p>
    <w:sectPr w:rsidSect="002A27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ropea">
    <w:panose1 w:val="00000000000000000000"/>
    <w:charset w:val="00"/>
    <w:family w:val="auto"/>
    <w:pitch w:val="variable"/>
    <w:sig w:usb0="A00002FF" w:usb1="5001E4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A2769" w14:paraId="02736F7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A2769" w14:paraId="7C1FE30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A2769" w14:paraId="78FDDBE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467C1" w:rsidRPr="002A2769" w14:paraId="0AC4BBA5" w14:textId="77777777">
      <w:r w:rsidRPr="002A2769">
        <w:separator/>
      </w:r>
    </w:p>
  </w:footnote>
  <w:footnote w:type="continuationSeparator" w:id="1">
    <w:p w:rsidR="00B467C1" w:rsidRPr="002A2769" w14:paraId="3C3B741F" w14:textId="77777777">
      <w:r w:rsidRPr="002A2769">
        <w:continuationSeparator/>
      </w:r>
    </w:p>
  </w:footnote>
  <w:footnote w:id="2">
    <w:p w:rsidR="006E68D4" w:rsidRPr="002A2769" w:rsidP="002A2769" w14:paraId="4FF36694" w14:textId="1BE0766F">
      <w:pPr>
        <w:pStyle w:val="FootnoteText"/>
        <w:ind w:left="567" w:hanging="567"/>
        <w:rPr>
          <w:sz w:val="24"/>
          <w:u w:val="single" w:color="0000FF"/>
          <w:lang w:val="sk-SK"/>
        </w:rPr>
      </w:pPr>
      <w:r w:rsidRPr="002A2769">
        <w:rPr>
          <w:rStyle w:val="FootnoteReference"/>
          <w:sz w:val="24"/>
          <w:lang w:val="sk-SK"/>
        </w:rPr>
        <w:footnoteRef/>
      </w:r>
      <w:r w:rsidRPr="002A2769" w:rsidR="002A2769">
        <w:rPr>
          <w:sz w:val="24"/>
          <w:lang w:val="sk-SK"/>
        </w:rPr>
        <w:t xml:space="preserve"> </w:t>
      </w:r>
      <w:r w:rsidRPr="002A2769" w:rsidR="002A2769">
        <w:rPr>
          <w:sz w:val="24"/>
          <w:lang w:val="sk-SK"/>
        </w:rPr>
        <w:tab/>
      </w:r>
      <w:r w:rsidRPr="002A2769">
        <w:rPr>
          <w:sz w:val="24"/>
          <w:lang w:val="sk-SK"/>
        </w:rPr>
        <w:t xml:space="preserve">Ú. v. EÚ L 71, 16.3.2016, s. 3., ELI: </w:t>
      </w:r>
      <w:hyperlink r:id="rId1" w:history="1">
        <w:r w:rsidRPr="002A2769">
          <w:rPr>
            <w:rStyle w:val="Hyperlink"/>
            <w:sz w:val="24"/>
            <w:lang w:val="sk-SK"/>
          </w:rPr>
          <w:t>http://data.europa.eu/eli/agree_internation/2016/342/oj</w:t>
        </w:r>
      </w:hyperlink>
      <w:r w:rsidRPr="002A2769">
        <w:rPr>
          <w:sz w:val="24"/>
          <w:lang w:val="sk-SK"/>
        </w:rPr>
        <w:t>.</w:t>
      </w:r>
    </w:p>
  </w:footnote>
  <w:footnote w:id="3">
    <w:p w:rsidR="006E68D4" w:rsidRPr="002A2769" w:rsidP="002A2769" w14:paraId="47B316F4" w14:textId="753C0096">
      <w:pPr>
        <w:pStyle w:val="FootnoteText"/>
        <w:ind w:left="567" w:hanging="567"/>
        <w:rPr>
          <w:sz w:val="24"/>
          <w:u w:val="single" w:color="0000FF"/>
          <w:lang w:val="sk-SK"/>
        </w:rPr>
      </w:pPr>
      <w:r w:rsidRPr="002A2769">
        <w:rPr>
          <w:rStyle w:val="FootnoteReference"/>
          <w:sz w:val="24"/>
          <w:lang w:val="sk-SK"/>
        </w:rPr>
        <w:footnoteRef/>
      </w:r>
      <w:r w:rsidRPr="002A2769" w:rsidR="002A2769">
        <w:rPr>
          <w:sz w:val="24"/>
          <w:lang w:val="sk-SK"/>
        </w:rPr>
        <w:t xml:space="preserve"> </w:t>
      </w:r>
      <w:r w:rsidRPr="002A2769" w:rsidR="002A2769">
        <w:rPr>
          <w:sz w:val="24"/>
          <w:lang w:val="sk-SK"/>
        </w:rPr>
        <w:tab/>
      </w:r>
      <w:r w:rsidRPr="002A2769">
        <w:rPr>
          <w:sz w:val="24"/>
          <w:lang w:val="sk-SK"/>
        </w:rPr>
        <w:t xml:space="preserve">Ú. v. EÚ L 195, 27.7.2017, s. </w:t>
      </w:r>
      <w:r w:rsidRPr="002A2769">
        <w:rPr>
          <w:sz w:val="24"/>
          <w:lang w:val="sk-SK"/>
        </w:rPr>
        <w:t xml:space="preserve">3, ELI: </w:t>
      </w:r>
      <w:hyperlink r:id="rId2" w:history="1">
        <w:r w:rsidRPr="002A2769">
          <w:rPr>
            <w:rStyle w:val="Hyperlink"/>
            <w:sz w:val="24"/>
            <w:lang w:val="sk-SK"/>
          </w:rPr>
          <w:t>http://data.europa.eu/eli/agree_internation/2017/1388/oj</w:t>
        </w:r>
      </w:hyperlink>
      <w:r w:rsidRPr="002A2769">
        <w:rPr>
          <w:sz w:val="24"/>
          <w:lang w:val="sk-SK"/>
        </w:rPr>
        <w:t>.</w:t>
      </w:r>
    </w:p>
  </w:footnote>
  <w:footnote w:id="4">
    <w:p w:rsidR="006E68D4" w:rsidRPr="002A2769" w:rsidP="002A2769" w14:paraId="3C846AA7" w14:textId="14A180A3">
      <w:pPr>
        <w:pStyle w:val="FootnoteText"/>
        <w:ind w:left="567" w:hanging="567"/>
        <w:rPr>
          <w:sz w:val="24"/>
          <w:u w:val="single" w:color="0000FF"/>
          <w:lang w:val="sk-SK"/>
        </w:rPr>
      </w:pPr>
      <w:r w:rsidRPr="002A2769">
        <w:rPr>
          <w:rStyle w:val="FootnoteReference"/>
          <w:sz w:val="24"/>
          <w:lang w:val="sk-SK"/>
        </w:rPr>
        <w:footnoteRef/>
      </w:r>
      <w:r w:rsidRPr="002A2769" w:rsidR="002A2769">
        <w:rPr>
          <w:sz w:val="24"/>
          <w:lang w:val="sk-SK"/>
        </w:rPr>
        <w:t xml:space="preserve"> </w:t>
      </w:r>
      <w:r w:rsidRPr="002A2769" w:rsidR="002A2769">
        <w:rPr>
          <w:sz w:val="24"/>
          <w:lang w:val="sk-SK"/>
        </w:rPr>
        <w:tab/>
      </w:r>
      <w:r w:rsidRPr="002A2769">
        <w:rPr>
          <w:sz w:val="24"/>
          <w:lang w:val="sk-SK"/>
        </w:rPr>
        <w:t xml:space="preserve">Ú. v. EÚ L 330, 20.9.2021, s. </w:t>
      </w:r>
      <w:r w:rsidRPr="002A2769">
        <w:rPr>
          <w:sz w:val="24"/>
          <w:lang w:val="sk-SK"/>
        </w:rPr>
        <w:t xml:space="preserve">1, ELI: </w:t>
      </w:r>
      <w:hyperlink r:id="rId3" w:history="1">
        <w:r w:rsidRPr="002A2769">
          <w:rPr>
            <w:rStyle w:val="Hyperlink"/>
            <w:sz w:val="24"/>
            <w:lang w:val="sk-SK"/>
          </w:rPr>
          <w:t>http://data.europa.eu/eli/reg/2021/1529/oj</w:t>
        </w:r>
      </w:hyperlink>
      <w:r w:rsidRPr="002A2769">
        <w:rPr>
          <w:sz w:val="24"/>
          <w:lang w:val="sk-SK"/>
        </w:rPr>
        <w:t>.</w:t>
      </w:r>
    </w:p>
  </w:footnote>
  <w:footnote w:id="5">
    <w:p w:rsidR="006E68D4" w:rsidRPr="002A2769" w:rsidP="002A2769" w14:paraId="3EFC649B" w14:textId="691053B4">
      <w:pPr>
        <w:pStyle w:val="FootnoteText"/>
        <w:ind w:left="567" w:hanging="567"/>
        <w:rPr>
          <w:sz w:val="24"/>
          <w:lang w:val="sk-SK"/>
        </w:rPr>
      </w:pPr>
      <w:r w:rsidRPr="002A2769">
        <w:rPr>
          <w:rStyle w:val="FootnoteReference"/>
          <w:sz w:val="24"/>
          <w:lang w:val="sk-SK"/>
        </w:rPr>
        <w:footnoteRef/>
      </w:r>
      <w:r w:rsidRPr="002A2769" w:rsidR="002A2769">
        <w:rPr>
          <w:sz w:val="24"/>
          <w:lang w:val="sk-SK"/>
        </w:rPr>
        <w:t xml:space="preserve"> </w:t>
      </w:r>
      <w:r w:rsidRPr="002A2769" w:rsidR="002A2769">
        <w:rPr>
          <w:sz w:val="24"/>
          <w:lang w:val="sk-SK"/>
        </w:rPr>
        <w:tab/>
      </w:r>
      <w:r w:rsidRPr="002A2769">
        <w:rPr>
          <w:sz w:val="24"/>
          <w:lang w:val="sk-SK"/>
        </w:rPr>
        <w:t>Ú. v. EÚ L 110, 25.4.2023, s. </w:t>
      </w:r>
      <w:r w:rsidRPr="002A2769">
        <w:rPr>
          <w:sz w:val="24"/>
          <w:lang w:val="sk-SK"/>
        </w:rPr>
        <w:t>1, ELI: </w:t>
      </w:r>
      <w:hyperlink r:id="rId4" w:tooltip="Umožňuje prístup k tomuto dokumentu prostredníctvom identifikátora URI používaného v rámci ELI." w:history="1">
        <w:r w:rsidRPr="002A2769">
          <w:rPr>
            <w:rStyle w:val="Hyperlink"/>
            <w:sz w:val="24"/>
            <w:lang w:val="sk-SK"/>
          </w:rPr>
          <w:t>http://data.europa.eu/eli/reg/2023/850/oj</w:t>
        </w:r>
      </w:hyperlink>
      <w:r w:rsidRPr="002A2769">
        <w:rPr>
          <w:sz w:val="24"/>
          <w:lang w:val="sk-SK"/>
        </w:rPr>
        <w:t>.</w:t>
      </w:r>
    </w:p>
  </w:footnote>
  <w:footnote w:id="6">
    <w:p w:rsidR="006E68D4" w:rsidRPr="002A2769" w:rsidP="002A2769" w14:paraId="73AC6346" w14:textId="5C83FDBF">
      <w:pPr>
        <w:pStyle w:val="FootnoteText"/>
        <w:ind w:left="567" w:hanging="567"/>
        <w:rPr>
          <w:sz w:val="24"/>
          <w:lang w:val="sk-SK"/>
        </w:rPr>
      </w:pPr>
      <w:r w:rsidRPr="002A2769">
        <w:rPr>
          <w:rStyle w:val="FootnoteReference"/>
          <w:sz w:val="24"/>
          <w:lang w:val="sk-SK"/>
        </w:rPr>
        <w:footnoteRef/>
      </w:r>
      <w:r w:rsidRPr="002A2769" w:rsidR="002A2769">
        <w:rPr>
          <w:sz w:val="24"/>
          <w:lang w:val="sk-SK"/>
        </w:rPr>
        <w:t xml:space="preserve"> </w:t>
      </w:r>
      <w:r w:rsidRPr="002A2769" w:rsidR="002A2769">
        <w:rPr>
          <w:sz w:val="24"/>
          <w:lang w:val="sk-SK"/>
        </w:rPr>
        <w:tab/>
      </w:r>
      <w:r w:rsidRPr="002A2769">
        <w:rPr>
          <w:sz w:val="24"/>
          <w:lang w:val="sk-SK"/>
        </w:rPr>
        <w:t xml:space="preserve">Ú. v. </w:t>
      </w:r>
      <w:r w:rsidRPr="002A2769">
        <w:rPr>
          <w:sz w:val="24"/>
          <w:lang w:val="sk-SK"/>
        </w:rPr>
        <w:t xml:space="preserve">EÚ L, 2024/1449, 24.5.2024, </w:t>
      </w:r>
      <w:r w:rsidRPr="002A2769">
        <w:rPr>
          <w:color w:val="333333"/>
          <w:sz w:val="24"/>
          <w:shd w:val="clear" w:color="auto" w:fill="FFFFFF"/>
          <w:lang w:val="sk-SK"/>
        </w:rPr>
        <w:t>ELI: </w:t>
      </w:r>
      <w:hyperlink r:id="rId5" w:tooltip="Umožňuje prístup k tomuto dokumentu prostredníctvom identifikátora URI používaného v rámci ELI." w:history="1">
        <w:r w:rsidRPr="002A2769">
          <w:rPr>
            <w:rStyle w:val="Hyperlink"/>
            <w:color w:val="337AB7"/>
            <w:sz w:val="24"/>
            <w:shd w:val="clear" w:color="auto" w:fill="FFFFFF"/>
            <w:lang w:val="sk-SK"/>
          </w:rPr>
          <w:t>http://data.europa.eu/eli/reg/2024/1449/oj</w:t>
        </w:r>
      </w:hyperlink>
      <w:r w:rsidRPr="002A2769">
        <w:rPr>
          <w:sz w:val="24"/>
          <w:lang w:val="sk-SK"/>
        </w:rPr>
        <w:t>.</w:t>
      </w:r>
    </w:p>
  </w:footnote>
  <w:footnote w:id="7">
    <w:p w:rsidR="006E68D4" w:rsidRPr="002A2769" w:rsidP="002A2769" w14:paraId="376973E2" w14:textId="7CFF54C7">
      <w:pPr>
        <w:pStyle w:val="FootnoteText"/>
        <w:ind w:left="567" w:hanging="567"/>
        <w:rPr>
          <w:sz w:val="24"/>
          <w:lang w:val="sk-SK"/>
        </w:rPr>
      </w:pPr>
      <w:r w:rsidRPr="002A2769">
        <w:rPr>
          <w:rStyle w:val="FootnoteReference"/>
          <w:sz w:val="24"/>
          <w:lang w:val="sk-SK"/>
        </w:rPr>
        <w:footnoteRef/>
      </w:r>
      <w:r w:rsidRPr="002A2769" w:rsidR="002A2769">
        <w:rPr>
          <w:sz w:val="24"/>
          <w:lang w:val="sk-SK"/>
        </w:rPr>
        <w:t xml:space="preserve"> </w:t>
      </w:r>
      <w:r w:rsidRPr="002A2769" w:rsidR="002A2769">
        <w:rPr>
          <w:sz w:val="24"/>
          <w:lang w:val="sk-SK"/>
        </w:rPr>
        <w:tab/>
      </w:r>
      <w:r w:rsidRPr="002A2769">
        <w:rPr>
          <w:sz w:val="24"/>
          <w:lang w:val="sk-SK"/>
        </w:rPr>
        <w:t xml:space="preserve">Ú. v. </w:t>
      </w:r>
      <w:r w:rsidRPr="002A2769">
        <w:rPr>
          <w:sz w:val="24"/>
          <w:lang w:val="sk-SK"/>
        </w:rPr>
        <w:t>EÚ L, 2025/1161, 6.6.2025, ELI: </w:t>
      </w:r>
      <w:hyperlink r:id="rId6" w:tgtFrame="_blank" w:tooltip="Umožňuje prístup k tomuto dokumentu prostredníctvom identifikátora URI používaného v rámci ELI." w:history="1">
        <w:r w:rsidRPr="002A2769">
          <w:rPr>
            <w:rStyle w:val="Hyperlink"/>
            <w:sz w:val="24"/>
            <w:lang w:val="sk-SK"/>
          </w:rPr>
          <w:t>http://data.europa.eu/eli/dec/2025/1161/oj</w:t>
        </w:r>
      </w:hyperlink>
      <w:r w:rsidRPr="002A2769">
        <w:rPr>
          <w:sz w:val="24"/>
          <w:lang w:val="sk-SK"/>
        </w:rPr>
        <w:t>.</w:t>
      </w:r>
    </w:p>
  </w:footnote>
  <w:footnote w:id="8">
    <w:p w:rsidR="006E68D4" w:rsidRPr="002A2769" w:rsidP="002A2769" w14:paraId="638F7DE4" w14:textId="2529458A">
      <w:pPr>
        <w:pStyle w:val="FootnoteText"/>
        <w:ind w:left="567" w:hanging="567"/>
        <w:rPr>
          <w:sz w:val="24"/>
          <w:lang w:val="sk-SK"/>
        </w:rPr>
      </w:pPr>
      <w:r w:rsidRPr="002A2769">
        <w:rPr>
          <w:rStyle w:val="FootnoteReference"/>
          <w:sz w:val="24"/>
          <w:lang w:val="sk-SK"/>
        </w:rPr>
        <w:footnoteRef/>
      </w:r>
      <w:r w:rsidRPr="002A2769" w:rsidR="002A2769">
        <w:rPr>
          <w:sz w:val="24"/>
          <w:lang w:val="sk-SK"/>
        </w:rPr>
        <w:t xml:space="preserve"> </w:t>
      </w:r>
      <w:r w:rsidRPr="002A2769" w:rsidR="002A2769">
        <w:rPr>
          <w:sz w:val="24"/>
          <w:lang w:val="sk-SK"/>
        </w:rPr>
        <w:tab/>
      </w:r>
      <w:r w:rsidRPr="002A2769">
        <w:rPr>
          <w:sz w:val="24"/>
          <w:lang w:val="sk-SK"/>
        </w:rPr>
        <w:t>Nariadenie Európskeho parlamentu a Rady (EÚ) 2024/1083 z 11. apríla 2024, ktorým sa stanovuje spoločný rámec pre mediálne služby na vnútornom trhu a mení smernica 2010/13/EÚ (Európsky akt o slobode médií) (Ú. v. </w:t>
      </w:r>
      <w:r w:rsidRPr="002A2769">
        <w:rPr>
          <w:sz w:val="24"/>
          <w:lang w:val="sk-SK"/>
        </w:rPr>
        <w:t xml:space="preserve">EÚ L, 2024/1083, 17.4.2024, ELI: </w:t>
      </w:r>
      <w:hyperlink r:id="rId7" w:history="1">
        <w:r w:rsidRPr="002A2769">
          <w:rPr>
            <w:rStyle w:val="Hyperlink"/>
            <w:sz w:val="24"/>
            <w:lang w:val="sk-SK"/>
          </w:rPr>
          <w:t>http://data.europa.eu/eli/reg/2024/1083/oj</w:t>
        </w:r>
      </w:hyperlink>
      <w:r w:rsidRPr="002A2769">
        <w:rPr>
          <w:sz w:val="24"/>
          <w:lang w:val="sk-SK"/>
        </w:rPr>
        <w:t>).</w:t>
      </w:r>
    </w:p>
  </w:footnote>
  <w:footnote w:id="9">
    <w:p w:rsidR="006E68D4" w:rsidRPr="002A2769" w:rsidP="002A2769" w14:paraId="12DD7709" w14:textId="0EA31293">
      <w:pPr>
        <w:pStyle w:val="FootnoteText"/>
        <w:ind w:left="567" w:hanging="567"/>
        <w:rPr>
          <w:sz w:val="24"/>
          <w:lang w:val="sk-SK"/>
        </w:rPr>
      </w:pPr>
      <w:r w:rsidRPr="002A2769">
        <w:rPr>
          <w:rStyle w:val="FootnoteReference"/>
          <w:sz w:val="24"/>
          <w:lang w:val="sk-SK"/>
        </w:rPr>
        <w:footnoteRef/>
      </w:r>
      <w:r w:rsidRPr="002A2769" w:rsidR="002A2769">
        <w:rPr>
          <w:sz w:val="24"/>
          <w:lang w:val="sk-SK"/>
        </w:rPr>
        <w:t xml:space="preserve"> </w:t>
      </w:r>
      <w:r w:rsidRPr="002A2769" w:rsidR="002A2769">
        <w:rPr>
          <w:sz w:val="24"/>
          <w:lang w:val="sk-SK"/>
        </w:rPr>
        <w:tab/>
      </w:r>
      <w:r w:rsidRPr="002A2769">
        <w:rPr>
          <w:sz w:val="24"/>
          <w:lang w:val="sk-SK"/>
        </w:rPr>
        <w:t xml:space="preserve">Smernica Európskeho parlamentu a Rady (EÚ) 2024/1069 z 11. apríla 2024 o ochrane osôb zapojených do verejnej účasti pred zjavne neopodstatnenými nárokmi alebo zneužívajúcimi súdnymi konaniami („strategické žaloby proti verejnej účasti“) (Ú. v. </w:t>
      </w:r>
      <w:r w:rsidRPr="002A2769">
        <w:rPr>
          <w:sz w:val="24"/>
          <w:lang w:val="sk-SK"/>
        </w:rPr>
        <w:t xml:space="preserve">EÚ L, 2024/1069, 16.4.2024, ELI: </w:t>
      </w:r>
      <w:hyperlink r:id="rId8" w:history="1">
        <w:r w:rsidRPr="002A2769">
          <w:rPr>
            <w:rStyle w:val="Hyperlink"/>
            <w:sz w:val="24"/>
            <w:lang w:val="sk-SK"/>
          </w:rPr>
          <w:t>http://data.europa.eu/eli/dir/2024/1069/oj</w:t>
        </w:r>
      </w:hyperlink>
      <w:r w:rsidRPr="002A2769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A2769" w14:paraId="7659DA4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A2769" w14:paraId="3A42FEF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A2769" w14:paraId="045598F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2454217">
    <w:abstractNumId w:val="9"/>
  </w:num>
  <w:num w:numId="2" w16cid:durableId="79302136">
    <w:abstractNumId w:val="9"/>
  </w:num>
  <w:num w:numId="3" w16cid:durableId="1975018267">
    <w:abstractNumId w:val="7"/>
  </w:num>
  <w:num w:numId="4" w16cid:durableId="2116245974">
    <w:abstractNumId w:val="7"/>
  </w:num>
  <w:num w:numId="5" w16cid:durableId="808127540">
    <w:abstractNumId w:val="6"/>
  </w:num>
  <w:num w:numId="6" w16cid:durableId="1390760450">
    <w:abstractNumId w:val="6"/>
  </w:num>
  <w:num w:numId="7" w16cid:durableId="331570116">
    <w:abstractNumId w:val="5"/>
  </w:num>
  <w:num w:numId="8" w16cid:durableId="2014064333">
    <w:abstractNumId w:val="5"/>
  </w:num>
  <w:num w:numId="9" w16cid:durableId="2009794115">
    <w:abstractNumId w:val="4"/>
  </w:num>
  <w:num w:numId="10" w16cid:durableId="1180122662">
    <w:abstractNumId w:val="4"/>
  </w:num>
  <w:num w:numId="11" w16cid:durableId="815299173">
    <w:abstractNumId w:val="8"/>
  </w:num>
  <w:num w:numId="12" w16cid:durableId="1272324118">
    <w:abstractNumId w:val="8"/>
  </w:num>
  <w:num w:numId="13" w16cid:durableId="313682287">
    <w:abstractNumId w:val="3"/>
  </w:num>
  <w:num w:numId="14" w16cid:durableId="1979648590">
    <w:abstractNumId w:val="3"/>
  </w:num>
  <w:num w:numId="15" w16cid:durableId="205022149">
    <w:abstractNumId w:val="2"/>
  </w:num>
  <w:num w:numId="16" w16cid:durableId="1382633392">
    <w:abstractNumId w:val="2"/>
  </w:num>
  <w:num w:numId="17" w16cid:durableId="1603493718">
    <w:abstractNumId w:val="1"/>
  </w:num>
  <w:num w:numId="18" w16cid:durableId="2118520206">
    <w:abstractNumId w:val="1"/>
  </w:num>
  <w:num w:numId="19" w16cid:durableId="1586724194">
    <w:abstractNumId w:val="0"/>
  </w:num>
  <w:num w:numId="20" w16cid:durableId="114063721">
    <w:abstractNumId w:val="0"/>
  </w:num>
  <w:num w:numId="21" w16cid:durableId="1035931404">
    <w:abstractNumId w:val="9"/>
  </w:num>
  <w:num w:numId="22" w16cid:durableId="279609022">
    <w:abstractNumId w:val="7"/>
  </w:num>
  <w:num w:numId="23" w16cid:durableId="246304263">
    <w:abstractNumId w:val="6"/>
  </w:num>
  <w:num w:numId="24" w16cid:durableId="2019262069">
    <w:abstractNumId w:val="5"/>
  </w:num>
  <w:num w:numId="25" w16cid:durableId="713503180">
    <w:abstractNumId w:val="4"/>
  </w:num>
  <w:num w:numId="26" w16cid:durableId="321127679">
    <w:abstractNumId w:val="8"/>
  </w:num>
  <w:num w:numId="27" w16cid:durableId="1957366524">
    <w:abstractNumId w:val="3"/>
  </w:num>
  <w:num w:numId="28" w16cid:durableId="430047343">
    <w:abstractNumId w:val="2"/>
  </w:num>
  <w:num w:numId="29" w16cid:durableId="254285733">
    <w:abstractNumId w:val="1"/>
  </w:num>
  <w:num w:numId="30" w16cid:durableId="1242957009">
    <w:abstractNumId w:val="0"/>
  </w:num>
  <w:num w:numId="31" w16cid:durableId="786973283">
    <w:abstractNumId w:val="9"/>
  </w:num>
  <w:num w:numId="32" w16cid:durableId="1070347177">
    <w:abstractNumId w:val="7"/>
  </w:num>
  <w:num w:numId="33" w16cid:durableId="125588498">
    <w:abstractNumId w:val="6"/>
  </w:num>
  <w:num w:numId="34" w16cid:durableId="665323254">
    <w:abstractNumId w:val="5"/>
  </w:num>
  <w:num w:numId="35" w16cid:durableId="95248780">
    <w:abstractNumId w:val="4"/>
  </w:num>
  <w:num w:numId="36" w16cid:durableId="122163430">
    <w:abstractNumId w:val="8"/>
  </w:num>
  <w:num w:numId="37" w16cid:durableId="212472107">
    <w:abstractNumId w:val="3"/>
  </w:num>
  <w:num w:numId="38" w16cid:durableId="189029503">
    <w:abstractNumId w:val="2"/>
  </w:num>
  <w:num w:numId="39" w16cid:durableId="1413696904">
    <w:abstractNumId w:val="1"/>
  </w:num>
  <w:num w:numId="40" w16cid:durableId="2023824516">
    <w:abstractNumId w:val="0"/>
  </w:num>
  <w:num w:numId="41" w16cid:durableId="1732734342">
    <w:abstractNumId w:val="10"/>
  </w:num>
  <w:num w:numId="42" w16cid:durableId="533427832">
    <w:abstractNumId w:val="10"/>
  </w:num>
  <w:num w:numId="43" w16cid:durableId="1484930343">
    <w:abstractNumId w:val="10"/>
  </w:num>
  <w:num w:numId="44" w16cid:durableId="5421820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7C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276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833"/>
    <w:rsid w:val="005C2568"/>
    <w:rsid w:val="005F1B17"/>
    <w:rsid w:val="006037C0"/>
    <w:rsid w:val="006631B6"/>
    <w:rsid w:val="00680577"/>
    <w:rsid w:val="006E68D4"/>
    <w:rsid w:val="006F74FA"/>
    <w:rsid w:val="00731ADD"/>
    <w:rsid w:val="00734777"/>
    <w:rsid w:val="00747932"/>
    <w:rsid w:val="00751A4A"/>
    <w:rsid w:val="00756632"/>
    <w:rsid w:val="00762C74"/>
    <w:rsid w:val="00786EC0"/>
    <w:rsid w:val="007A5BE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21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7C1"/>
    <w:rsid w:val="00B558F0"/>
    <w:rsid w:val="00B6596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6E0"/>
    <w:rsid w:val="00F5134D"/>
    <w:rsid w:val="00F74202"/>
    <w:rsid w:val="00F87713"/>
    <w:rsid w:val="00FB4360"/>
    <w:rsid w:val="00FD0C70"/>
    <w:rsid w:val="00FF19DA"/>
  </w:rsids>
  <w:docVars>
    <w:docVar w:name="dvdocse" w:val="A10-0166/2026"/>
    <w:docVar w:name="dvlangue" w:val="SK"/>
    <w:docVar w:name="dvnumam" w:val="0"/>
    <w:docVar w:name="dvpe" w:val="784.231"/>
    <w:docVar w:name="dvrapporteur" w:val="Spravodajca: "/>
    <w:docVar w:name="dvtitre" w:val="Uznesenie Európskeho parlamentu z/zo xx. xxx 2026 o správe Komisie o Kosove za rok 2025(2025/2252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41A3BA5"/>
  <w15:chartTrackingRefBased/>
  <w15:docId w15:val="{64A3D9FC-B269-4B1C-A9A1-ED3FE969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E68D4"/>
    <w:pPr>
      <w:spacing w:after="240"/>
      <w:ind w:left="567" w:hanging="567"/>
    </w:pPr>
  </w:style>
  <w:style w:type="paragraph" w:customStyle="1" w:styleId="EPComma">
    <w:name w:val="EPComma"/>
    <w:basedOn w:val="Normal"/>
    <w:rsid w:val="006E68D4"/>
    <w:pPr>
      <w:spacing w:before="480" w:after="240"/>
    </w:pPr>
  </w:style>
  <w:style w:type="character" w:styleId="Hyperlink">
    <w:name w:val="Hyperlink"/>
    <w:basedOn w:val="DefaultParagraphFont"/>
    <w:rsid w:val="006E68D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F19D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yperlink" Target="https://eur-lex.europa.eu/legal-content/SK/ALL/?uri=CELEX:52020DC0641" TargetMode="External" /><Relationship Id="rId8" Type="http://schemas.openxmlformats.org/officeDocument/2006/relationships/hyperlink" Target="https://eur-lex.europa.eu/legal-content/SK/ALL/?uri=CELEX:52023DC0691" TargetMode="External" /><Relationship Id="rId9" Type="http://schemas.openxmlformats.org/officeDocument/2006/relationships/hyperlink" Target="https://eur-lex.europa.eu/legal-content/SK/ALL/?uri=CELEX:52024DC0146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6/342/oj" TargetMode="External" /><Relationship Id="rId2" Type="http://schemas.openxmlformats.org/officeDocument/2006/relationships/hyperlink" Target="http://data.europa.eu/eli/agree_internation/2017/1388/oj" TargetMode="External" /><Relationship Id="rId3" Type="http://schemas.openxmlformats.org/officeDocument/2006/relationships/hyperlink" Target="http://data.europa.eu/eli/reg/2021/1529/oj" TargetMode="External" /><Relationship Id="rId4" Type="http://schemas.openxmlformats.org/officeDocument/2006/relationships/hyperlink" Target="http://data.europa.eu/eli/reg/2023/850/oj" TargetMode="External" /><Relationship Id="rId5" Type="http://schemas.openxmlformats.org/officeDocument/2006/relationships/hyperlink" Target="http://data.europa.eu/eli/reg/2024/1449/oj" TargetMode="External" /><Relationship Id="rId6" Type="http://schemas.openxmlformats.org/officeDocument/2006/relationships/hyperlink" Target="http://data.europa.eu/eli/dec/2025/1161/oj" TargetMode="External" /><Relationship Id="rId7" Type="http://schemas.openxmlformats.org/officeDocument/2006/relationships/hyperlink" Target="http://data.europa.eu/eli/reg/2024/1083/oj" TargetMode="External" /><Relationship Id="rId8" Type="http://schemas.openxmlformats.org/officeDocument/2006/relationships/hyperlink" Target="http://data.europa.eu/eli/dir/2024/10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6319</Words>
  <Characters>40250</Characters>
  <Application>Microsoft Office Word</Application>
  <DocSecurity>0</DocSecurity>
  <Lines>1677</Lines>
  <Paragraphs>597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2026-06-17T09:23:00Z</dcterms:created>
  <dcterms:modified xsi:type="dcterms:W3CDTF">2026-06-17T09:23:00Z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A10-0166/2026</vt:lpwstr>
  </property>
  <property fmtid="{D5CDD505-2E9C-101B-9397-08002B2CF9AE}" pid="4" name="&lt;Type&gt;">
    <vt:lpwstr>RR</vt:lpwstr>
  </property>
</Properties>
</file>