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DB555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68E3" w:rsidP="0010095E" w14:paraId="51FFE37A" w14:textId="48A9A672">
            <w:pPr>
              <w:pStyle w:val="EPName"/>
            </w:pPr>
            <w:r w:rsidRPr="006768E3">
              <w:t>Европейски</w:t>
            </w:r>
            <w:r w:rsidRPr="006768E3" w:rsidR="00172945">
              <w:t xml:space="preserve"> парламент</w:t>
            </w:r>
          </w:p>
          <w:p w:rsidR="00751A4A" w:rsidRPr="006768E3" w:rsidP="005F1B17" w14:paraId="60C6A12D" w14:textId="3F1F92A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68E3">
              <w:t>2024</w:t>
            </w:r>
            <w:r w:rsidR="00914A49">
              <w:rPr>
                <w:lang w:val="en-GB"/>
              </w:rPr>
              <w:t> – </w:t>
            </w:r>
            <w:r w:rsidRPr="006768E3" w:rsidR="00817416">
              <w:t>202</w:t>
            </w:r>
            <w:r w:rsidRPr="006768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768E3" w:rsidP="0010095E" w14:paraId="3F221DBB" w14:textId="77777777">
            <w:pPr>
              <w:pStyle w:val="EPLogo"/>
            </w:pPr>
            <w:r w:rsidRPr="006768E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68E3" w:rsidP="004C5D52" w14:paraId="6B66C718" w14:textId="77777777">
      <w:pPr>
        <w:pStyle w:val="LineTop"/>
      </w:pPr>
    </w:p>
    <w:p w:rsidR="00680577" w:rsidRPr="006768E3" w:rsidP="00680577" w14:paraId="60F0DCA7" w14:textId="77777777">
      <w:pPr>
        <w:pStyle w:val="EPBodyTA1"/>
      </w:pPr>
      <w:r w:rsidRPr="006768E3">
        <w:t>ПРИЕТИ ТЕКСТОВЕ</w:t>
      </w:r>
    </w:p>
    <w:p w:rsidR="00D058B8" w:rsidRPr="006768E3" w:rsidP="00D058B8" w14:paraId="134DD31B" w14:textId="77777777">
      <w:pPr>
        <w:pStyle w:val="LineBottom"/>
      </w:pPr>
    </w:p>
    <w:p w:rsidR="00172945" w:rsidRPr="00D507BF" w:rsidP="00172945" w14:paraId="2BA85D85" w14:textId="25A6CFC9">
      <w:pPr>
        <w:pStyle w:val="ATHeading1"/>
        <w:rPr>
          <w:lang w:val="en-GB"/>
        </w:rPr>
      </w:pPr>
      <w:bookmarkStart w:id="0" w:name="TANumber"/>
      <w:r w:rsidRPr="006768E3">
        <w:t>P10_TA(2026)0</w:t>
      </w:r>
      <w:r w:rsidR="003E16F3">
        <w:rPr>
          <w:lang w:val="en-GB"/>
        </w:rPr>
        <w:t>221</w:t>
      </w:r>
      <w:bookmarkEnd w:id="0"/>
    </w:p>
    <w:p w:rsidR="00172945" w:rsidRPr="006768E3" w:rsidP="00172945" w14:paraId="75187F52" w14:textId="77777777">
      <w:pPr>
        <w:pStyle w:val="ATHeading2"/>
      </w:pPr>
      <w:bookmarkStart w:id="1" w:name="title"/>
      <w:r w:rsidRPr="006768E3">
        <w:t>Препоръка относно насърчаването на транснационалното управление на водните ресурси в интерес на предотвратяването на конфликти и мира</w:t>
      </w:r>
      <w:bookmarkEnd w:id="1"/>
    </w:p>
    <w:p w:rsidR="00172945" w:rsidRPr="006768E3" w:rsidP="00172945" w14:paraId="47D95BFC" w14:textId="77777777">
      <w:pPr>
        <w:rPr>
          <w:i/>
          <w:vanish/>
        </w:rPr>
      </w:pPr>
      <w:r>
        <w:rPr>
          <w:i/>
        </w:rPr>
        <w:fldChar w:fldCharType="begin"/>
      </w:r>
      <w:r w:rsidRPr="006768E3">
        <w:rPr>
          <w:i/>
        </w:rPr>
        <w:instrText xml:space="preserve"> TC"(</w:instrText>
      </w:r>
      <w:bookmarkStart w:id="2" w:name="DocNumber"/>
      <w:r w:rsidRPr="006768E3">
        <w:rPr>
          <w:i/>
        </w:rPr>
        <w:instrText>A10-0150/2026</w:instrText>
      </w:r>
      <w:bookmarkEnd w:id="2"/>
      <w:r w:rsidRPr="006768E3">
        <w:rPr>
          <w:i/>
        </w:rPr>
        <w:instrText xml:space="preserve"> - Докладчик: </w:instrText>
      </w:r>
      <w:r w:rsidRPr="006768E3">
        <w:rPr>
          <w:i/>
        </w:rPr>
        <w:instrText>Леолука</w:instrText>
      </w:r>
      <w:r w:rsidRPr="006768E3">
        <w:rPr>
          <w:i/>
        </w:rPr>
        <w:instrText xml:space="preserve"> Орландо)"\l3 \n&gt; \* MERGEFORMAT </w:instrText>
      </w:r>
      <w:r>
        <w:rPr>
          <w:i/>
        </w:rPr>
        <w:fldChar w:fldCharType="end"/>
      </w:r>
    </w:p>
    <w:p w:rsidR="00172945" w:rsidRPr="006768E3" w:rsidP="00172945" w14:paraId="78AA9B4D" w14:textId="77777777">
      <w:pPr>
        <w:rPr>
          <w:vanish/>
        </w:rPr>
      </w:pPr>
      <w:bookmarkStart w:id="3" w:name="Commission"/>
      <w:r w:rsidRPr="006768E3">
        <w:rPr>
          <w:vanish/>
        </w:rPr>
        <w:t>Комисия по външни работи</w:t>
      </w:r>
      <w:bookmarkEnd w:id="3"/>
    </w:p>
    <w:p w:rsidR="00172945" w:rsidRPr="006768E3" w:rsidP="00172945" w14:paraId="4414C120" w14:textId="77777777">
      <w:pPr>
        <w:rPr>
          <w:vanish/>
        </w:rPr>
      </w:pPr>
      <w:bookmarkStart w:id="4" w:name="PE"/>
      <w:r w:rsidRPr="006768E3">
        <w:rPr>
          <w:vanish/>
        </w:rPr>
        <w:t>PE779.681</w:t>
      </w:r>
      <w:bookmarkEnd w:id="4"/>
    </w:p>
    <w:p w:rsidR="00172945" w:rsidRPr="006768E3" w:rsidP="00172945" w14:paraId="6B41AEAE" w14:textId="0DD96DCA">
      <w:pPr>
        <w:pStyle w:val="ATHeading3"/>
      </w:pPr>
      <w:bookmarkStart w:id="5" w:name="Sujet"/>
      <w:r w:rsidRPr="006768E3">
        <w:t xml:space="preserve">Препоръка на Европейския парламент </w:t>
      </w:r>
      <w:r w:rsidR="00914A49">
        <w:t xml:space="preserve">от 17 юни 2026 г. </w:t>
      </w:r>
      <w:r w:rsidRPr="006768E3">
        <w:t>до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насърчаването на транснационалното управление на водните ресурси в интерес на предотвратяването на конфликти и мира</w:t>
      </w:r>
      <w:bookmarkEnd w:id="5"/>
      <w:r w:rsidRPr="006768E3">
        <w:t xml:space="preserve"> </w:t>
      </w:r>
      <w:bookmarkStart w:id="6" w:name="References"/>
      <w:r w:rsidRPr="006768E3">
        <w:t>(2025/2216(INI))</w:t>
      </w:r>
      <w:bookmarkEnd w:id="6"/>
    </w:p>
    <w:p w:rsidR="00BF611E" w:rsidRPr="006768E3" w:rsidP="00BF611E" w14:paraId="62E662D9" w14:textId="77777777">
      <w:pPr>
        <w:pStyle w:val="EPComma"/>
      </w:pPr>
      <w:r w:rsidRPr="006768E3">
        <w:rPr>
          <w:i/>
          <w:iCs/>
        </w:rPr>
        <w:t>Европейският парламент,</w:t>
      </w:r>
    </w:p>
    <w:p w:rsidR="00BF611E" w:rsidRPr="006768E3" w:rsidP="00BF611E" w14:paraId="3B6B0423" w14:textId="77777777">
      <w:pPr>
        <w:pStyle w:val="NormalHanging12a"/>
      </w:pPr>
      <w:r w:rsidRPr="006768E3">
        <w:t>–</w:t>
      </w:r>
      <w:r w:rsidRPr="006768E3">
        <w:tab/>
        <w:t>като взе предвид Конвенцията на ООН за опазване и използване на трансграничните водни течения и международните езера (Конвенция за водата) от 1992 г.,</w:t>
      </w:r>
    </w:p>
    <w:p w:rsidR="00BF611E" w:rsidRPr="006768E3" w:rsidP="00BF611E" w14:paraId="138A7C5F" w14:textId="77777777">
      <w:pPr>
        <w:pStyle w:val="NormalHanging12a"/>
      </w:pPr>
      <w:r w:rsidRPr="006768E3">
        <w:t>–</w:t>
      </w:r>
      <w:r w:rsidRPr="006768E3">
        <w:tab/>
        <w:t>като взе предвид своята резолюция от 7 май 2025 г. относно европейската стратегия за устойчивост на водните ресурси</w:t>
      </w:r>
      <w:r>
        <w:rPr>
          <w:rStyle w:val="FootnoteReference"/>
        </w:rPr>
        <w:footnoteReference w:id="2"/>
      </w:r>
      <w:r w:rsidRPr="006768E3">
        <w:t>,</w:t>
      </w:r>
    </w:p>
    <w:p w:rsidR="00BF611E" w:rsidRPr="006768E3" w:rsidP="00BF611E" w14:paraId="42D21131" w14:textId="77777777">
      <w:pPr>
        <w:pStyle w:val="NormalHanging12a"/>
      </w:pPr>
      <w:r w:rsidRPr="006768E3">
        <w:t>–</w:t>
      </w:r>
      <w:r w:rsidRPr="006768E3">
        <w:tab/>
        <w:t>като взе предвид съобщението на Комисията от 4 юни 2025 г., озаглавено „Европейска стратегия за устойчивост на водните ресурси“ (COM(2025)0280),</w:t>
      </w:r>
    </w:p>
    <w:p w:rsidR="00BF611E" w:rsidRPr="006768E3" w:rsidP="00BF611E" w14:paraId="0FEA65FC" w14:textId="77777777">
      <w:pPr>
        <w:pStyle w:val="NormalHanging12a"/>
      </w:pPr>
      <w:r w:rsidRPr="006768E3">
        <w:t>–</w:t>
      </w:r>
      <w:r w:rsidRPr="006768E3">
        <w:tab/>
        <w:t>като взе предвид своята резолюция от 5 октомври 2022 г. относно външното измерение на достъпа до вода като право на човека</w:t>
      </w:r>
      <w:r>
        <w:rPr>
          <w:rStyle w:val="FootnoteReference"/>
        </w:rPr>
        <w:footnoteReference w:id="3"/>
      </w:r>
      <w:r w:rsidRPr="006768E3">
        <w:t xml:space="preserve">, </w:t>
      </w:r>
    </w:p>
    <w:p w:rsidR="00BF611E" w:rsidRPr="006768E3" w:rsidP="00BF611E" w14:paraId="2E573E94" w14:textId="77777777">
      <w:pPr>
        <w:pStyle w:val="NormalHanging12a"/>
      </w:pPr>
      <w:r w:rsidRPr="006768E3">
        <w:t>–</w:t>
      </w:r>
      <w:r w:rsidRPr="006768E3">
        <w:tab/>
        <w:t>като взе предвид Конференцията на ООН за водите от 2023 г. и приетата Програма за действие в областта на водите, както и предстоящата Конференция на ООН за водите от 2026 г.,</w:t>
      </w:r>
    </w:p>
    <w:p w:rsidR="00BF611E" w:rsidRPr="006768E3" w:rsidP="00BF611E" w14:paraId="640878EC" w14:textId="77777777">
      <w:pPr>
        <w:pStyle w:val="NormalHanging12a"/>
      </w:pPr>
      <w:r w:rsidRPr="006768E3">
        <w:t>–</w:t>
      </w:r>
      <w:r w:rsidRPr="006768E3">
        <w:tab/>
        <w:t>като взе предвид информационния фиш на Службата на върховния комисар на ООН за правата на човека, озаглавен „Правото на вода“, публикуван през август 2010 г.,</w:t>
      </w:r>
    </w:p>
    <w:p w:rsidR="00BF611E" w:rsidRPr="006768E3" w:rsidP="00BF611E" w14:paraId="3413E8AD" w14:textId="77777777">
      <w:pPr>
        <w:pStyle w:val="NormalHanging12a"/>
      </w:pPr>
      <w:r w:rsidRPr="006768E3">
        <w:t>–</w:t>
      </w:r>
      <w:r w:rsidRPr="006768E3">
        <w:tab/>
        <w:t xml:space="preserve">като взе предвид доклада на Института по водните ресурси, околната среда и здравето към Университета на ООН от 20 януари 2026 г., озаглавен </w:t>
      </w:r>
      <w:r w:rsidRPr="006768E3">
        <w:t>Global</w:t>
      </w:r>
      <w:r w:rsidRPr="006768E3">
        <w:t xml:space="preserve"> </w:t>
      </w:r>
      <w:r w:rsidRPr="006768E3">
        <w:t>Water</w:t>
      </w:r>
      <w:r w:rsidRPr="006768E3">
        <w:t xml:space="preserve"> </w:t>
      </w:r>
      <w:r w:rsidRPr="006768E3">
        <w:t>Bankruptcy</w:t>
      </w:r>
      <w:r w:rsidRPr="006768E3">
        <w:t xml:space="preserve">: </w:t>
      </w:r>
      <w:r w:rsidRPr="006768E3">
        <w:t>Living</w:t>
      </w:r>
      <w:r w:rsidRPr="006768E3">
        <w:t xml:space="preserve"> </w:t>
      </w:r>
      <w:r w:rsidRPr="006768E3">
        <w:t>Beyond</w:t>
      </w:r>
      <w:r w:rsidRPr="006768E3">
        <w:t xml:space="preserve"> </w:t>
      </w:r>
      <w:r w:rsidRPr="006768E3">
        <w:t>our</w:t>
      </w:r>
      <w:r w:rsidRPr="006768E3">
        <w:t xml:space="preserve"> </w:t>
      </w:r>
      <w:r w:rsidRPr="006768E3">
        <w:t>Hydrological</w:t>
      </w:r>
      <w:r w:rsidRPr="006768E3">
        <w:t xml:space="preserve"> </w:t>
      </w:r>
      <w:r w:rsidRPr="006768E3">
        <w:t>Means</w:t>
      </w:r>
      <w:r w:rsidRPr="006768E3">
        <w:t xml:space="preserve"> </w:t>
      </w:r>
      <w:r w:rsidRPr="006768E3">
        <w:t>in</w:t>
      </w:r>
      <w:r w:rsidRPr="006768E3">
        <w:t xml:space="preserve"> </w:t>
      </w:r>
      <w:r w:rsidRPr="006768E3">
        <w:t>the</w:t>
      </w:r>
      <w:r w:rsidRPr="006768E3">
        <w:t xml:space="preserve"> </w:t>
      </w:r>
      <w:r w:rsidRPr="006768E3">
        <w:t>Post-Crisis</w:t>
      </w:r>
      <w:r w:rsidRPr="006768E3">
        <w:t xml:space="preserve"> </w:t>
      </w:r>
      <w:r w:rsidRPr="006768E3">
        <w:t>Era</w:t>
      </w:r>
      <w:r w:rsidRPr="006768E3">
        <w:t xml:space="preserve"> („Несъстоятелност по отношение на водата в световен мащаб – живот над възможностите на нашите водни ресурси в периода след кризата“),</w:t>
      </w:r>
    </w:p>
    <w:p w:rsidR="00BF611E" w:rsidRPr="006768E3" w:rsidP="00BF611E" w14:paraId="7AD200BF" w14:textId="77777777">
      <w:pPr>
        <w:pStyle w:val="NormalHanging12a"/>
      </w:pPr>
      <w:r w:rsidRPr="006768E3">
        <w:t>–</w:t>
      </w:r>
      <w:r w:rsidRPr="006768E3">
        <w:tab/>
        <w:t>като взе предвид заключенията на Съвета от 19 ноември 2018 г. относно дипломация в областта на водните ресурси,</w:t>
      </w:r>
    </w:p>
    <w:p w:rsidR="00BF611E" w:rsidRPr="006768E3" w:rsidP="00BF611E" w14:paraId="65739FA9" w14:textId="77777777">
      <w:pPr>
        <w:pStyle w:val="NormalHanging12a"/>
      </w:pPr>
      <w:r w:rsidRPr="006768E3">
        <w:t>–</w:t>
      </w:r>
      <w:r w:rsidRPr="006768E3">
        <w:tab/>
        <w:t>като взе предвид заключенията на Съвета от 19 ноември 2021 г. относно водата във външната дейност на ЕС,</w:t>
      </w:r>
    </w:p>
    <w:p w:rsidR="00BF611E" w:rsidRPr="006768E3" w:rsidP="00BF611E" w14:paraId="1FC11566" w14:textId="77777777">
      <w:pPr>
        <w:pStyle w:val="NormalHanging12a"/>
      </w:pPr>
      <w:r w:rsidRPr="006768E3">
        <w:t>–</w:t>
      </w:r>
      <w:r w:rsidRPr="006768E3">
        <w:tab/>
        <w:t>като взе предвид насоките на ЕС от 17 юни 2019 г. относно безопасната питейна вода и добрите санитарни условия,</w:t>
      </w:r>
    </w:p>
    <w:p w:rsidR="00BF611E" w:rsidRPr="006768E3" w:rsidP="00BF611E" w14:paraId="4D5EBF53" w14:textId="77777777">
      <w:pPr>
        <w:pStyle w:val="NormalHanging12a"/>
      </w:pPr>
      <w:r w:rsidRPr="006768E3">
        <w:t>–</w:t>
      </w:r>
      <w:r w:rsidRPr="006768E3">
        <w:tab/>
        <w:t>като взе предвид член 121 от своя Правилник за дейността,</w:t>
      </w:r>
    </w:p>
    <w:p w:rsidR="00BF611E" w:rsidRPr="006768E3" w:rsidP="00BF611E" w14:paraId="46DEA1C1" w14:textId="77777777">
      <w:pPr>
        <w:pStyle w:val="NormalHanging12a"/>
      </w:pPr>
      <w:r w:rsidRPr="006768E3">
        <w:t>–</w:t>
      </w:r>
      <w:r w:rsidRPr="006768E3">
        <w:tab/>
        <w:t>като взе предвид своята резолюция от 2 април 2025 г. относно правата на човека и демокрацията по света и политиката на Европейския съюз в тази област – годишен доклад за 2024 г.</w:t>
      </w:r>
      <w:r>
        <w:rPr>
          <w:rStyle w:val="FootnoteReference"/>
        </w:rPr>
        <w:footnoteReference w:id="4"/>
      </w:r>
      <w:r w:rsidRPr="006768E3">
        <w:t>,</w:t>
      </w:r>
    </w:p>
    <w:p w:rsidR="00BF611E" w:rsidRPr="006768E3" w:rsidP="00BF611E" w14:paraId="65F03158" w14:textId="77777777">
      <w:pPr>
        <w:pStyle w:val="NormalHanging12a"/>
      </w:pPr>
      <w:r w:rsidRPr="006768E3">
        <w:t>–</w:t>
      </w:r>
      <w:r w:rsidRPr="006768E3">
        <w:tab/>
        <w:t>като взе предвид своята резолюция от 21 януари 2026 г. относно правата на човека и демокрацията по света и политиката на Европейския съюз в тази област – годишен доклад за 2025 г.</w:t>
      </w:r>
      <w:r>
        <w:rPr>
          <w:rStyle w:val="FootnoteReference"/>
        </w:rPr>
        <w:footnoteReference w:id="5"/>
      </w:r>
      <w:r w:rsidRPr="006768E3">
        <w:t>,</w:t>
      </w:r>
    </w:p>
    <w:p w:rsidR="00BF611E" w:rsidRPr="006768E3" w:rsidP="00BF611E" w14:paraId="4AA1DAB4" w14:textId="77777777">
      <w:pPr>
        <w:pStyle w:val="NormalHanging12a"/>
      </w:pPr>
      <w:r w:rsidRPr="006768E3">
        <w:t>–</w:t>
      </w:r>
      <w:r w:rsidRPr="006768E3">
        <w:tab/>
        <w:t>като взе предвид становището на Европейския икономически и социален комитет от 4 декември 2024 г., озаглавено „Политика в областта на водите: овластяване на младите хора, жените, коренните и местните общности“</w:t>
      </w:r>
      <w:r>
        <w:rPr>
          <w:rStyle w:val="FootnoteReference"/>
        </w:rPr>
        <w:footnoteReference w:id="6"/>
      </w:r>
      <w:r w:rsidRPr="006768E3">
        <w:t>,</w:t>
      </w:r>
    </w:p>
    <w:p w:rsidR="00BF611E" w:rsidRPr="006768E3" w:rsidP="00BF611E" w14:paraId="3E500E26" w14:textId="77777777">
      <w:pPr>
        <w:pStyle w:val="NormalHanging12a"/>
      </w:pPr>
      <w:r w:rsidRPr="006768E3">
        <w:t>–</w:t>
      </w:r>
      <w:r w:rsidRPr="006768E3">
        <w:tab/>
        <w:t>като взе предвид доклада на комисията по външни работи (A10-0150/2026),</w:t>
      </w:r>
    </w:p>
    <w:p w:rsidR="00BF611E" w:rsidRPr="006768E3" w:rsidP="00BF611E" w14:paraId="203B8AB8" w14:textId="77777777">
      <w:pPr>
        <w:pStyle w:val="NormalHanging12a"/>
      </w:pPr>
      <w:r w:rsidRPr="006768E3">
        <w:t>А.</w:t>
      </w:r>
      <w:r w:rsidRPr="006768E3">
        <w:tab/>
        <w:t>като има предвид, че водата е от съществено значение за оцеляването на човечеството и всички живи организми на Земята и следователно е обществено и световно благо, което трябва да се управлява устойчиво и справедливо;</w:t>
      </w:r>
    </w:p>
    <w:p w:rsidR="00BF611E" w:rsidRPr="006768E3" w:rsidP="00BF611E" w14:paraId="27457030" w14:textId="77777777">
      <w:pPr>
        <w:pStyle w:val="NormalHanging12a"/>
      </w:pPr>
      <w:r w:rsidRPr="006768E3">
        <w:t>Б.</w:t>
      </w:r>
      <w:r w:rsidRPr="006768E3">
        <w:tab/>
        <w:t>като има предвид, че достъпът до безопасна питейна вода и добри санитарни условия е право на човека и предпоставка за здраве, стабилност, сигурност и мир, както и за пълноценното упражняване на правото на живот и всички права на човека; като има предвид, че лошото управление на водите, недостигът на вода и неравният достъп могат да допринесат за нестабилност, конфликти и разселване; като има предвид, че около 2,2 милиарда души все още нямат достъп до безопасно управлявана питейна вода, 3,5 милиарда души нямат безопасно управлявано отвеждане на отпадъчните води, а около 4 милиарда души страдат от сериозен недостиг на вода поне един месец всяка година;</w:t>
      </w:r>
    </w:p>
    <w:p w:rsidR="00BF611E" w:rsidRPr="006768E3" w:rsidP="00BF611E" w14:paraId="2DEDB5E2" w14:textId="77777777">
      <w:pPr>
        <w:pStyle w:val="NormalHanging12a"/>
        <w:rPr>
          <w:bCs/>
          <w:iCs/>
        </w:rPr>
      </w:pPr>
      <w:r w:rsidRPr="006768E3">
        <w:t>В.</w:t>
      </w:r>
      <w:r w:rsidRPr="006768E3">
        <w:tab/>
        <w:t xml:space="preserve">като има предвид, че неадекватните услуги за водоснабдяване и канализация допринасят значително за разпространението на предотвратими инфекциозни </w:t>
      </w:r>
      <w:r w:rsidRPr="006768E3">
        <w:t>заболявания като холера, малария и стомашно-чревни болести;</w:t>
      </w:r>
    </w:p>
    <w:p w:rsidR="00BF611E" w:rsidRPr="006768E3" w:rsidP="00BF611E" w14:paraId="13676DC8" w14:textId="77777777">
      <w:pPr>
        <w:pStyle w:val="NormalHanging12a"/>
      </w:pPr>
      <w:r w:rsidRPr="006768E3">
        <w:t>Г.</w:t>
      </w:r>
      <w:r w:rsidRPr="006768E3">
        <w:tab/>
        <w:t>като има предвид, че изменението на климата и неустойчивата човешка дейност представляват сериозна заплаха за водните ресурси и засилват недостига на вода; като има предвид, че нарастващият натиск върху водните ресурси, дължащ се на ускорения прираст на населението, увеличеното търсене и неустойчивото използване на водите и земята, допринасят за недостига на вода, глада и конфликтите;</w:t>
      </w:r>
    </w:p>
    <w:p w:rsidR="00BF611E" w:rsidRPr="006768E3" w:rsidP="00BF611E" w14:paraId="01EB3A7F" w14:textId="77777777">
      <w:pPr>
        <w:pStyle w:val="NormalHanging12a"/>
      </w:pPr>
      <w:r w:rsidRPr="006768E3">
        <w:t>Д.</w:t>
      </w:r>
      <w:r w:rsidRPr="006768E3">
        <w:tab/>
        <w:t>като има предвид, че през всяка от последните шест години условията за заустване са били в нормални граници само в около една трета от водосборния басейн на континента; като има предвид, че 90% от всички природни бедствия са свързани с водата; като има предвид, че поради изменението на климата хидроложките цикли стават все по-непредсказуеми, като се характеризират с резки колебания между тежки суши и опустошителни наводнения; като има предвид, че през последните години се съобщава за загуба на лед във всички ледникови региони по света; като има предвид, че човешките дейности са причина за значително замърсяване на сладководните ресурси в световен мащаб;</w:t>
      </w:r>
    </w:p>
    <w:p w:rsidR="00BF611E" w:rsidRPr="006768E3" w:rsidP="00BF611E" w14:paraId="382FCD63" w14:textId="77777777">
      <w:pPr>
        <w:pStyle w:val="NormalHanging12a"/>
        <w:rPr>
          <w:bCs/>
          <w:iCs/>
        </w:rPr>
      </w:pPr>
      <w:r w:rsidRPr="006768E3">
        <w:t>Е.</w:t>
      </w:r>
      <w:r w:rsidRPr="006768E3">
        <w:tab/>
        <w:t>като има предвид, че количеството и качеството на водата са също толкова важни; като има предвид, че ефективното управление и на двете създава икономически и социални възможности;</w:t>
      </w:r>
    </w:p>
    <w:p w:rsidR="00BF611E" w:rsidRPr="006768E3" w:rsidP="00BF611E" w14:paraId="1CE7321A" w14:textId="77777777">
      <w:pPr>
        <w:pStyle w:val="NormalHanging12a"/>
      </w:pPr>
      <w:r w:rsidRPr="006768E3">
        <w:t>Ж.</w:t>
      </w:r>
      <w:r w:rsidRPr="006768E3">
        <w:tab/>
        <w:t xml:space="preserve">като има предвид, че 60% от сладководните потоци в света представляват водоносни хоризонти, езера и речни басейни, които пресичат държавните граници и се простират на територията на най-малко две държави; </w:t>
      </w:r>
    </w:p>
    <w:p w:rsidR="00BF611E" w:rsidRPr="006768E3" w:rsidP="00BF611E" w14:paraId="6C79BF79" w14:textId="77777777">
      <w:pPr>
        <w:pStyle w:val="NormalHanging12a"/>
      </w:pPr>
      <w:r w:rsidRPr="006768E3">
        <w:t>З.</w:t>
      </w:r>
      <w:r w:rsidRPr="006768E3">
        <w:tab/>
        <w:t xml:space="preserve">като има предвид, че въпреки отбелязания напредък трансграничното сътрудничество в областта на водите остава недостатъчно в световен мащаб; като има предвид, че от 153-те държави – членки на ООН, които имат трансгранични водни ресурси, едва 43 са сключили оперативни споразумения; като има предвид, че над 20 държави нямат такива споразумения, а напредъкът е особено бавен в Азия и Латинска Америка; </w:t>
      </w:r>
    </w:p>
    <w:p w:rsidR="00BF611E" w:rsidRPr="006768E3" w:rsidP="00BF611E" w14:paraId="15B36F5C" w14:textId="77777777">
      <w:pPr>
        <w:pStyle w:val="NormalHanging12a"/>
        <w:rPr>
          <w:bCs/>
          <w:iCs/>
        </w:rPr>
      </w:pPr>
      <w:r w:rsidRPr="006768E3">
        <w:t>И.</w:t>
      </w:r>
      <w:r w:rsidRPr="006768E3">
        <w:tab/>
        <w:t>като има предвид, че ефективното управление на водите, прозрачността и мониторингът в сектора на водоснабдяването и канализацията гарантират, че финансовите средства се използват за цели, които обслужват обществения интерес и подпомагат устойчивото развитие;</w:t>
      </w:r>
    </w:p>
    <w:p w:rsidR="00BF611E" w:rsidRPr="006768E3" w:rsidP="00BF611E" w14:paraId="1FC3CD34" w14:textId="77777777">
      <w:pPr>
        <w:pStyle w:val="NormalHanging12a"/>
      </w:pPr>
      <w:r w:rsidRPr="006768E3">
        <w:t>Й.</w:t>
      </w:r>
      <w:r w:rsidRPr="006768E3">
        <w:tab/>
        <w:t>като има предвид, че недостигът на вода и едностранните действия на държавите в трансгранични води, като например замърсяване, свръхексплоатация или изграждане на инфраструктура, може да засегнат всички държави, граничещи с тези води; като има предвид, че споровете относно достъпа до вода подхранват и могат да предизвикат по-широки конфликти и икономически срив със сериозни последици за регионалната стабилност и сигурността на хората;</w:t>
      </w:r>
    </w:p>
    <w:p w:rsidR="00BF611E" w:rsidRPr="006768E3" w:rsidP="00BF611E" w14:paraId="35A400E2" w14:textId="77777777">
      <w:pPr>
        <w:pStyle w:val="NormalHanging12a"/>
      </w:pPr>
      <w:r w:rsidRPr="006768E3">
        <w:t>К.</w:t>
      </w:r>
      <w:r w:rsidRPr="006768E3">
        <w:tab/>
        <w:t xml:space="preserve">като има предвид, че през последните години водата все по-често става причина за конфликти, а не за сътрудничество; като има предвид, че въпреки постигнатия през последното десетилетие напредък в осигуряването на питейна вода и добри санитарни условия милиарди хора по целия свят все още нямат достъп до основни услуги за водоснабдяване, канализация и хигиена, което ги излага на риск от </w:t>
      </w:r>
      <w:r w:rsidRPr="006768E3">
        <w:t>болести и по-голямо социално изключване; като има предвид, че определени групи, по-специално жените, децата, бежанците, коренното население, общностите в непривилегировано положение, хората с увреждания и други групи, често са пренебрегвани или са обект на дискриминация при планирането и развитието на инфраструктурата за водоснабдяване и канализация; като има предвид, че влошаването на състоянието на околната среда и свързаните с климата рискове обикновено засягат непропорционално бедните и маргинализираните общности; като има предвид, че престъпни мрежи, терористични организации и местни милиции все по-често използват тези условия, за да засилят своето влияние и да реализират целите си;</w:t>
      </w:r>
    </w:p>
    <w:p w:rsidR="00BF611E" w:rsidRPr="006768E3" w:rsidP="00BF611E" w14:paraId="6FC2B265" w14:textId="77777777">
      <w:pPr>
        <w:pStyle w:val="NormalHanging12a"/>
      </w:pPr>
      <w:r w:rsidRPr="006768E3">
        <w:t>Л.</w:t>
      </w:r>
      <w:r w:rsidRPr="006768E3">
        <w:tab/>
        <w:t xml:space="preserve">като има предвид, че само справедливият и устойчив достъп до водните ресурси може да осигури дългосрочна предвидимост за всички; като има предвид, че стратегическото трансгранично сътрудничество в областта на водните ресурси дава възможност за устойчиво управление на човешката дейност и съвместна подготвеност за непредсказуемите цикли на водата в полза на всички съседни държави;  </w:t>
      </w:r>
    </w:p>
    <w:p w:rsidR="00BF611E" w:rsidRPr="006768E3" w:rsidP="00BF611E" w14:paraId="1B42B3CC" w14:textId="77777777">
      <w:pPr>
        <w:pStyle w:val="NormalHanging12a"/>
      </w:pPr>
      <w:r w:rsidRPr="006768E3">
        <w:t>М.</w:t>
      </w:r>
      <w:r w:rsidRPr="006768E3">
        <w:tab/>
        <w:t>като има предвид, че Пактът за Средиземноморието е рамка за засилено регионално сътрудничество; като има предвид, че дипломацията в областта на водните ресурси следва да бъде включена сред приоритетните му действия, предвид нарастващия натиск върху общите водни ресурси в Средиземноморието, включително в региони като Източното Средиземноморие и Северна Африка; като има предвид, че съвместното управление на водите, съвместните инфраструктурни проекти и диалогът относно трансграничните ресурси следва да бъдат признати за важни средства за предотвратяване на конфликти, устойчивост спрямо изменението на климата и устойчиво развитие;</w:t>
      </w:r>
    </w:p>
    <w:p w:rsidR="00BF611E" w:rsidRPr="006768E3" w:rsidP="00BF611E" w14:paraId="68F84A2F" w14:textId="77777777">
      <w:pPr>
        <w:pStyle w:val="NormalHanging12a"/>
      </w:pPr>
      <w:r w:rsidRPr="006768E3">
        <w:t>Н.</w:t>
      </w:r>
      <w:r w:rsidRPr="006768E3">
        <w:tab/>
        <w:t>като има предвид, че въоръжените конфликти и окупацията значително нарушават достъпността на водата и транснационалното сътрудничество в областта на водите;</w:t>
      </w:r>
    </w:p>
    <w:p w:rsidR="00BF611E" w:rsidRPr="006768E3" w:rsidP="00BF611E" w14:paraId="1842EC4E" w14:textId="77777777">
      <w:pPr>
        <w:pStyle w:val="NormalHanging12a"/>
      </w:pPr>
      <w:r w:rsidRPr="006768E3">
        <w:t>О.</w:t>
      </w:r>
      <w:r w:rsidRPr="006768E3">
        <w:tab/>
        <w:t>като има предвид, че политическите ангажименти на световно равнище за устойчиво управление на водите не бяха подкрепени от необходимото финансиране или действия на място;</w:t>
      </w:r>
    </w:p>
    <w:p w:rsidR="00BF611E" w:rsidRPr="006768E3" w:rsidP="00BF611E" w14:paraId="5A703025" w14:textId="77777777">
      <w:pPr>
        <w:pStyle w:val="NormalHanging12a"/>
      </w:pPr>
      <w:r w:rsidRPr="006768E3">
        <w:t>П.</w:t>
      </w:r>
      <w:r w:rsidRPr="006768E3">
        <w:tab/>
        <w:t xml:space="preserve">като има предвид, че международното хуманитарно право, по-специално допълнителните протоколи от 1977 г. към Женевските конвенции, предвижда изрична защита за язовири и други „съоръжения, съдържащи опасни сили“; като има предвид, че използването на водата като оръжие, включително нанасянето на удари по водни системи и съоръжения или причинените в резултат на това щети върху околната среда, представлява сериозно нарушение на правата на човека и би могло да се счита за престъпление срещу човечеството и </w:t>
      </w:r>
      <w:r w:rsidRPr="006768E3">
        <w:t>екоцид</w:t>
      </w:r>
      <w:r w:rsidRPr="006768E3">
        <w:t>;</w:t>
      </w:r>
    </w:p>
    <w:p w:rsidR="00BF611E" w:rsidRPr="006768E3" w:rsidP="00BF611E" w14:paraId="1CF3E40B" w14:textId="77777777">
      <w:pPr>
        <w:pStyle w:val="NormalHanging12a"/>
      </w:pPr>
      <w:r w:rsidRPr="006768E3">
        <w:t>Р.</w:t>
      </w:r>
      <w:r w:rsidRPr="006768E3">
        <w:tab/>
        <w:t>като има предвид, че в съвременните военни конфликти все по-често се наблюдава целенасочено нанасяне на удари и използване на водоснабдителните системи и водната инфраструктура като оръжие, както беше показано неотдавна от пълното разрушаване на язовира „</w:t>
      </w:r>
      <w:r w:rsidRPr="006768E3">
        <w:t>Каховка</w:t>
      </w:r>
      <w:r w:rsidRPr="006768E3">
        <w:t>“ в Украйна от Русия през 2023 г.; като има предвид, че разрушаването на язовира „</w:t>
      </w:r>
      <w:r w:rsidRPr="006768E3">
        <w:t>Каховка</w:t>
      </w:r>
      <w:r w:rsidRPr="006768E3">
        <w:t xml:space="preserve">“ причини сериозни екологични щети, включително наводнения, замърсяване на сладководните ресурси, загуба на биологично разнообразие и дългосрочни щети върху </w:t>
      </w:r>
      <w:r w:rsidRPr="006768E3">
        <w:t xml:space="preserve">екосистемите, като същевременно доведе до смъртни случаи и масово разселване на цивилното население и го лиши от достъп до безопасна питейна вода и средства за препитание; като има предвид, че срутването на язовирната стена сериозно застраши безопасността на близката </w:t>
      </w:r>
      <w:r w:rsidRPr="006768E3">
        <w:t>Запорожка</w:t>
      </w:r>
      <w:r w:rsidRPr="006768E3">
        <w:t xml:space="preserve"> атомна електроцентрала; като има предвид, че в резултат на агресивната война на Русия срещу Украйна приблизително 1,7 милиона деца в Украйна понастоящем нямат надежден достъп до безопасна вода;</w:t>
      </w:r>
    </w:p>
    <w:p w:rsidR="00BF611E" w:rsidRPr="006768E3" w:rsidP="00BF611E" w14:paraId="5380435A" w14:textId="77777777">
      <w:pPr>
        <w:pStyle w:val="NormalHanging12a"/>
      </w:pPr>
      <w:r w:rsidRPr="006768E3">
        <w:t>С.</w:t>
      </w:r>
      <w:r w:rsidRPr="006768E3">
        <w:tab/>
        <w:t>като има предвид, че Парламентът осъди най-категорично умишленото унищожаване от страна на Русия на водната инфраструктура, включително язовири, като средство за водене на война; като има предвид, че разрушенията причиниха сериозни щети върху околната среда, подкопаха сигурността на водоснабдяването и застрашиха цивилното население; като има предвид, че подобни действия представляват нарушения на международното право и че отговорните лица трябва да бъдат подведени под отговорност; като има предвид, че Комисията и държавите – членки на ЕС, продължават да предоставят на Украйна съдействие в разследването, така че извършителите да могат да бъдат наказателно преследвани за военни престъпления и престъпления срещу човечеството;</w:t>
      </w:r>
    </w:p>
    <w:p w:rsidR="00BF611E" w:rsidRPr="006768E3" w:rsidP="00BF611E" w14:paraId="7AA4A6DD" w14:textId="77777777">
      <w:pPr>
        <w:pStyle w:val="NormalHanging12a"/>
      </w:pPr>
      <w:r w:rsidRPr="006768E3">
        <w:t>Т.</w:t>
      </w:r>
      <w:r w:rsidRPr="006768E3">
        <w:tab/>
        <w:t>като има предвид, че ЕС подкрепя съвместните израелско-палестински механизми за управление на водите, включително възобновяването на дейността на съществуващи структури като Съвместния комитет по водите, с цел насърчаване на справедливо разпределение на водите, по-голяма прозрачност и развитие на ефективна инфраструктура; като има предвид, че неравният достъп до общите водни ресурси продължава да бъде структурен фактор за нестабилност в Близкия изток, особено в басейна на река Йордан, където историческите и продължаващите дисбаланси в разпределението и контрола над водите за палестинските общности задълбочават социално-икономическите неравенства; като има предвид, че според настоящите договорености израелските власти упражняват ефективен контрол върху по-голямата част от водните ресурси, разположени на Западния бряг и изтичащи от него;</w:t>
      </w:r>
    </w:p>
    <w:p w:rsidR="00BF611E" w:rsidRPr="006768E3" w:rsidP="00BF611E" w14:paraId="19A25DF4" w14:textId="77777777">
      <w:pPr>
        <w:pStyle w:val="NormalHanging12a"/>
      </w:pPr>
      <w:r w:rsidRPr="006768E3">
        <w:t>У.</w:t>
      </w:r>
      <w:r w:rsidRPr="006768E3">
        <w:tab/>
        <w:t>като има предвид, че конфликтът между Израел и Хамас доведе до мащабно разрушаване на инфраструктурата за водоснабдяване, канализация и хигиена в Ивицата Газа, включително инсталации за обезсоляване, съоръжения за пречистване на отпадъчни води и разпределителни мрежи, което остави голяма част от населението без надежден достъп до безопасна питейна вода и увели нуждата от хуманитарна помощ; като има предвид, че през юли 2025 г. Службата на върховния комисар на ООН за правата на човека (СВКПЧ) докладва, че 89% от инфраструктурата за водоснабдяване и канализация в Газа е била повредена или разрушена, в резултат на което 90% от домакинствата са останали без сигурен достъп до вода; като има предвид, че за ремонта и възстановяването на критичната водна инфраструктура, включително водопроводи, съоръжения за обезсоляване и пречиствателни станции за отпадъчни води, е необходима бърза и безпрепятствена доставка на материали, гориво и техническа помощ;</w:t>
      </w:r>
    </w:p>
    <w:p w:rsidR="00BF611E" w:rsidRPr="006768E3" w:rsidP="00BF611E" w14:paraId="04FB2240" w14:textId="77777777">
      <w:pPr>
        <w:pStyle w:val="NormalHanging12a"/>
      </w:pPr>
      <w:r w:rsidRPr="006768E3">
        <w:t>Ф.</w:t>
      </w:r>
      <w:r w:rsidRPr="006768E3">
        <w:tab/>
        <w:t>като има предвид, че трансграничното въздействие на мащабните проекти за изграждане на язовири, осъществявани от Турция по проекта „Югоизточен Анадол“ (GAP), включително язовира „</w:t>
      </w:r>
      <w:r w:rsidRPr="006768E3">
        <w:t>Илису</w:t>
      </w:r>
      <w:r w:rsidRPr="006768E3">
        <w:t xml:space="preserve">“, е засегнало водните потоци надолу по течението на реките Тигър и Ефрат и е допринесло за недостиг на вода, </w:t>
      </w:r>
      <w:r w:rsidRPr="006768E3">
        <w:t>загуби в селското стопанство и влошаване на състоянието на околната среда в Ирак и Сирия; като има предвид, че заинтересованите страни от Турция, Ирак и Сирия се нуждаят от структуриран и приобщаващ диалог, обхващащ целия басейн, относно управлението на речната система Тигър-Ефрат въз основа на принципите на международното водно право, включително справедливото и разумно използване и задължението да не се причинява значителна вреда;</w:t>
      </w:r>
    </w:p>
    <w:p w:rsidR="00BF611E" w:rsidRPr="006768E3" w:rsidP="00BF611E" w14:paraId="315DA51A" w14:textId="77777777">
      <w:pPr>
        <w:pStyle w:val="NormalHanging12a"/>
      </w:pPr>
      <w:r w:rsidRPr="006768E3">
        <w:t>Х.</w:t>
      </w:r>
      <w:r w:rsidRPr="006768E3">
        <w:tab/>
        <w:t>като има предвид, че след завършването и откриването на язовира „Ренесанс“ (GERD) в Етиопия през 2025 г. между Египет и Етиопия продължава да съществува напрежение, което би могло да повлияе значително върху хидрополитическия баланс в басейна на река Нил; като има предвид, че Съветът за сигурност на ООН многократно е обсъждал въпроса за етиопския язовир „Ренесанс“; като има предвид, че всички засегнати страни следва да се въздържат от едностранни мерки, които биха могли да засилят напрежението, и следва да дадат приоритет на мерките за укрепване на доверието, включително прозрачност при експлоатацията на язовира и техническо сътрудничество в областта на прогнозирането на водния дебит;</w:t>
      </w:r>
    </w:p>
    <w:p w:rsidR="00BF611E" w:rsidRPr="006768E3" w:rsidP="00BF611E" w14:paraId="7093A498" w14:textId="77777777">
      <w:pPr>
        <w:pStyle w:val="NormalHanging12a"/>
      </w:pPr>
      <w:r w:rsidRPr="006768E3">
        <w:t>Ц.</w:t>
      </w:r>
      <w:r w:rsidRPr="006768E3">
        <w:tab/>
        <w:t>като има предвид, че река Арас е от жизненоважно значение за селското стопанство, икономическото развитие и снабдяването с питейна вода в Армения и Азербайджан, но качеството и количеството на водата в река Арас са подложени на натиск; като има предвид, че ако Армения и Азербайджан сключат споразумение относно този общ трансграничен воден обект, установяващо механизми за обмен на данни, съвместен мониторинг, безопасност на язовирите и справедливо и устойчиво разпределение на водата за селскостопански и битови нужди, река Арас би могла да се превърне в общ ресурс, а не в източник на нестабилност;</w:t>
      </w:r>
    </w:p>
    <w:p w:rsidR="00BF611E" w:rsidRPr="006768E3" w:rsidP="00BF611E" w14:paraId="6B1E465D" w14:textId="77777777">
      <w:pPr>
        <w:pStyle w:val="NormalHanging12a"/>
      </w:pPr>
      <w:r w:rsidRPr="006768E3">
        <w:t>Ч.</w:t>
      </w:r>
      <w:r w:rsidRPr="006768E3">
        <w:tab/>
        <w:t>като има предвид, че замърсяването и отпадъците, пренасяни от реките и морските течения, могат да се натрупват по бреговете на други държави, причинявайки екологични, икономически и социални щети, включително на туризма и рибарството;</w:t>
      </w:r>
    </w:p>
    <w:p w:rsidR="00BF611E" w:rsidRPr="006768E3" w:rsidP="00BF611E" w14:paraId="037E5467" w14:textId="77777777">
      <w:pPr>
        <w:pStyle w:val="NormalHanging12a"/>
      </w:pPr>
      <w:r w:rsidRPr="006768E3">
        <w:t xml:space="preserve">Ш. </w:t>
      </w:r>
      <w:r w:rsidRPr="006768E3">
        <w:tab/>
        <w:t>като има предвид, че недостигът на вода и влошаването на състоянието на водните ресурси могат да доведат също така до масово разселване и принудителна миграция, което да засили продоволствената несигурност, бедността и нестабилността в най-уязвимите региони; като има предвид, че едно от средствата за справяне с първопричините за миграцията е да се подобри управлението на водите в трети държави;</w:t>
      </w:r>
    </w:p>
    <w:p w:rsidR="00BF611E" w:rsidRPr="006768E3" w:rsidP="00BF611E" w14:paraId="20789536" w14:textId="77777777">
      <w:pPr>
        <w:pStyle w:val="NormalHanging12a"/>
      </w:pPr>
      <w:r w:rsidRPr="006768E3">
        <w:t>Щ.</w:t>
      </w:r>
      <w:r w:rsidRPr="006768E3">
        <w:tab/>
        <w:t>като има предвид, че въоръжените държавни и недържавни участници в засегнатите от конфликти райони използват намиращото се в отслабена позиция население като средство за придобиване на легитимност чрез контролиране на водните ресурси; като има предвид, че достъпът до водната инфраструктура и контролът върху нея все повече се използват като средства за политически натиск, принуда или война;</w:t>
      </w:r>
    </w:p>
    <w:p w:rsidR="00BF611E" w:rsidRPr="006768E3" w:rsidP="00BF611E" w14:paraId="4D010F62" w14:textId="77777777">
      <w:pPr>
        <w:pStyle w:val="NormalHanging12a"/>
      </w:pPr>
      <w:r w:rsidRPr="006768E3">
        <w:t>АА.</w:t>
      </w:r>
      <w:r w:rsidRPr="006768E3">
        <w:tab/>
        <w:t xml:space="preserve">като има предвид, че публично-частните партньорства следва да насърчават по-добър и финансово по-приемлив достъп до вода, канализация и хигиена за всички, по-специално при създаването и ефективната поддръжка и управление на водните инфраструктури; като има предвид, че публичните инвестиции и политики следва </w:t>
      </w:r>
      <w:r w:rsidRPr="006768E3">
        <w:t>да насърчават и стимулират частния сектор да инвестира в технологии и управленски практики, които засилват устойчивата икономическа дейност;</w:t>
      </w:r>
    </w:p>
    <w:p w:rsidR="00BF611E" w:rsidRPr="006768E3" w:rsidP="00BF611E" w14:paraId="3CB8097B" w14:textId="77777777">
      <w:pPr>
        <w:pStyle w:val="NormalHanging12a"/>
      </w:pPr>
      <w:r w:rsidRPr="006768E3">
        <w:t>1.</w:t>
      </w:r>
      <w:r w:rsidRPr="006768E3">
        <w:tab/>
        <w:t>препоръчва на Съвета, Комисията и заместник-председателя на Комисията/върховен представител на Съюза по въпросите на външните работи и политиката на сигурност:</w:t>
      </w:r>
    </w:p>
    <w:p w:rsidR="00BF611E" w:rsidRPr="006768E3" w:rsidP="00BF611E" w14:paraId="7B507637" w14:textId="77777777">
      <w:pPr>
        <w:pStyle w:val="NormalHanging12a"/>
        <w:ind w:left="1134"/>
      </w:pPr>
      <w:r w:rsidRPr="006768E3">
        <w:t>а)</w:t>
      </w:r>
      <w:r w:rsidRPr="006768E3">
        <w:tab/>
        <w:t>да засилят ролята на трансграничното управление на водите във външната дейност на ЕС, така че то да действа като значим инструмент за предотвратяване и разрешаване на конфликти и изграждане на доверие на регионално, национално и международно равнище, особено в райони, уязвими поради въздействието на изменението на климата, в които водата вече е оскъдна, и по-специално в регионите от стратегическо значение; изрично да признаят недостига на вода като основен рисков фактор за сигурността и геополитически и хуманитарен риск и да интегрират изцяло предотвратяването на конфликти, свързани с водата, във външната политика и политиката за сигурност и развитие на ЕС;</w:t>
      </w:r>
    </w:p>
    <w:p w:rsidR="00BF611E" w:rsidRPr="006768E3" w:rsidP="00BF611E" w14:paraId="58D42792" w14:textId="77777777">
      <w:pPr>
        <w:pStyle w:val="NormalHanging12a"/>
        <w:ind w:left="1134"/>
      </w:pPr>
      <w:r w:rsidRPr="006768E3">
        <w:t>б)</w:t>
      </w:r>
      <w:r w:rsidRPr="006768E3">
        <w:tab/>
        <w:t>да се преодолее липсата на оперативни споразумения между правителствата, споделящи трансгранични водни басейни, и да се предоставят всички необходими експертни познания и техническа и финансова помощ от ЕС, за да се подпомогнат правителствата при установяването и прилагането на такива договорености, както и организациите на речните басейни, като същевременно се зачита напълно суверенитетът на държавите партньори и тяхната основна отговорност за управлението на водните ресурси, за да се намали рискът от напрежение или конфликт, да се насърчи сътрудничеството и да се подобри устойчивото управление на природните ресурси; последователно да повдигат въпроси, свързани с транснационалното управление на водите, в двустранните диалози на ЕС с държавите партньори;</w:t>
      </w:r>
    </w:p>
    <w:p w:rsidR="00BF611E" w:rsidRPr="006768E3" w:rsidP="00BF611E" w14:paraId="5DFEF529" w14:textId="77777777">
      <w:pPr>
        <w:pStyle w:val="NormalHanging12a"/>
        <w:ind w:left="1134"/>
      </w:pPr>
      <w:r w:rsidRPr="006768E3">
        <w:t>в)</w:t>
      </w:r>
      <w:r w:rsidRPr="006768E3">
        <w:tab/>
        <w:t xml:space="preserve">да подкрепят усилията на държавите партньори за създаване на правна среда и благоприятна политика за съвместно управление на водите и да засилят ролята на транснационалното управление на водите във външната дейност и дипломацията на ЕС; за тази цел да предоставят на Европейската служба за външна дейност (ЕСВД) и делегациите на ЕС по света подходящи финансови и човешки ресурси за подпомагане на трансграничното управление на водите на място, в рамките на държавите партньори и между тях, както и за насърчаване на развитието и прилагането на „синя дипломация“; </w:t>
      </w:r>
    </w:p>
    <w:p w:rsidR="00BF611E" w:rsidRPr="006768E3" w:rsidP="00BF611E" w14:paraId="19102008" w14:textId="77777777">
      <w:pPr>
        <w:pStyle w:val="NormalHanging12a"/>
        <w:ind w:left="1134"/>
      </w:pPr>
      <w:r w:rsidRPr="006768E3">
        <w:t>г)</w:t>
      </w:r>
      <w:r w:rsidRPr="006768E3">
        <w:tab/>
        <w:t xml:space="preserve">да осигурят адекватно и ефикасно финансиране за трансграничното управление на водите в Съюза в рамките на външната дейност на ЕС по следващата многогодишна финансова рамка чрез инструментите „Глобална Европа“ и </w:t>
      </w:r>
      <w:r w:rsidRPr="006768E3">
        <w:t>Global</w:t>
      </w:r>
      <w:r w:rsidRPr="006768E3">
        <w:t xml:space="preserve"> </w:t>
      </w:r>
      <w:r w:rsidRPr="006768E3">
        <w:t>Gateway</w:t>
      </w:r>
      <w:r w:rsidRPr="006768E3">
        <w:t xml:space="preserve">; да засилят адаптирането на външните инвестиции на ЕС в достъп до вода и канализация към нестабилни и засегнати от конфликти условия, за да се подкрепят мирът и устойчивостта, включително чрез увеличаване на финансирането за глобален достъп до издръжливо на изменението на климата и устойчиво управление на водите и инфраструктура за водоснабдяване и канализация; да гарантират, че инфраструктурните и енергийните проекти, финансирани от инструментите </w:t>
      </w:r>
      <w:r w:rsidRPr="006768E3">
        <w:t xml:space="preserve">на ЕС за сътрудничество за развитие и външна политика, в т.ч. Европейската инвестиционна банка, продължават да бъдат в пълно съответствие с международното право, не подкопават трансграничните отношения в областта на водите, равния достъп и устойчивото управление и улесняват достъпа на хората до техните земи, и по-специално коренното население; да приведат финансирането в съответствие с глобалните водещи действия на първата стратегия на ЕС за устойчивост на водните ресурси; </w:t>
      </w:r>
    </w:p>
    <w:p w:rsidR="00BF611E" w:rsidRPr="006768E3" w:rsidP="00BF611E" w14:paraId="1AA9893B" w14:textId="77777777">
      <w:pPr>
        <w:pStyle w:val="NormalHanging12a"/>
        <w:ind w:left="1134"/>
      </w:pPr>
      <w:r w:rsidRPr="006768E3">
        <w:t>д)</w:t>
      </w:r>
      <w:r w:rsidRPr="006768E3">
        <w:tab/>
        <w:t>да признаят и засилят подкрепата за ключовите дейности, извършвани от защитниците на екологичните права и организациите на гражданското общество в полза на опазването на водите, равния достъп и трансграничното управление на водите; да включват активно местните защитници на екологичните права и организациите на гражданското общество в подкрепата на ЕС за транснационалното управление на водите в държави извън ЕС и да насърчават тяхната безопасност и свобода на действие без насилие и сплашване; да увеличат подкрепата за неправителствените организации, работещи в областта на дипломацията, свързана с водните ресурси, предотвратяването на конфликти и трансграничното сътрудничество по отношение на водите, особено в нестабилни и засегнати от конфликти региони, като признаят тяхната важна роля за улесняване на диалога на местно и регионално равнище, за подкрепа за основаното на общността управление на водите, за насърчаване на изграждането на доверие и за принос към устойчиви и приобщаващи инициативи за управление на водите;</w:t>
      </w:r>
    </w:p>
    <w:p w:rsidR="00BF611E" w:rsidRPr="006768E3" w:rsidP="00BF611E" w14:paraId="75026A5B" w14:textId="77777777">
      <w:pPr>
        <w:pStyle w:val="NormalHanging12a"/>
        <w:ind w:left="1134"/>
      </w:pPr>
      <w:r w:rsidRPr="006768E3">
        <w:t>е)</w:t>
      </w:r>
      <w:r w:rsidRPr="006768E3">
        <w:tab/>
      </w:r>
      <w:bookmarkStart w:id="7" w:name="_Hlk231546271"/>
      <w:r w:rsidRPr="006768E3">
        <w:t>да разширят географския обхват на проектите на ЕС за трансгранично управление на водите извън определени части на Африка и Централна Азия, така че да включва Северна и Южна Америка, Близкия изток и Северна Африка, както и Източна и Южна Азия</w:t>
      </w:r>
      <w:bookmarkEnd w:id="7"/>
      <w:r w:rsidRPr="006768E3">
        <w:t xml:space="preserve"> чрез подхода „Екип Европа“, по-специално когато несигурността по отношение на водата може да допринесе за нестабилност и разселване;</w:t>
      </w:r>
    </w:p>
    <w:p w:rsidR="00BF611E" w:rsidRPr="006768E3" w:rsidP="00BF611E" w14:paraId="78B721A9" w14:textId="77777777">
      <w:pPr>
        <w:pStyle w:val="NormalHanging12a"/>
        <w:ind w:left="1134"/>
      </w:pPr>
      <w:r w:rsidRPr="006768E3">
        <w:t>ж)</w:t>
      </w:r>
      <w:r w:rsidRPr="006768E3">
        <w:tab/>
        <w:t>да укрепят устойчивото управление на водите и отпадъчните води чрез системно включване на сътрудничеството в областта на инфраструктурата, технологиите и експертния опит в партньорствата и програмите за развитие; да подкрепят изграждането на капацитет и институционалното укрепване в държавите партньори с цел подобряване на планирането, управлението и поддръжката на услугите за водоснабдяване и канализация, включително чрез партньорства с местните органи, обществените служби, гражданското общество и организациите, базирани в общността; да адаптират инвестициите в инфраструктурата към местния и историческия контекст, за да се превърне водата в средство за мир и стабилност;</w:t>
      </w:r>
    </w:p>
    <w:p w:rsidR="00BF611E" w:rsidRPr="006768E3" w:rsidP="00BF611E" w14:paraId="2493534C" w14:textId="77777777">
      <w:pPr>
        <w:pStyle w:val="NormalHanging12a"/>
        <w:ind w:left="1134"/>
      </w:pPr>
      <w:r w:rsidRPr="006768E3">
        <w:t>з)</w:t>
      </w:r>
      <w:r w:rsidRPr="006768E3">
        <w:tab/>
        <w:t xml:space="preserve">да засилят многостранното сътрудничество в областта на водите, и по-специално в рамките на ООН, като продължат и ускорят глобализацията на Конвенцията на ООН за водите и подкрепа за изпълнението на целите за устойчиво развитие (ЦУР), по-специално ЦУР 6 относно чистата вода и добрите санитарни условия, и да преодолеят значителните неравенства между и в рамките на държавите по отношение на достъпа до вода и добри санитарни условия; да гарантират непрекъснатото изпълнение на ангажиментите на ЕС от Конференцията на ООН за водите през 2023 г., като </w:t>
      </w:r>
      <w:r w:rsidRPr="006768E3">
        <w:t>същевременно запазят тези амбиции и действия в подготовка за Конференцията на ООН за водите през 2026 г.; да засилят многостепенния диалог с държавите, разположени в предразположени към конфликти области, включително чрез срещи на високо равнище и съвместни инициативи, както и чрез формати за дългосрочно сътрудничество;</w:t>
      </w:r>
    </w:p>
    <w:p w:rsidR="00BF611E" w:rsidRPr="006768E3" w:rsidP="00BF611E" w14:paraId="42EF4AAC" w14:textId="77777777">
      <w:pPr>
        <w:pStyle w:val="NormalHanging12a"/>
        <w:ind w:left="1134"/>
      </w:pPr>
      <w:r w:rsidRPr="006768E3">
        <w:t>и)</w:t>
      </w:r>
      <w:r w:rsidRPr="006768E3">
        <w:tab/>
        <w:t>да подчертават, че ефективното трансгранично управление на водите зависи от опазването на биологичното разнообразие и климата, и поради това изисква управлението на водите да отговаря преди всичко на екологичните интереси, които са основна необходимост за растенията, животните и хората, и да се ръководи от логика, основана на обществения интерес и общите обществени и световни блага;</w:t>
      </w:r>
    </w:p>
    <w:p w:rsidR="00BF611E" w:rsidRPr="006768E3" w:rsidP="00BF611E" w14:paraId="71108DEF" w14:textId="77777777">
      <w:pPr>
        <w:pStyle w:val="NormalHanging12a"/>
        <w:ind w:left="1134"/>
      </w:pPr>
      <w:r w:rsidRPr="006768E3">
        <w:t>й)</w:t>
      </w:r>
      <w:r w:rsidRPr="006768E3">
        <w:tab/>
        <w:t>да засилват устойчивостта на водните ресурси в световен мащаб като средство за насърчаване на стабилността чрез ефективно изпълнение на стратегията на ЕС за устойчивост на водните ресурси, по-специално нейните глобални действия, насочени към подпомагане на достъпа до вода и канализация за най-малко 70 милиона души и към укрепване на глобалното управление на водите и участие в многостранни форуми като Г-7, Г-20 и Диалога от Баку по въпросите на водите за действия в областта на климата;</w:t>
      </w:r>
    </w:p>
    <w:p w:rsidR="00BF611E" w:rsidRPr="006768E3" w:rsidP="00BF611E" w14:paraId="232207C8" w14:textId="77777777">
      <w:pPr>
        <w:pStyle w:val="NormalHanging12a"/>
        <w:ind w:left="1134"/>
      </w:pPr>
      <w:r w:rsidRPr="006768E3">
        <w:t>к)</w:t>
      </w:r>
      <w:r w:rsidRPr="006768E3">
        <w:tab/>
        <w:t>да инвестират в по-прозрачен преглед на цялата текуща подкрепа от ЕС, предназначена за насърчаване на трансграничното управление на водите в международен план, и да осигурят съгласуваност и рационализиране на цялата работа и цялото финансиране във всички съответни генерални дирекции и между ЕСВД и Комисията, като същевременно гарантират, че различните програми се допълват взаимно и не се припокриват; да засилят комуникацията относно усилията и постиженията на ЕС в областта на трансграничното сътрудничество във връзка с водите, за да се повиши видимостта на този основен инструмент и водещата роля на ЕС в неговото прилагане;</w:t>
      </w:r>
    </w:p>
    <w:p w:rsidR="00BF611E" w:rsidRPr="006768E3" w:rsidP="00BF611E" w14:paraId="6B91442B" w14:textId="77777777">
      <w:pPr>
        <w:pStyle w:val="NormalHanging12a"/>
        <w:ind w:left="1134"/>
      </w:pPr>
      <w:r w:rsidRPr="006768E3">
        <w:t>л)</w:t>
      </w:r>
      <w:r w:rsidRPr="006768E3">
        <w:tab/>
        <w:t xml:space="preserve">да насърчават засиленото международно сътрудничество, в т.ч. на равнището на организациите за речните басейни, с цел справяне с нарастващата водна криза; да осигуряват и подобряват достъпа до чиста и висококачествена вода и до канализация; да насърчават устойчивото управление на водите, да увеличат рециклирането на водата, да се справят със замърсяването на водите, с прекомерното използване и отпадъците и да прилагат различни иновативни технологии в областта на водите, включително природосъобразни решения;  </w:t>
      </w:r>
    </w:p>
    <w:p w:rsidR="00BF611E" w:rsidRPr="006768E3" w:rsidP="00BF611E" w14:paraId="3EF10E85" w14:textId="77777777">
      <w:pPr>
        <w:pStyle w:val="NormalHanging12a"/>
        <w:ind w:left="1134"/>
      </w:pPr>
      <w:r w:rsidRPr="006768E3">
        <w:t>м)</w:t>
      </w:r>
      <w:r w:rsidRPr="006768E3">
        <w:tab/>
        <w:t xml:space="preserve">да гарантират, че инициативите на ЕС в областта на водите в световен мащаб са насочени към преодоляване на все още съществуващите пропуски в данните и липсата на обмен на данни между правителствата чрез предоставяне на държавите партньори на технически и физически ресурси за ефективно наблюдение на нивата на водите и качеството на трансграничните басейни, както и чрез обмен на данни и насърчаване на общи стандарти за събиране на данни между държавите партньори с цел повишаване на съвместимостта; да служат като надежден и ползващ се с доверие участник в улесняването на обмена на достоверна информация за водите между правителствата, заинтересованите страни и обществеността в </w:t>
      </w:r>
      <w:r w:rsidRPr="006768E3">
        <w:t>условия на недостиг на вода и високо напрежение, включително когато обменът на информация е чувствителен поради опасения, свързани със сигурността; да надграждат върху съответния опит, програми, практики и стратегии на ЕС за засилване на обмена на най-добри практики между регионалните и националните участници въз основа на съответните програми, практики и стратегии на ЕС;</w:t>
      </w:r>
    </w:p>
    <w:p w:rsidR="00BF611E" w:rsidRPr="006768E3" w:rsidP="00BF611E" w14:paraId="40C6E98B" w14:textId="73807005">
      <w:pPr>
        <w:pStyle w:val="NormalHanging12a"/>
        <w:ind w:left="1134"/>
      </w:pPr>
      <w:r w:rsidRPr="006768E3">
        <w:t>н)</w:t>
      </w:r>
      <w:r w:rsidRPr="006768E3">
        <w:tab/>
        <w:t>да популяризират междуправителствените и регионалните инструменти за сътрудничество в управлението на водните ресурси, като се съсредоточат по-специално върху гарантирането на справедливо разпределение на водата, и да подкрепят структурите за управление на местно и общностно равнище; да обмислят възможността за подкрепа на публично-частните партньорства, когато те допринасят за ефективното управление на водите и за финансово по-приемливия достъп до вода, канализация и хигиена за всички; да стимулират инвестициите в технологии и управленски методи, които засилват използването на устойчиви селскостопански практики в производството на култури, добитък и риба както от дребните земеделски стопани, така и от по-големите дружества;</w:t>
      </w:r>
    </w:p>
    <w:p w:rsidR="00BF611E" w:rsidRPr="006768E3" w:rsidP="00BF611E" w14:paraId="29FA628C" w14:textId="77777777">
      <w:pPr>
        <w:pStyle w:val="NormalHanging12a"/>
        <w:ind w:left="1134"/>
      </w:pPr>
      <w:r w:rsidRPr="006768E3">
        <w:t>о)</w:t>
      </w:r>
      <w:r w:rsidRPr="006768E3">
        <w:tab/>
        <w:t>да подчертаят принципа на съгласуваност на политиките за развитие и на съгласуване на политиките на ЕС с приоритетите за развитие на държавите партньори, въз основа на оценки на тяхното въздействие върху местните ресурси, за да се предотврати с общи усилия изчерпването или замърсяването на водните ресурси в държави извън ЕС;</w:t>
      </w:r>
    </w:p>
    <w:p w:rsidR="00BF611E" w:rsidRPr="006768E3" w:rsidP="00BF611E" w14:paraId="05A361AA" w14:textId="77777777">
      <w:pPr>
        <w:pStyle w:val="NormalHanging12a"/>
        <w:ind w:left="1134"/>
      </w:pPr>
      <w:r w:rsidRPr="006768E3">
        <w:t>п)</w:t>
      </w:r>
      <w:r w:rsidRPr="006768E3">
        <w:tab/>
        <w:t>да засилват прилагането на интегрирано управление на водните ресурси като основен инструмент, който насърчава координираното развитие и устойчивото управление на водите, земята и свързаните с тях ресурси, включително през границите, в съответствие с ЦУР 6.5.2, във взаимна полза на крайбрежните държави, както и значението на връзката между водата, храните и енергетиката за справяне с полезните взаимодействия и компромисите по отношение на водите във външната дейност на ЕС;</w:t>
      </w:r>
    </w:p>
    <w:p w:rsidR="00BF611E" w:rsidRPr="006768E3" w:rsidP="00BF611E" w14:paraId="67E67133" w14:textId="77777777">
      <w:pPr>
        <w:pStyle w:val="NormalHanging12a"/>
        <w:ind w:left="1134"/>
      </w:pPr>
      <w:r w:rsidRPr="006768E3">
        <w:t>р)</w:t>
      </w:r>
      <w:r w:rsidRPr="006768E3">
        <w:tab/>
        <w:t xml:space="preserve">да засилват капацитета на ЕС за мониторинг и ранно предупреждение чрез цифровизация и модерни технологии, включително спътниково наблюдение и проследяване на замърсяването в реално време, които са от съществено значение за предотвратяването и борбата с трансграничното замърсяване, както и да поддържат намаляването на риска от бедствия; </w:t>
      </w:r>
      <w:bookmarkStart w:id="8" w:name="_Hlk231546757"/>
      <w:r w:rsidRPr="006768E3">
        <w:t>да засилят мониторинга над недостига на вода и свързаните с водата рискове от конфликти в световен мащаб, като например използването на водата и водната инфраструктура като оръжие и умишленото лишаване от достъп до вода, като интегрират този мониторинг в системите за предотвратяване на конфликти на Центъра на ЕСВД за реакция при кризи;</w:t>
      </w:r>
      <w:bookmarkEnd w:id="8"/>
    </w:p>
    <w:p w:rsidR="00BF611E" w:rsidRPr="006768E3" w:rsidP="00BF611E" w14:paraId="0E91A572" w14:textId="77777777">
      <w:pPr>
        <w:pStyle w:val="NormalHanging12a"/>
        <w:ind w:left="1134"/>
      </w:pPr>
      <w:r w:rsidRPr="006768E3">
        <w:t>с)</w:t>
      </w:r>
      <w:r w:rsidRPr="006768E3">
        <w:tab/>
        <w:t>да стимулират и финансират научни изследвания в областта на устойчивото трансгранично управление на водите, споделянето на води, сътрудничеството и иновациите, включително чрез „Хоризонт Европа“, и да проучват нововъзникващите предизвикателства, като например дейностите за изменение на климата;</w:t>
      </w:r>
    </w:p>
    <w:p w:rsidR="00BF611E" w:rsidRPr="006768E3" w:rsidP="00BF611E" w14:paraId="0484B9D2" w14:textId="77777777">
      <w:pPr>
        <w:pStyle w:val="NormalHanging12a"/>
        <w:ind w:left="1134"/>
      </w:pPr>
      <w:r w:rsidRPr="006768E3">
        <w:t>т)</w:t>
      </w:r>
      <w:r w:rsidRPr="006768E3">
        <w:tab/>
        <w:t xml:space="preserve">да обмислят да възложат на специалния представител на ЕС за правата на </w:t>
      </w:r>
      <w:r w:rsidRPr="006768E3">
        <w:t>човека задачата да предотвратява и разрешава конфликти, свързани с водите, да насърчава сътрудничеството в областта на водите и принципите на правовата държава и да защитава водните източници и системи, включително по време на въоръжени конфликти и в трансгранични ситуации, и да ръководи, от името на ЕС, международните усилия за опазване и възстановяване на водните екосистеми в съответствие с ЦУР 6, тъй като устойчивостта на водните ресурси е от решаващо значение за справяне с настоящите и бъдещите кризи в областта на здравеопазването, храните, енергетиката и сигурността; да се консултират с Парламента относно мандата, ресурсите и договореностите за сътрудничество в подкрепа на работата на специалния представител на ЕС за правата на човека;</w:t>
      </w:r>
    </w:p>
    <w:p w:rsidR="00BF611E" w:rsidRPr="006768E3" w:rsidP="00BF611E" w14:paraId="72D951A0" w14:textId="77777777">
      <w:pPr>
        <w:pStyle w:val="NormalHanging12a"/>
        <w:ind w:left="1134"/>
      </w:pPr>
      <w:r w:rsidRPr="006768E3">
        <w:t>у)</w:t>
      </w:r>
      <w:r w:rsidRPr="006768E3">
        <w:tab/>
        <w:t>да засилват ролята на международното право и на компетентните международни съдилища и да насърчават диалога, посредничеството и регионалните решения като основни инструменти за разрешаване на спорове относно транснационални водни обекти, като гарантират яснота и отчетност по отношение на правните задължения на всички държави, граничещи със съответните води; системно да осъждат използването на водата като оръжие по време на конфликти; да гарантират, че извършителите биват подвеждани под отговорност;</w:t>
      </w:r>
    </w:p>
    <w:p w:rsidR="00BF611E" w:rsidRPr="006768E3" w:rsidP="00BF611E" w14:paraId="161D6B00" w14:textId="77777777">
      <w:pPr>
        <w:pStyle w:val="NormalHanging12a"/>
        <w:ind w:left="1134"/>
      </w:pPr>
      <w:r w:rsidRPr="006768E3">
        <w:t>ф)</w:t>
      </w:r>
      <w:r w:rsidRPr="006768E3">
        <w:tab/>
        <w:t>да подкрепят правни инициативи, насочени към осигуряване на правосъдие и обезщетение за умишленото насочване и унищожаване на водни доставки и инфраструктура;</w:t>
      </w:r>
    </w:p>
    <w:p w:rsidR="006768E3" w:rsidRPr="006768E3" w:rsidP="006768E3" w14:paraId="019EACDB" w14:textId="5DAB6627">
      <w:pPr>
        <w:pStyle w:val="NormalHanging12a"/>
      </w:pPr>
      <w:r w:rsidRPr="006768E3">
        <w:t>2.</w:t>
      </w:r>
      <w:r w:rsidRPr="006768E3">
        <w:tab/>
        <w:t>възлага на своя председател да предаде настоящата препоръка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:rsidR="00E365E1" w:rsidRPr="006768E3" w:rsidP="00172945" w14:paraId="43CB0A23" w14:textId="209DEEEA"/>
    <w:sectPr w:rsidSect="006768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6EE4797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21D1996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00D8BD4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72945" w:rsidRPr="006768E3" w14:paraId="3CEBCA92" w14:textId="77777777">
      <w:r w:rsidRPr="006768E3">
        <w:separator/>
      </w:r>
    </w:p>
  </w:footnote>
  <w:footnote w:type="continuationSeparator" w:id="1">
    <w:p w:rsidR="00172945" w:rsidRPr="006768E3" w14:paraId="3B952478" w14:textId="77777777">
      <w:r w:rsidRPr="006768E3">
        <w:continuationSeparator/>
      </w:r>
    </w:p>
  </w:footnote>
  <w:footnote w:id="2">
    <w:p w:rsidR="00BF611E" w:rsidRPr="006768E3" w:rsidP="006768E3" w14:paraId="79513A2D" w14:textId="21087C31">
      <w:pPr>
        <w:pStyle w:val="FootnoteText"/>
        <w:ind w:left="567" w:hanging="567"/>
        <w:rPr>
          <w:sz w:val="24"/>
          <w:lang w:val="bg-BG"/>
        </w:rPr>
      </w:pPr>
      <w:r w:rsidRPr="006768E3">
        <w:rPr>
          <w:rStyle w:val="FootnoteReference"/>
          <w:sz w:val="24"/>
          <w:lang w:val="bg-BG"/>
        </w:rPr>
        <w:footnoteRef/>
      </w:r>
      <w:r w:rsidRPr="006768E3" w:rsidR="006768E3">
        <w:rPr>
          <w:sz w:val="24"/>
          <w:lang w:val="bg-BG"/>
        </w:rPr>
        <w:t xml:space="preserve"> </w:t>
      </w:r>
      <w:r w:rsidRPr="006768E3" w:rsidR="006768E3">
        <w:rPr>
          <w:sz w:val="24"/>
          <w:lang w:val="bg-BG"/>
        </w:rPr>
        <w:tab/>
      </w:r>
      <w:r w:rsidRPr="006768E3">
        <w:rPr>
          <w:sz w:val="24"/>
          <w:lang w:val="bg-BG"/>
        </w:rPr>
        <w:t xml:space="preserve">ОВ C, C/2026/576, 24.2.2026 г., ELI: </w:t>
      </w:r>
      <w:hyperlink r:id="rId1" w:history="1">
        <w:r w:rsidRPr="006768E3">
          <w:rPr>
            <w:rStyle w:val="Hyperlink"/>
            <w:sz w:val="24"/>
            <w:lang w:val="bg-BG"/>
          </w:rPr>
          <w:t>http://data.europa.eu/eli/C/2026/576/oj</w:t>
        </w:r>
      </w:hyperlink>
      <w:r w:rsidRPr="006768E3">
        <w:rPr>
          <w:sz w:val="24"/>
          <w:lang w:val="bg-BG"/>
        </w:rPr>
        <w:t>.</w:t>
      </w:r>
    </w:p>
  </w:footnote>
  <w:footnote w:id="3">
    <w:p w:rsidR="00BF611E" w:rsidRPr="006768E3" w:rsidP="006768E3" w14:paraId="3C31BAD2" w14:textId="2721D7D2">
      <w:pPr>
        <w:pStyle w:val="FootnoteText"/>
        <w:ind w:left="567" w:hanging="567"/>
        <w:rPr>
          <w:sz w:val="24"/>
          <w:lang w:val="bg-BG"/>
        </w:rPr>
      </w:pPr>
      <w:r w:rsidRPr="006768E3">
        <w:rPr>
          <w:rStyle w:val="FootnoteReference"/>
          <w:sz w:val="24"/>
          <w:lang w:val="bg-BG"/>
        </w:rPr>
        <w:footnoteRef/>
      </w:r>
      <w:r w:rsidRPr="006768E3" w:rsidR="006768E3">
        <w:rPr>
          <w:sz w:val="24"/>
          <w:lang w:val="bg-BG"/>
        </w:rPr>
        <w:t xml:space="preserve"> </w:t>
      </w:r>
      <w:r w:rsidRPr="006768E3" w:rsidR="006768E3">
        <w:rPr>
          <w:sz w:val="24"/>
          <w:lang w:val="bg-BG"/>
        </w:rPr>
        <w:tab/>
      </w:r>
      <w:r w:rsidRPr="006768E3">
        <w:rPr>
          <w:sz w:val="24"/>
          <w:lang w:val="bg-BG"/>
        </w:rPr>
        <w:t>ОВ С 132, 14.4.2023 г., стр. 54.</w:t>
      </w:r>
    </w:p>
  </w:footnote>
  <w:footnote w:id="4">
    <w:p w:rsidR="00BF611E" w:rsidRPr="006768E3" w:rsidP="006768E3" w14:paraId="5AD8E879" w14:textId="2C4860CD">
      <w:pPr>
        <w:pStyle w:val="FootnoteText"/>
        <w:ind w:left="567" w:hanging="567"/>
        <w:rPr>
          <w:sz w:val="24"/>
          <w:lang w:val="bg-BG"/>
        </w:rPr>
      </w:pPr>
      <w:r w:rsidRPr="006768E3">
        <w:rPr>
          <w:rStyle w:val="FootnoteReference"/>
          <w:sz w:val="24"/>
          <w:lang w:val="bg-BG"/>
        </w:rPr>
        <w:footnoteRef/>
      </w:r>
      <w:r w:rsidRPr="006768E3" w:rsidR="006768E3">
        <w:rPr>
          <w:sz w:val="24"/>
          <w:lang w:val="bg-BG"/>
        </w:rPr>
        <w:t xml:space="preserve"> </w:t>
      </w:r>
      <w:r w:rsidRPr="006768E3" w:rsidR="006768E3">
        <w:rPr>
          <w:sz w:val="24"/>
          <w:lang w:val="bg-BG"/>
        </w:rPr>
        <w:tab/>
      </w:r>
      <w:r w:rsidRPr="006768E3">
        <w:rPr>
          <w:sz w:val="24"/>
          <w:lang w:val="bg-BG"/>
        </w:rPr>
        <w:t xml:space="preserve">ОВ C, C/2025/4390, 9.9.2025 г., ELI: </w:t>
      </w:r>
      <w:hyperlink r:id="rId2" w:history="1">
        <w:r w:rsidRPr="006768E3">
          <w:rPr>
            <w:rStyle w:val="Hyperlink"/>
            <w:sz w:val="24"/>
            <w:lang w:val="bg-BG"/>
          </w:rPr>
          <w:t>http://data.europa.eu/eli/C/2025/4390/oj</w:t>
        </w:r>
      </w:hyperlink>
      <w:r w:rsidRPr="006768E3">
        <w:rPr>
          <w:sz w:val="24"/>
          <w:lang w:val="bg-BG"/>
        </w:rPr>
        <w:t>.</w:t>
      </w:r>
    </w:p>
  </w:footnote>
  <w:footnote w:id="5">
    <w:p w:rsidR="00BF611E" w:rsidRPr="006768E3" w:rsidP="006768E3" w14:paraId="4E5B5029" w14:textId="41FF1EC2">
      <w:pPr>
        <w:pStyle w:val="FootnoteText"/>
        <w:ind w:left="567" w:hanging="567"/>
        <w:rPr>
          <w:sz w:val="24"/>
          <w:lang w:val="bg-BG"/>
        </w:rPr>
      </w:pPr>
      <w:r w:rsidRPr="006768E3">
        <w:rPr>
          <w:rStyle w:val="FootnoteReference"/>
          <w:sz w:val="24"/>
          <w:lang w:val="bg-BG"/>
        </w:rPr>
        <w:footnoteRef/>
      </w:r>
      <w:r w:rsidRPr="006768E3" w:rsidR="006768E3">
        <w:rPr>
          <w:sz w:val="24"/>
          <w:lang w:val="bg-BG"/>
        </w:rPr>
        <w:t xml:space="preserve"> </w:t>
      </w:r>
      <w:r w:rsidRPr="006768E3" w:rsidR="006768E3">
        <w:rPr>
          <w:sz w:val="24"/>
          <w:lang w:val="bg-BG"/>
        </w:rPr>
        <w:tab/>
      </w:r>
      <w:r w:rsidRPr="006768E3">
        <w:rPr>
          <w:sz w:val="24"/>
          <w:lang w:val="bg-BG"/>
        </w:rPr>
        <w:t>Приети текстове, P10_TA(2026)0014.</w:t>
      </w:r>
    </w:p>
  </w:footnote>
  <w:footnote w:id="6">
    <w:p w:rsidR="00BF611E" w:rsidRPr="006768E3" w:rsidP="006768E3" w14:paraId="201F0572" w14:textId="3C57DB8D">
      <w:pPr>
        <w:pStyle w:val="FootnoteText"/>
        <w:ind w:left="567" w:hanging="567"/>
        <w:rPr>
          <w:sz w:val="24"/>
          <w:lang w:val="bg-BG"/>
        </w:rPr>
      </w:pPr>
      <w:r w:rsidRPr="006768E3">
        <w:rPr>
          <w:rStyle w:val="FootnoteReference"/>
          <w:sz w:val="24"/>
          <w:lang w:val="bg-BG"/>
        </w:rPr>
        <w:footnoteRef/>
      </w:r>
      <w:r w:rsidRPr="006768E3" w:rsidR="006768E3">
        <w:rPr>
          <w:sz w:val="24"/>
          <w:lang w:val="bg-BG"/>
        </w:rPr>
        <w:t xml:space="preserve"> </w:t>
      </w:r>
      <w:r w:rsidRPr="006768E3" w:rsidR="006768E3">
        <w:rPr>
          <w:sz w:val="24"/>
          <w:lang w:val="bg-BG"/>
        </w:rPr>
        <w:tab/>
      </w:r>
      <w:r w:rsidRPr="006768E3">
        <w:rPr>
          <w:sz w:val="24"/>
          <w:lang w:val="bg-BG"/>
        </w:rPr>
        <w:t xml:space="preserve">ОВ C, C/2025/769, 11.2.2025 г., ELI: </w:t>
      </w:r>
      <w:hyperlink r:id="rId3" w:history="1">
        <w:r w:rsidRPr="006768E3">
          <w:rPr>
            <w:rStyle w:val="Hyperlink"/>
            <w:sz w:val="24"/>
            <w:lang w:val="bg-BG"/>
          </w:rPr>
          <w:t>http://data.europa.eu/eli/C/2025/769/oj</w:t>
        </w:r>
      </w:hyperlink>
      <w:r w:rsidRPr="006768E3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522DC6B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1A29DDD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68E3" w14:paraId="02A085A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5675260">
    <w:abstractNumId w:val="9"/>
  </w:num>
  <w:num w:numId="2" w16cid:durableId="402727518">
    <w:abstractNumId w:val="9"/>
  </w:num>
  <w:num w:numId="3" w16cid:durableId="1824541633">
    <w:abstractNumId w:val="7"/>
  </w:num>
  <w:num w:numId="4" w16cid:durableId="111681020">
    <w:abstractNumId w:val="7"/>
  </w:num>
  <w:num w:numId="5" w16cid:durableId="1217276660">
    <w:abstractNumId w:val="6"/>
  </w:num>
  <w:num w:numId="6" w16cid:durableId="910384225">
    <w:abstractNumId w:val="6"/>
  </w:num>
  <w:num w:numId="7" w16cid:durableId="1168329308">
    <w:abstractNumId w:val="5"/>
  </w:num>
  <w:num w:numId="8" w16cid:durableId="681857076">
    <w:abstractNumId w:val="5"/>
  </w:num>
  <w:num w:numId="9" w16cid:durableId="2013337976">
    <w:abstractNumId w:val="4"/>
  </w:num>
  <w:num w:numId="10" w16cid:durableId="1017925505">
    <w:abstractNumId w:val="4"/>
  </w:num>
  <w:num w:numId="11" w16cid:durableId="1122840885">
    <w:abstractNumId w:val="8"/>
  </w:num>
  <w:num w:numId="12" w16cid:durableId="952053855">
    <w:abstractNumId w:val="8"/>
  </w:num>
  <w:num w:numId="13" w16cid:durableId="24060738">
    <w:abstractNumId w:val="3"/>
  </w:num>
  <w:num w:numId="14" w16cid:durableId="1757510579">
    <w:abstractNumId w:val="3"/>
  </w:num>
  <w:num w:numId="15" w16cid:durableId="11031835">
    <w:abstractNumId w:val="2"/>
  </w:num>
  <w:num w:numId="16" w16cid:durableId="1708069737">
    <w:abstractNumId w:val="2"/>
  </w:num>
  <w:num w:numId="17" w16cid:durableId="869486741">
    <w:abstractNumId w:val="1"/>
  </w:num>
  <w:num w:numId="18" w16cid:durableId="588464398">
    <w:abstractNumId w:val="1"/>
  </w:num>
  <w:num w:numId="19" w16cid:durableId="1891334459">
    <w:abstractNumId w:val="0"/>
  </w:num>
  <w:num w:numId="20" w16cid:durableId="116488546">
    <w:abstractNumId w:val="0"/>
  </w:num>
  <w:num w:numId="21" w16cid:durableId="722368538">
    <w:abstractNumId w:val="9"/>
  </w:num>
  <w:num w:numId="22" w16cid:durableId="1744836736">
    <w:abstractNumId w:val="7"/>
  </w:num>
  <w:num w:numId="23" w16cid:durableId="1782992783">
    <w:abstractNumId w:val="6"/>
  </w:num>
  <w:num w:numId="24" w16cid:durableId="1610119443">
    <w:abstractNumId w:val="5"/>
  </w:num>
  <w:num w:numId="25" w16cid:durableId="304631019">
    <w:abstractNumId w:val="4"/>
  </w:num>
  <w:num w:numId="26" w16cid:durableId="1519347769">
    <w:abstractNumId w:val="8"/>
  </w:num>
  <w:num w:numId="27" w16cid:durableId="2130202983">
    <w:abstractNumId w:val="3"/>
  </w:num>
  <w:num w:numId="28" w16cid:durableId="1650789502">
    <w:abstractNumId w:val="2"/>
  </w:num>
  <w:num w:numId="29" w16cid:durableId="881476616">
    <w:abstractNumId w:val="1"/>
  </w:num>
  <w:num w:numId="30" w16cid:durableId="1364132809">
    <w:abstractNumId w:val="0"/>
  </w:num>
  <w:num w:numId="31" w16cid:durableId="848717901">
    <w:abstractNumId w:val="9"/>
  </w:num>
  <w:num w:numId="32" w16cid:durableId="578444434">
    <w:abstractNumId w:val="7"/>
  </w:num>
  <w:num w:numId="33" w16cid:durableId="1368946136">
    <w:abstractNumId w:val="6"/>
  </w:num>
  <w:num w:numId="34" w16cid:durableId="741293020">
    <w:abstractNumId w:val="5"/>
  </w:num>
  <w:num w:numId="35" w16cid:durableId="625282578">
    <w:abstractNumId w:val="4"/>
  </w:num>
  <w:num w:numId="36" w16cid:durableId="2009290946">
    <w:abstractNumId w:val="8"/>
  </w:num>
  <w:num w:numId="37" w16cid:durableId="1557397924">
    <w:abstractNumId w:val="3"/>
  </w:num>
  <w:num w:numId="38" w16cid:durableId="1185746312">
    <w:abstractNumId w:val="2"/>
  </w:num>
  <w:num w:numId="39" w16cid:durableId="895899780">
    <w:abstractNumId w:val="1"/>
  </w:num>
  <w:num w:numId="40" w16cid:durableId="210580733">
    <w:abstractNumId w:val="0"/>
  </w:num>
  <w:num w:numId="41" w16cid:durableId="1672370362">
    <w:abstractNumId w:val="10"/>
  </w:num>
  <w:num w:numId="42" w16cid:durableId="1862160269">
    <w:abstractNumId w:val="10"/>
  </w:num>
  <w:num w:numId="43" w16cid:durableId="1184053477">
    <w:abstractNumId w:val="10"/>
  </w:num>
  <w:num w:numId="44" w16cid:durableId="550191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45"/>
    <w:rsid w:val="00002272"/>
    <w:rsid w:val="00064002"/>
    <w:rsid w:val="000677B9"/>
    <w:rsid w:val="000831BA"/>
    <w:rsid w:val="000A42CC"/>
    <w:rsid w:val="000D506E"/>
    <w:rsid w:val="000E7DD9"/>
    <w:rsid w:val="0010095E"/>
    <w:rsid w:val="00125B37"/>
    <w:rsid w:val="0017294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16F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8E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A4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11E"/>
    <w:rsid w:val="00C05BFE"/>
    <w:rsid w:val="00C23CD4"/>
    <w:rsid w:val="00C5237A"/>
    <w:rsid w:val="00C61C0C"/>
    <w:rsid w:val="00C941CB"/>
    <w:rsid w:val="00CC108F"/>
    <w:rsid w:val="00CC2357"/>
    <w:rsid w:val="00CF071A"/>
    <w:rsid w:val="00D058B8"/>
    <w:rsid w:val="00D507B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0/2026"/>
    <w:docVar w:name="dvlangue" w:val="BG"/>
    <w:docVar w:name="dvnumam" w:val="0"/>
    <w:docVar w:name="dvpe" w:val="779.681"/>
    <w:docVar w:name="dvrapporteur" w:val="Докладчик: "/>
    <w:docVar w:name="dvtitre" w:val="Препоръка на Европейския парламент до Съвета относно препоръка на Европейския парламент до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насърчаването на транснационалното управление на водните ресурси в интерес на предотвратяването на конфликти и мира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4CF77D"/>
  <w15:chartTrackingRefBased/>
  <w15:docId w15:val="{1B0A9C3F-C99E-4C23-8DD4-09D3DDF3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611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F611E"/>
    <w:pPr>
      <w:spacing w:after="240"/>
      <w:ind w:left="567" w:hanging="567"/>
    </w:pPr>
  </w:style>
  <w:style w:type="character" w:styleId="Hyperlink">
    <w:name w:val="Hyperlink"/>
    <w:basedOn w:val="DefaultParagraphFont"/>
    <w:rsid w:val="00BF611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BF611E"/>
    <w:rPr>
      <w:sz w:val="24"/>
      <w:lang w:val="bg-BG"/>
    </w:rPr>
  </w:style>
  <w:style w:type="paragraph" w:styleId="Revision">
    <w:name w:val="Revision"/>
    <w:hidden/>
    <w:uiPriority w:val="99"/>
    <w:semiHidden/>
    <w:rsid w:val="00914A49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4337</Words>
  <Characters>25938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2026-06-17T14:38:00Z</dcterms:created>
  <dcterms:modified xsi:type="dcterms:W3CDTF">2026-06-17T14:38:00Z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