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FA6811B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vAlign w:val="center"/>
          </w:tcPr>
          <w:p w:rsidR="00751A4A" w:rsidRPr="00B15F62" w:rsidP="0010095E" w14:paraId="4878E6AB" w14:textId="77777777">
            <w:pPr>
              <w:pStyle w:val="EPName"/>
            </w:pPr>
            <w:r w:rsidRPr="00B15F62">
              <w:t>Europski parlament</w:t>
            </w:r>
          </w:p>
          <w:p w:rsidR="00751A4A" w:rsidRPr="00B15F62" w:rsidP="005F1B17" w14:paraId="61361020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15F62">
              <w:t>2024</w:t>
            </w:r>
            <w:r w:rsidRPr="00B15F62" w:rsidR="00817416">
              <w:t>-202</w:t>
            </w:r>
            <w:r w:rsidRPr="00B15F62">
              <w:t>9</w:t>
            </w:r>
          </w:p>
        </w:tc>
        <w:tc>
          <w:tcPr>
            <w:tcW w:w="2268" w:type="dxa"/>
          </w:tcPr>
          <w:p w:rsidR="00751A4A" w:rsidRPr="00B15F62" w:rsidP="0010095E" w14:paraId="72158BF1" w14:textId="77777777">
            <w:pPr>
              <w:pStyle w:val="EPLogo"/>
            </w:pPr>
            <w:r w:rsidRPr="00B15F62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15F62" w:rsidP="004C5D52" w14:paraId="71B3B9A7" w14:textId="77777777">
      <w:pPr>
        <w:pStyle w:val="LineTop"/>
      </w:pPr>
    </w:p>
    <w:p w:rsidR="00680577" w:rsidRPr="00B15F62" w:rsidP="00680577" w14:paraId="16E63B80" w14:textId="77777777">
      <w:pPr>
        <w:pStyle w:val="EPBodyTA1"/>
      </w:pPr>
      <w:r w:rsidRPr="00B15F62">
        <w:t>USVOJENI TEKSTOVI</w:t>
      </w:r>
    </w:p>
    <w:p w:rsidR="00D058B8" w:rsidRPr="00B15F62" w:rsidP="00D058B8" w14:paraId="19854C7C" w14:textId="77777777">
      <w:pPr>
        <w:pStyle w:val="LineBottom"/>
      </w:pPr>
    </w:p>
    <w:p w:rsidR="002B7678" w:rsidRPr="00B15F62" w:rsidP="002B7678" w14:paraId="29D3E041" w14:textId="0EC50CD5">
      <w:pPr>
        <w:pStyle w:val="ATHeading1"/>
      </w:pPr>
      <w:bookmarkStart w:id="0" w:name="TANumber"/>
      <w:r w:rsidRPr="00B15F62">
        <w:t>P10_TA(2026)0</w:t>
      </w:r>
      <w:r w:rsidR="00B036CA">
        <w:t>221</w:t>
      </w:r>
      <w:bookmarkEnd w:id="0"/>
    </w:p>
    <w:p w:rsidR="002B7678" w:rsidRPr="00B15F62" w:rsidP="002B7678" w14:paraId="404EE1B9" w14:textId="77777777">
      <w:pPr>
        <w:pStyle w:val="ATHeading2"/>
      </w:pPr>
      <w:bookmarkStart w:id="1" w:name="title"/>
      <w:r w:rsidRPr="00B15F62">
        <w:t>Preporuka o promicanju transnacionalnog upravljanja vodama u interesu sprečavanja sukoba i osiguravanja mira</w:t>
      </w:r>
      <w:bookmarkEnd w:id="1"/>
    </w:p>
    <w:p w:rsidR="002B7678" w:rsidRPr="00B15F62" w:rsidP="002B7678" w14:paraId="2D365452" w14:textId="77777777">
      <w:pPr>
        <w:rPr>
          <w:i/>
          <w:vanish/>
        </w:rPr>
      </w:pPr>
      <w:r>
        <w:rPr>
          <w:i/>
        </w:rPr>
        <w:fldChar w:fldCharType="begin"/>
      </w:r>
      <w:r w:rsidRPr="00B15F62">
        <w:rPr>
          <w:i/>
        </w:rPr>
        <w:instrText xml:space="preserve"> TC"(</w:instrText>
      </w:r>
      <w:bookmarkStart w:id="2" w:name="DocNumber"/>
      <w:r w:rsidRPr="00B15F62">
        <w:rPr>
          <w:i/>
        </w:rPr>
        <w:instrText>A10-0150/2026</w:instrText>
      </w:r>
      <w:bookmarkEnd w:id="2"/>
      <w:r w:rsidRPr="00B15F62">
        <w:rPr>
          <w:i/>
        </w:rPr>
        <w:instrText xml:space="preserve"> - Izvjestitelj: </w:instrText>
      </w:r>
      <w:r w:rsidRPr="00B15F62">
        <w:rPr>
          <w:i/>
        </w:rPr>
        <w:instrText>Leoluca</w:instrText>
      </w:r>
      <w:r w:rsidRPr="00B15F62">
        <w:rPr>
          <w:i/>
        </w:rPr>
        <w:instrText xml:space="preserve"> Orlando)"\l3 \n&gt; \* MERGEFORMAT </w:instrText>
      </w:r>
      <w:r>
        <w:rPr>
          <w:i/>
        </w:rPr>
        <w:fldChar w:fldCharType="end"/>
      </w:r>
    </w:p>
    <w:p w:rsidR="002B7678" w:rsidRPr="00B15F62" w:rsidP="002B7678" w14:paraId="184D86AA" w14:textId="77777777">
      <w:pPr>
        <w:rPr>
          <w:vanish/>
        </w:rPr>
      </w:pPr>
      <w:bookmarkStart w:id="3" w:name="Commission"/>
      <w:r w:rsidRPr="00B15F62">
        <w:rPr>
          <w:vanish/>
        </w:rPr>
        <w:t>Odbor za vanjske poslove</w:t>
      </w:r>
      <w:bookmarkEnd w:id="3"/>
    </w:p>
    <w:p w:rsidR="002B7678" w:rsidRPr="00B15F62" w:rsidP="002B7678" w14:paraId="7133D610" w14:textId="77777777">
      <w:pPr>
        <w:rPr>
          <w:vanish/>
        </w:rPr>
      </w:pPr>
      <w:bookmarkStart w:id="4" w:name="PE"/>
      <w:r w:rsidRPr="00B15F62">
        <w:rPr>
          <w:vanish/>
        </w:rPr>
        <w:t>PE779.681</w:t>
      </w:r>
      <w:bookmarkEnd w:id="4"/>
    </w:p>
    <w:p w:rsidR="002B7678" w:rsidRPr="00B15F62" w:rsidP="002B7678" w14:paraId="6CA80764" w14:textId="3C2EB000">
      <w:pPr>
        <w:pStyle w:val="ATHeading3"/>
      </w:pPr>
      <w:bookmarkStart w:id="5" w:name="Sujet"/>
      <w:r w:rsidRPr="00B15F62">
        <w:t xml:space="preserve">Preporuka Europskog parlamenta od </w:t>
      </w:r>
      <w:r w:rsidR="004E3FBC">
        <w:t>17</w:t>
      </w:r>
      <w:r w:rsidRPr="00B15F62">
        <w:t xml:space="preserve">. </w:t>
      </w:r>
      <w:r w:rsidR="004E3FBC">
        <w:t xml:space="preserve">lipnja </w:t>
      </w:r>
      <w:r w:rsidRPr="00B15F62">
        <w:t>2026. Vijeću, Komisiji i potpredsjednici Komisije</w:t>
      </w:r>
      <w:r w:rsidRPr="007B12FF" w:rsidR="004E3FBC">
        <w:t> </w:t>
      </w:r>
      <w:r w:rsidRPr="00B15F62">
        <w:t>/</w:t>
      </w:r>
      <w:r w:rsidRPr="007B12FF" w:rsidR="004E3FBC">
        <w:t> </w:t>
      </w:r>
      <w:r w:rsidRPr="00B15F62">
        <w:t>visokoj predstavnici Unije za vanjske poslove i sigurnosnu politiku o promicanju transnacionalnog upravljanja vodama u interesu sprečavanja sukoba i osiguravanja mira</w:t>
      </w:r>
      <w:bookmarkEnd w:id="5"/>
      <w:r w:rsidRPr="00B15F62">
        <w:t xml:space="preserve"> </w:t>
      </w:r>
      <w:bookmarkStart w:id="6" w:name="References"/>
      <w:r w:rsidRPr="00B15F62">
        <w:t>(2025/2216(INI))</w:t>
      </w:r>
      <w:bookmarkEnd w:id="6"/>
    </w:p>
    <w:p w:rsidR="004C3656" w:rsidRPr="00B15F62" w:rsidP="004C3656" w14:paraId="36108DE3" w14:textId="77777777">
      <w:pPr>
        <w:pStyle w:val="EPComma"/>
      </w:pPr>
      <w:r w:rsidRPr="00B15F62">
        <w:rPr>
          <w:i/>
        </w:rPr>
        <w:t>Europski parlament</w:t>
      </w:r>
      <w:r w:rsidRPr="00B15F62">
        <w:t>,</w:t>
      </w:r>
    </w:p>
    <w:p w:rsidR="004C3656" w:rsidRPr="00B15F62" w:rsidP="004C3656" w14:paraId="341FFECE" w14:textId="77777777">
      <w:pPr>
        <w:pStyle w:val="NormalHanging12a"/>
      </w:pPr>
      <w:r w:rsidRPr="00B15F62">
        <w:t>–</w:t>
      </w:r>
      <w:r w:rsidRPr="00B15F62">
        <w:tab/>
        <w:t>uzimajući u obzir Konvenciju UN-a o zaštiti i uporabi prekograničnih vodotoka i međunarodnih jezera (Konvencija o vodama) iz 1992.,</w:t>
      </w:r>
    </w:p>
    <w:p w:rsidR="004C3656" w:rsidRPr="00B15F62" w:rsidP="004C3656" w14:paraId="4A7EE74C" w14:textId="77777777">
      <w:pPr>
        <w:pStyle w:val="NormalHanging12a"/>
      </w:pPr>
      <w:r w:rsidRPr="00B15F62">
        <w:t>–</w:t>
      </w:r>
      <w:r w:rsidRPr="00B15F62">
        <w:tab/>
        <w:t>uzimajući u obzir svoju Rezoluciju od 7. svibnja 2025. o Europskoj strategiji za otpornost vodoopskrbe</w:t>
      </w:r>
      <w:r>
        <w:rPr>
          <w:rStyle w:val="FootnoteReference"/>
        </w:rPr>
        <w:footnoteReference w:id="2"/>
      </w:r>
      <w:r w:rsidRPr="00B15F62">
        <w:t>,</w:t>
      </w:r>
    </w:p>
    <w:p w:rsidR="004C3656" w:rsidRPr="00B15F62" w:rsidP="004C3656" w14:paraId="017C2CE0" w14:textId="77777777">
      <w:pPr>
        <w:pStyle w:val="NormalHanging12a"/>
      </w:pPr>
      <w:r w:rsidRPr="00B15F62">
        <w:t>–</w:t>
      </w:r>
      <w:r w:rsidRPr="00B15F62">
        <w:tab/>
        <w:t>uzimajući u obzir komunikaciju Komisije od 4. lipnja 2025. naslovljenu „Europska strategija za otpornost vodoopskrbe” (COM(2025)0280),</w:t>
      </w:r>
    </w:p>
    <w:p w:rsidR="004C3656" w:rsidRPr="00B15F62" w:rsidP="004C3656" w14:paraId="13D22DD2" w14:textId="77777777">
      <w:pPr>
        <w:pStyle w:val="NormalHanging12a"/>
      </w:pPr>
      <w:r w:rsidRPr="00B15F62">
        <w:t>–</w:t>
      </w:r>
      <w:r w:rsidRPr="00B15F62">
        <w:tab/>
        <w:t>uzimajući u obzir svoju Rezoluciju od 5. listopada 2022. o pristupu vodi kao ljudskom pravu: vanjska dimenzija</w:t>
      </w:r>
      <w:r>
        <w:rPr>
          <w:rStyle w:val="FootnoteReference"/>
        </w:rPr>
        <w:footnoteReference w:id="3"/>
      </w:r>
      <w:r w:rsidRPr="00B15F62">
        <w:t xml:space="preserve">, </w:t>
      </w:r>
    </w:p>
    <w:p w:rsidR="004C3656" w:rsidRPr="00B15F62" w:rsidP="004C3656" w14:paraId="01349DB9" w14:textId="77777777">
      <w:pPr>
        <w:pStyle w:val="NormalHanging12a"/>
      </w:pPr>
      <w:r w:rsidRPr="00B15F62">
        <w:t>–</w:t>
      </w:r>
      <w:r w:rsidRPr="00B15F62">
        <w:tab/>
        <w:t>uzimajući u obzir Konferenciju UN-a o vodama 2023. i doneseni Akcijski plan za vode te predstojeću Konferenciju UN-a o vodama 2026.,</w:t>
      </w:r>
    </w:p>
    <w:p w:rsidR="004C3656" w:rsidRPr="00B15F62" w:rsidP="004C3656" w14:paraId="5A93654F" w14:textId="77777777">
      <w:pPr>
        <w:pStyle w:val="NormalHanging12a"/>
      </w:pPr>
      <w:r w:rsidRPr="00B15F62">
        <w:t>–</w:t>
      </w:r>
      <w:r w:rsidRPr="00B15F62">
        <w:tab/>
        <w:t>uzimajući u obzir informativni članak Ureda visokog povjerenika Ujedinjenih naroda za ljudska prava pod naslovom „Pravo na vodu”, objavljen u kolovozu 2010.,</w:t>
      </w:r>
    </w:p>
    <w:p w:rsidR="004C3656" w:rsidRPr="00B15F62" w:rsidP="004C3656" w14:paraId="63A27881" w14:textId="77777777">
      <w:pPr>
        <w:pStyle w:val="NormalHanging12a"/>
      </w:pPr>
      <w:r w:rsidRPr="00B15F62">
        <w:t>–</w:t>
      </w:r>
      <w:r w:rsidRPr="00B15F62">
        <w:tab/>
        <w:t xml:space="preserve">uzimajući u obzir izvješće Sveučilišnog instituta UN-a za vodu, okoliš i zdravlje od 20. siječnja 2026. naslovljeno „Global Water </w:t>
      </w:r>
      <w:r w:rsidRPr="00B15F62">
        <w:t>Bankruptcy</w:t>
      </w:r>
      <w:r w:rsidRPr="00B15F62">
        <w:t xml:space="preserve">: </w:t>
      </w:r>
      <w:r w:rsidRPr="00B15F62">
        <w:t>Living</w:t>
      </w:r>
      <w:r w:rsidRPr="00B15F62">
        <w:t xml:space="preserve"> </w:t>
      </w:r>
      <w:r w:rsidRPr="00B15F62">
        <w:t>Beyond</w:t>
      </w:r>
      <w:r w:rsidRPr="00B15F62">
        <w:t xml:space="preserve"> </w:t>
      </w:r>
      <w:r w:rsidRPr="00B15F62">
        <w:t>our</w:t>
      </w:r>
      <w:r w:rsidRPr="00B15F62">
        <w:t xml:space="preserve"> </w:t>
      </w:r>
      <w:r w:rsidRPr="00B15F62">
        <w:t>Hydrological</w:t>
      </w:r>
      <w:r w:rsidRPr="00B15F62">
        <w:t xml:space="preserve"> </w:t>
      </w:r>
      <w:r w:rsidRPr="00B15F62">
        <w:t>Means</w:t>
      </w:r>
      <w:r w:rsidRPr="00B15F62">
        <w:t xml:space="preserve"> </w:t>
      </w:r>
      <w:r w:rsidRPr="00B15F62">
        <w:t>in</w:t>
      </w:r>
      <w:r w:rsidRPr="00B15F62">
        <w:t xml:space="preserve"> </w:t>
      </w:r>
      <w:r w:rsidRPr="00B15F62">
        <w:t>the</w:t>
      </w:r>
      <w:r w:rsidRPr="00B15F62">
        <w:t xml:space="preserve"> Post-</w:t>
      </w:r>
      <w:r w:rsidRPr="00B15F62">
        <w:t>Crisis</w:t>
      </w:r>
      <w:r w:rsidRPr="00B15F62">
        <w:t xml:space="preserve"> Era” (Globalni bankrot u pogledu vode: život izvan naših hidroloških mogućnosti u razdoblju nakon krize),</w:t>
      </w:r>
    </w:p>
    <w:p w:rsidR="004C3656" w:rsidRPr="00B15F62" w:rsidP="004C3656" w14:paraId="6AF5D0AA" w14:textId="77777777">
      <w:pPr>
        <w:pStyle w:val="NormalHanging12a"/>
      </w:pPr>
      <w:r w:rsidRPr="00B15F62">
        <w:t>–</w:t>
      </w:r>
      <w:r w:rsidRPr="00B15F62">
        <w:tab/>
        <w:t xml:space="preserve">uzimajući u obzir zaključke Vijeća od 19. studenoga 2018. o diplomaciji u području </w:t>
      </w:r>
      <w:r w:rsidRPr="00B15F62">
        <w:t>voda,</w:t>
      </w:r>
    </w:p>
    <w:p w:rsidR="004C3656" w:rsidRPr="00B15F62" w:rsidP="004C3656" w14:paraId="735307DC" w14:textId="77777777">
      <w:pPr>
        <w:pStyle w:val="NormalHanging12a"/>
      </w:pPr>
      <w:r w:rsidRPr="00B15F62">
        <w:t>–</w:t>
      </w:r>
      <w:r w:rsidRPr="00B15F62">
        <w:tab/>
        <w:t>uzimajući u obzir zaključke Vijeća od 19. studenoga 2021. o vodi u vanjskom djelovanju EU-a,</w:t>
      </w:r>
    </w:p>
    <w:p w:rsidR="004C3656" w:rsidRPr="00B15F62" w:rsidP="004C3656" w14:paraId="536177BC" w14:textId="77777777">
      <w:pPr>
        <w:pStyle w:val="NormalHanging12a"/>
      </w:pPr>
      <w:r w:rsidRPr="00B15F62">
        <w:t>–</w:t>
      </w:r>
      <w:r w:rsidRPr="00B15F62">
        <w:tab/>
        <w:t>uzimajući u obzir smjernice EU-a od 17. lipnja 2019. o zdravstveno ispravnoj vodi za piće i sanitarnim uvjetima,</w:t>
      </w:r>
    </w:p>
    <w:p w:rsidR="004C3656" w:rsidRPr="00B15F62" w:rsidP="004C3656" w14:paraId="5D3B4807" w14:textId="77777777">
      <w:pPr>
        <w:pStyle w:val="NormalHanging12a"/>
      </w:pPr>
      <w:r w:rsidRPr="00B15F62">
        <w:t>–</w:t>
      </w:r>
      <w:r w:rsidRPr="00B15F62">
        <w:tab/>
        <w:t xml:space="preserve">uzimajući u obzir članak 121. Poslovnika, </w:t>
      </w:r>
    </w:p>
    <w:p w:rsidR="004C3656" w:rsidRPr="00B15F62" w:rsidP="004C3656" w14:paraId="4647217D" w14:textId="77777777">
      <w:pPr>
        <w:pStyle w:val="NormalHanging12a"/>
      </w:pPr>
      <w:r w:rsidRPr="00B15F62">
        <w:t>–</w:t>
      </w:r>
      <w:r w:rsidRPr="00B15F62">
        <w:tab/>
        <w:t>uzimajući u obzir svoju Rezoluciju od 2. travnja 2025. o ljudskim pravima i demokraciji u svijetu i politici Europske unije u tom području – godišnje izvješće za 2024.</w:t>
      </w:r>
      <w:r>
        <w:rPr>
          <w:rStyle w:val="FootnoteReference"/>
        </w:rPr>
        <w:footnoteReference w:id="4"/>
      </w:r>
      <w:r w:rsidRPr="00B15F62">
        <w:t>,</w:t>
      </w:r>
    </w:p>
    <w:p w:rsidR="004C3656" w:rsidRPr="00B15F62" w:rsidP="004C3656" w14:paraId="31DC964C" w14:textId="77777777">
      <w:pPr>
        <w:pStyle w:val="NormalHanging12a"/>
      </w:pPr>
      <w:r w:rsidRPr="00B15F62">
        <w:t>–</w:t>
      </w:r>
      <w:r w:rsidRPr="00B15F62">
        <w:tab/>
        <w:t>uzimajući u obzir svoju Rezoluciju od 21. siječnja 2026. o ljudskim pravima i demokraciji u svijetu i politici Europske unije u tom području – godišnje izvješće za 2025.</w:t>
      </w:r>
      <w:r>
        <w:rPr>
          <w:rStyle w:val="FootnoteReference"/>
        </w:rPr>
        <w:footnoteReference w:id="5"/>
      </w:r>
      <w:r w:rsidRPr="00B15F62">
        <w:t>,</w:t>
      </w:r>
    </w:p>
    <w:p w:rsidR="004C3656" w:rsidRPr="00B15F62" w:rsidP="004C3656" w14:paraId="767EABEF" w14:textId="77777777">
      <w:pPr>
        <w:pStyle w:val="NormalHanging12a"/>
      </w:pPr>
      <w:r w:rsidRPr="00B15F62">
        <w:t>–</w:t>
      </w:r>
      <w:r w:rsidRPr="00B15F62">
        <w:tab/>
        <w:t>uzimajući u obzir mišljenje Europskoga gospodarskog i socijalnog odbora od 4. prosinca 2024. naslovljeno „Vodna politika: osnaživanje mladih, žena i autohtonih i lokalnih zajednica”</w:t>
      </w:r>
      <w:r>
        <w:rPr>
          <w:rStyle w:val="FootnoteReference"/>
        </w:rPr>
        <w:footnoteReference w:id="6"/>
      </w:r>
      <w:r w:rsidRPr="00B15F62">
        <w:t>,</w:t>
      </w:r>
    </w:p>
    <w:p w:rsidR="004C3656" w:rsidRPr="00B15F62" w:rsidP="004C3656" w14:paraId="7496F737" w14:textId="77777777">
      <w:pPr>
        <w:pStyle w:val="NormalHanging12a"/>
      </w:pPr>
      <w:r w:rsidRPr="00B15F62">
        <w:t>–</w:t>
      </w:r>
      <w:r w:rsidRPr="00B15F62">
        <w:tab/>
        <w:t>uzimajući u obzir izvješće Odbora za vanjske poslove (A10</w:t>
      </w:r>
      <w:r w:rsidRPr="00B15F62">
        <w:noBreakHyphen/>
        <w:t>0150/2026),</w:t>
      </w:r>
    </w:p>
    <w:p w:rsidR="004C3656" w:rsidRPr="00B15F62" w:rsidP="004C3656" w14:paraId="5E9701DF" w14:textId="77777777">
      <w:pPr>
        <w:pStyle w:val="NormalHanging12a"/>
      </w:pPr>
      <w:r w:rsidRPr="00B15F62">
        <w:t>A.</w:t>
      </w:r>
      <w:r w:rsidRPr="00B15F62">
        <w:tab/>
        <w:t>budući da je voda ključ opstanka čovječanstva i života na Zemlji i da njome stoga treba upravljati na održiv i pravedan način kao zajedničkim javnim i globalnim dobrom;</w:t>
      </w:r>
    </w:p>
    <w:p w:rsidR="004C3656" w:rsidRPr="00B15F62" w:rsidP="004C3656" w14:paraId="622FC2D1" w14:textId="77777777">
      <w:pPr>
        <w:pStyle w:val="NormalHanging12a"/>
      </w:pPr>
      <w:r w:rsidRPr="00B15F62">
        <w:t>B.</w:t>
      </w:r>
      <w:r w:rsidRPr="00B15F62">
        <w:tab/>
        <w:t>budući da je pristup zdravstveno ispravnoj vodi za piće i sanitarnim uvjetima ljudsko pravo i preduvjet za zdravlje, stabilnost, sigurnost, mir i život, kao i za puno uživanje svih ljudskih prava; budući da loše upravljanje vodama, nestašica vode i nejednak pristup vodi mogu doprinijeti nestabilnosti, sukobima i raseljavanju; budući da oko 2,2 milijarde ljudi i dalje nema pristup vodi za piće kojom se sigurno upravlja, 3,5 milijardi nema sanitarne uvjete kojima se sigurno upravlja, a oko 4 milijarde ljudi suočava se s ozbiljnom nestašicom vode najmanje jedan mjesec svake godine;</w:t>
      </w:r>
    </w:p>
    <w:p w:rsidR="004C3656" w:rsidRPr="00B15F62" w:rsidP="004C3656" w14:paraId="5D51C0F6" w14:textId="77777777">
      <w:pPr>
        <w:pStyle w:val="NormalHanging12a"/>
        <w:rPr>
          <w:bCs/>
          <w:iCs/>
        </w:rPr>
      </w:pPr>
      <w:r w:rsidRPr="00B15F62">
        <w:t>C.</w:t>
      </w:r>
      <w:r w:rsidRPr="00B15F62">
        <w:tab/>
        <w:t>budući da neodgovarajuće usluge vodoopskrbe i sanitarni uvjeti znatno doprinose širenju zaraznih bolesti koje se mogu spriječiti, kao što su kolera, malarija i gastrointestinalne bolesti;</w:t>
      </w:r>
    </w:p>
    <w:p w:rsidR="004C3656" w:rsidRPr="00B15F62" w:rsidP="004C3656" w14:paraId="246492EF" w14:textId="77777777">
      <w:pPr>
        <w:pStyle w:val="NormalHanging12a"/>
      </w:pPr>
      <w:r w:rsidRPr="00B15F62">
        <w:t>D.</w:t>
      </w:r>
      <w:r w:rsidRPr="00B15F62">
        <w:tab/>
        <w:t>budući da klimatske promjene i neodržive ljudske aktivnosti predstavljaju veliku prijetnju za vodne resurse i pojačavaju pritisak na njih; budući da sve veći pritisak na vodne resurse uzrokovan brzo rastućim stanovništvom, sve većom potražnjom te neodrživom upotrebom vode i zemljišta doprinosi nestašici vode, gladi i sukobima;</w:t>
      </w:r>
    </w:p>
    <w:p w:rsidR="004C3656" w:rsidRPr="00B15F62" w:rsidP="004C3656" w14:paraId="41658E13" w14:textId="77777777">
      <w:pPr>
        <w:pStyle w:val="NormalHanging12a"/>
      </w:pPr>
      <w:r w:rsidRPr="00B15F62">
        <w:t>E.</w:t>
      </w:r>
      <w:r w:rsidRPr="00B15F62">
        <w:tab/>
        <w:t xml:space="preserve">budući da je samo otprilike jedna trećina kontinentalnog slivnog područja imala normalne uvjete protoka vode tijekom svake od posljednjih šest godina; budući da je 90 % svih prirodnih katastrofa povezano s vodom; budući da hidrološki ciklusi postaju sve nepredvidljiviji i da ih karakterizira silovito smjenjivanje velikih suša i razornih poplava, potaknuto klimatskim promjenama; budući da je na svim područjima ledenjaka </w:t>
      </w:r>
      <w:r w:rsidRPr="00B15F62">
        <w:t>u svijetu posljednjih godina zabilježen gubitak leda; budući da su ljudske aktivnosti odgovorne za velik dio onečišćenja slatkovodnih resursa diljem svijeta;</w:t>
      </w:r>
    </w:p>
    <w:p w:rsidR="004C3656" w:rsidRPr="00B15F62" w:rsidP="004C3656" w14:paraId="70085208" w14:textId="77777777">
      <w:pPr>
        <w:pStyle w:val="NormalHanging12a"/>
        <w:rPr>
          <w:bCs/>
          <w:iCs/>
        </w:rPr>
      </w:pPr>
      <w:r w:rsidRPr="00B15F62">
        <w:t>F.</w:t>
      </w:r>
      <w:r w:rsidRPr="00B15F62">
        <w:tab/>
        <w:t>budući da su kvantiteta vode i kvaliteta vode jednako važne; budući da dostatno upravljanje i jednim i drugim aspektom stvara gospodarske i društvene prilike;</w:t>
      </w:r>
    </w:p>
    <w:p w:rsidR="004C3656" w:rsidRPr="00B15F62" w:rsidP="004C3656" w14:paraId="0A3FE2AA" w14:textId="77777777">
      <w:pPr>
        <w:pStyle w:val="NormalHanging12a"/>
      </w:pPr>
      <w:r w:rsidRPr="00B15F62">
        <w:t>G.</w:t>
      </w:r>
      <w:r w:rsidRPr="00B15F62">
        <w:tab/>
        <w:t xml:space="preserve">budući da 60 % slatkovodnih tokova u svijetu čine prekogranični vodonosnici, jezera i riječni slivovi koji se prostiru kroz najmanje dvije zemlje; </w:t>
      </w:r>
    </w:p>
    <w:p w:rsidR="004C3656" w:rsidRPr="00B15F62" w:rsidP="004C3656" w14:paraId="4FE73AA5" w14:textId="77777777">
      <w:pPr>
        <w:pStyle w:val="NormalHanging12a"/>
      </w:pPr>
      <w:r w:rsidRPr="00B15F62">
        <w:t>H.</w:t>
      </w:r>
      <w:r w:rsidRPr="00B15F62">
        <w:tab/>
        <w:t xml:space="preserve">budući da unatoč napretku prekogranična suradnja u području voda globalno i dalje nije na dostatnoj razini; budući da su od 153 države članice UN-a koje dijele prekogranične vode samo 43 sklopile operativne sporazume; budući da više od 20 zemalja nema takve aranžmane, a posebno je ograničen napredak zabilježen u Aziji i Latinskoj Americi; </w:t>
      </w:r>
    </w:p>
    <w:p w:rsidR="004C3656" w:rsidRPr="00B15F62" w:rsidP="004C3656" w14:paraId="74C1B031" w14:textId="77777777">
      <w:pPr>
        <w:pStyle w:val="NormalHanging12a"/>
        <w:rPr>
          <w:bCs/>
          <w:iCs/>
        </w:rPr>
      </w:pPr>
      <w:r w:rsidRPr="00B15F62">
        <w:t>I.</w:t>
      </w:r>
      <w:r w:rsidRPr="00B15F62">
        <w:tab/>
        <w:t>budući da se snažnim upravljanjem vodama, transparentnošću i praćenjem u sektoru vodoopskrbe i sanitarnih usluga osigurava da upotreba financijskih sredstava služi javnom interesu i podupire održivi razvoj;</w:t>
      </w:r>
    </w:p>
    <w:p w:rsidR="004C3656" w:rsidRPr="00B15F62" w:rsidP="004C3656" w14:paraId="4591495A" w14:textId="77777777">
      <w:pPr>
        <w:pStyle w:val="NormalHanging12a"/>
      </w:pPr>
      <w:r w:rsidRPr="00B15F62">
        <w:t>J.</w:t>
      </w:r>
      <w:r w:rsidRPr="00B15F62">
        <w:tab/>
        <w:t>budući da pritisci na vodne resurse i jednostrani postupci zemalja kad je riječ o prekograničnim vodama, primjerice onečišćenje, prekomjerno iskorištavanje vode ili izgradnja infrastrukture mogu imati posljedice za sve zemlje s granicama uz te vode; budući da sporovi oko pristupa vodi utječu na razvoj širih sukoba i gospodarski kolaps te da ih mogu poticati, s ozbiljnim posljedicama za regionalnu stabilnost i sigurnost ljudi;</w:t>
      </w:r>
    </w:p>
    <w:p w:rsidR="004C3656" w:rsidRPr="00B15F62" w:rsidP="004C3656" w14:paraId="71B7DDC8" w14:textId="77777777">
      <w:pPr>
        <w:pStyle w:val="NormalHanging12a"/>
      </w:pPr>
      <w:r w:rsidRPr="00B15F62">
        <w:t>K.</w:t>
      </w:r>
      <w:r w:rsidRPr="00B15F62">
        <w:tab/>
        <w:t>budući da su posljednjih godina sukobi oko vode češći od suradnje u tom području; budući da, unatoč postignutom napretku u osiguravanju vode za piće i sanitarnih uvjeta tijekom posljednjeg desetljeća, milijarde ljudi diljem svijeta i dalje nemaju pristup osnovnim uslugama vodoopskrbe, sanitarnim i higijenskim uslugama, zbog čega su izloženi riziku od bolesti i dublje socijalne isključenosti; budući da se određene skupine, posebno žene, djeca, izbjeglice, autohtoni narodi, zajednice u nepovoljnom položaju, osobe s invaliditetom i druge skupine, često zanemaruju ili se suočavaju s diskriminacijom u planiranju i razvoju vodoopskrbne i sanitarne infrastrukture; budući da uništavanje okoliša i rizici povezani s klimom obično nerazmjerno utječu na siromašne i marginalizirane zajednice; budući da kriminalne mreže, terorističke organizacije i lokalne paravojne postrojbe sve više iskorištavaju te uvjete kako bi ojačale svoj utjecaj i promicale svoje programe;</w:t>
      </w:r>
    </w:p>
    <w:p w:rsidR="004C3656" w:rsidRPr="00B15F62" w:rsidP="004C3656" w14:paraId="35C42490" w14:textId="77777777">
      <w:pPr>
        <w:pStyle w:val="NormalHanging12a"/>
      </w:pPr>
      <w:r w:rsidRPr="00B15F62">
        <w:t>L.</w:t>
      </w:r>
      <w:r w:rsidRPr="00B15F62">
        <w:tab/>
        <w:t xml:space="preserve">budući da samo pravedan i održiv pristup vodnim resursima može osigurati dugoročnu predvidljivost za sve; budući da strateška transnacionalna suradnja u području vodnih resursa omogućuje održivo upravljanje ljudskim aktivnostima i zajedničku pripremu za nepredvidljive hidrološke cikluse, na korist svih susjeda;  </w:t>
      </w:r>
    </w:p>
    <w:p w:rsidR="004C3656" w:rsidRPr="00B15F62" w:rsidP="004C3656" w14:paraId="40BB7929" w14:textId="77777777">
      <w:pPr>
        <w:pStyle w:val="NormalHanging12a"/>
      </w:pPr>
      <w:r w:rsidRPr="00B15F62">
        <w:t>M.</w:t>
      </w:r>
      <w:r w:rsidRPr="00B15F62">
        <w:tab/>
        <w:t>budući da je Pakt za Mediteran okvir za pojačanu regionalnu suradnju; budući da bi diplomacija u području voda trebala biti jedna od prioritetnih mjera s obzirom na sve veći pritisak na zajedničke vodne resurse diljem Sredozemlja, među ostalim u regijama kao što su istočno Sredozemlje i sjeverna Afrika; budući da bi kooperativno upravljanje vodama, zajedničke infrastrukturne projekte i dijalog o prekograničnim resursima trebalo prepoznati kao važne alate za sprečavanje sukoba, otpornost na klimatske promjene i održivi razvoj;</w:t>
      </w:r>
    </w:p>
    <w:p w:rsidR="004C3656" w:rsidRPr="00B15F62" w:rsidP="004C3656" w14:paraId="7323F35B" w14:textId="77777777">
      <w:pPr>
        <w:pStyle w:val="NormalHanging12a"/>
      </w:pPr>
      <w:r w:rsidRPr="00B15F62">
        <w:t>N.</w:t>
      </w:r>
      <w:r w:rsidRPr="00B15F62">
        <w:tab/>
        <w:t>budući da oružani sukob i okupacija uvelike ometaju mogućnost pristupa vodi i transnacionalnu suradnju u području voda;</w:t>
      </w:r>
    </w:p>
    <w:p w:rsidR="004C3656" w:rsidRPr="00B15F62" w:rsidP="004C3656" w14:paraId="453BE59E" w14:textId="77777777">
      <w:pPr>
        <w:pStyle w:val="NormalHanging12a"/>
      </w:pPr>
      <w:r w:rsidRPr="00B15F62">
        <w:t>O.</w:t>
      </w:r>
      <w:r w:rsidRPr="00B15F62">
        <w:tab/>
        <w:t>budući da preuzete političke obveze na globalnoj razini koje se odnose na održivo upravljanje vodama nisu popraćene potrebnim financijskim sredstvima ili djelovanjem na terenu;</w:t>
      </w:r>
    </w:p>
    <w:p w:rsidR="004C3656" w:rsidRPr="00B15F62" w:rsidP="004C3656" w14:paraId="25E4A61B" w14:textId="77777777">
      <w:pPr>
        <w:pStyle w:val="NormalHanging12a"/>
      </w:pPr>
      <w:r w:rsidRPr="00B15F62">
        <w:t>P.</w:t>
      </w:r>
      <w:r w:rsidRPr="00B15F62">
        <w:tab/>
        <w:t>budući da međunarodno humanitarno pravo, posebno Dodatni protokoli Ženevskim konvencijama iz 1977., pruža izričitu zaštitu branama i drugim „postrojenjima koja sadrže opasnu silu”; budući da korištenje vode kao oružja, uključujući napade na vodne sustave i objekte ili posljedičnu štetu za okoliš, predstavlja ozbiljno kršenje ljudskih prava i moglo bi predstavljati zločin protiv čovječnosti i ekocid;</w:t>
      </w:r>
    </w:p>
    <w:p w:rsidR="004C3656" w:rsidRPr="00B15F62" w:rsidP="004C3656" w14:paraId="4FC52D21" w14:textId="77777777">
      <w:pPr>
        <w:pStyle w:val="NormalHanging12a"/>
      </w:pPr>
      <w:r w:rsidRPr="00B15F62">
        <w:t>Q.</w:t>
      </w:r>
      <w:r w:rsidRPr="00B15F62">
        <w:tab/>
        <w:t xml:space="preserve">budući da suvremeno ratovanje sve više uključuje namjerne napade na vodne resurse i vodnu infrastrukturu te njihovo korištenje kao oružja, što je nedavno pokazalo razorno rusko uništenje brane </w:t>
      </w:r>
      <w:r w:rsidRPr="00B15F62">
        <w:t>Kahovka</w:t>
      </w:r>
      <w:r w:rsidRPr="00B15F62">
        <w:t xml:space="preserve"> u Ukrajini 2023. godine; budući da je uništenje brane </w:t>
      </w:r>
      <w:r w:rsidRPr="00B15F62">
        <w:t>Kahovka</w:t>
      </w:r>
      <w:r w:rsidRPr="00B15F62">
        <w:t xml:space="preserve"> prouzročilo ozbiljno uništavanje okoliša, uključujući poplave, onečišćenje slatkovodnih resursa, gubitak biološke raznolikosti i dugoročnu štetu ekosustavima, te prouzročilo smrt i masovno raseljavanje civilnog stanovništva i onemogućilo im pristup sigurnoj pitkoj vodi i egzistenciju; budući da je uništenje te brane stvorilo ozbiljne rizike za nuklearnu sigurnost u obližnjoj nuklearnoj elektrani </w:t>
      </w:r>
      <w:r w:rsidRPr="00B15F62">
        <w:t>Zaporižja</w:t>
      </w:r>
      <w:r w:rsidRPr="00B15F62">
        <w:t>; budući da zbog ruske ratne agresije na Ukrajinu oko 1,7 milijuna djece u Ukrajini trenutačno nema pouzdan pristup sigurnoj vodi;</w:t>
      </w:r>
    </w:p>
    <w:p w:rsidR="004C3656" w:rsidRPr="00B15F62" w:rsidP="004C3656" w14:paraId="5A61243A" w14:textId="77777777">
      <w:pPr>
        <w:pStyle w:val="NormalHanging12a"/>
      </w:pPr>
      <w:r w:rsidRPr="00B15F62">
        <w:t>R.</w:t>
      </w:r>
      <w:r w:rsidRPr="00B15F62">
        <w:tab/>
        <w:t>budući da je Parlament najoštrije osudio namjerno rusko uništavanje vodne infrastrukture, uključujući brane, kao ratnog oružja; budući da je spomenuto uništenje prouzročilo ozbiljnu štetu za okoliš, dovelo u pitanje sigurnost opskrbe vodom i ugrozilo civilno stanovništvo; budući da takva djela predstavljaju kršenje međunarodnog prava i iziskuju privođenje pravdi odgovornih osoba; budući da Komisija i države članice EU-a i dalje pružaju pomoć Ukrajini u provedbi istraga nad počiniteljima kako bi ih se moglo kazneno goniti za ratne zločine i zločine protiv čovječnosti;</w:t>
      </w:r>
    </w:p>
    <w:p w:rsidR="004C3656" w:rsidRPr="00B15F62" w:rsidP="004C3656" w14:paraId="5BB7ABB9" w14:textId="77777777">
      <w:pPr>
        <w:pStyle w:val="NormalHanging12a"/>
      </w:pPr>
      <w:r w:rsidRPr="00B15F62">
        <w:t>S.</w:t>
      </w:r>
      <w:r w:rsidRPr="00B15F62">
        <w:tab/>
        <w:t>budući da EU podupire zajedničke izraelsko-palestinske mehanizme upravljanja vodama, uključujući ponovno pokretanje postojećih okvira kao što je Zajednički odbor za vode, s ciljem promicanja pravedne distribucije vode, poboljšane transparentnosti i učinkovitog razvoja infrastrukture; budući da je nejednak pristup zajedničkim vodnim resursima i dalje strukturni pokretač nestabilnosti na Bliskom istoku, posebno u jordanskom riječnom slivu, u kojem povijesne i aktualne neravnoteže u pogledu raspodjele i kontrole za palestinske zajednice produbljuju socioekonomske razlike; budući da u skladu s postojećim aranžmanima izraelske vlasti imaju stvarnu kontrolu nad većinom vodnih resursa na Zapadnoj obali i onih koji teku sa Zapadne obale;</w:t>
      </w:r>
    </w:p>
    <w:p w:rsidR="004C3656" w:rsidRPr="00B15F62" w:rsidP="004C3656" w14:paraId="3043AC34" w14:textId="77777777">
      <w:pPr>
        <w:pStyle w:val="NormalHanging12a"/>
      </w:pPr>
      <w:r w:rsidRPr="00B15F62">
        <w:t>T.</w:t>
      </w:r>
      <w:r w:rsidRPr="00B15F62">
        <w:tab/>
        <w:t xml:space="preserve">budući da zbog sukoba između Izraela i Hamasa dolazi do masovnog uništenja infrastrukture za opskrbu vodom, sanitarne uvjete i higijenu u Pojasu Gaze, uključujući postrojenja za desalinizaciju, postrojenja za pročišćavanje otpadnih voda i distribucijske mreže, zbog čega velik dio stanovništva nema pouzdan pristup sigurnoj vodi za piće te dolazi do sve većih potreba za humanitarnom pomoći; budući da je Ured visokog povjerenika UN-a za ljudska prava u srpnju 2025. izvijestio da je 89 % vodoopskrbne i sanitarne infrastrukture Gaze uništeno ili oštećeno, zbog čega više od 90 % kućanstava nema sigurnu opskrbu vodom; budući da je brza i neometana isporuka materijala, goriva </w:t>
      </w:r>
      <w:r w:rsidRPr="00B15F62">
        <w:t>i tehničke pomoći potrebna za popravak i obnovu kritične vodovodne infrastrukture, uključujući cjevovode, uređaje za desalinizaciju i postrojenja za pročišćavanje otpadnih voda;</w:t>
      </w:r>
    </w:p>
    <w:p w:rsidR="004C3656" w:rsidRPr="00B15F62" w:rsidP="004C3656" w14:paraId="2F32121F" w14:textId="77777777">
      <w:pPr>
        <w:pStyle w:val="NormalHanging12a"/>
      </w:pPr>
      <w:r w:rsidRPr="00B15F62">
        <w:t>U.</w:t>
      </w:r>
      <w:r w:rsidRPr="00B15F62">
        <w:tab/>
        <w:t xml:space="preserve">budući da prekogranični učinci velikih projekata brana koje Turska provodi u okviru projekta Jugoistočna Anatolija (GAP), među kojima je brana </w:t>
      </w:r>
      <w:r w:rsidRPr="00B15F62">
        <w:t>Ilısu</w:t>
      </w:r>
      <w:r w:rsidRPr="00B15F62">
        <w:t xml:space="preserve">, uključuju nizvodan utjecaj na tokove rijeka Tigris i Eufrat i doprinose nestašici vode, poljoprivrednim gubicima i uništavanju okoliša u Iraku i Siriji; budući da je turskim, iračkim i sirijskim dionicima potreban strukturiran i uključiv dijalog, na razini sliva, o upravljanju riječnim sustavom Tigris-Eufrat, na temelju načela međunarodnog vodnog prava, uključujući pravednu i razumnu upotrebu i obvezu </w:t>
      </w:r>
      <w:r w:rsidRPr="00B15F62">
        <w:t>nenanošenja</w:t>
      </w:r>
      <w:r w:rsidRPr="00B15F62">
        <w:t xml:space="preserve"> bitne štete;</w:t>
      </w:r>
    </w:p>
    <w:p w:rsidR="004C3656" w:rsidRPr="00B15F62" w:rsidP="004C3656" w14:paraId="2EEDF0D3" w14:textId="77777777">
      <w:pPr>
        <w:pStyle w:val="NormalHanging12a"/>
      </w:pPr>
      <w:r w:rsidRPr="00B15F62">
        <w:t>V.</w:t>
      </w:r>
      <w:r w:rsidRPr="00B15F62">
        <w:tab/>
        <w:t xml:space="preserve">budući da i dalje postoje napetosti između Egipta i Etiopije nakon dovršetka i inauguracije Velike etiopske renesansne brane (GERD) 2025., koja bi moglo znatno utjecati na </w:t>
      </w:r>
      <w:r w:rsidRPr="00B15F62">
        <w:t>hidropolitičku</w:t>
      </w:r>
      <w:r w:rsidRPr="00B15F62">
        <w:t xml:space="preserve"> ravnotežu u nilskom slivu; budući da je Vijeće sigurnosti UN-a u više navrata raspravljalo o Velikoj etiopskoj renesansnoj brani; budući da bi se sve uključene strane trebale suzdržati od jednostranih mjera koje bi mogle pogoršati napetosti i da bi se trebale usredotočiti na izgradnju povjerenja, uključujući transparentnost u vezi s radom brana i tehničku suradnju u prognoziranju protočnosti;</w:t>
      </w:r>
    </w:p>
    <w:p w:rsidR="004C3656" w:rsidRPr="00B15F62" w:rsidP="004C3656" w14:paraId="793CA604" w14:textId="77777777">
      <w:pPr>
        <w:pStyle w:val="NormalHanging12a"/>
      </w:pPr>
      <w:r w:rsidRPr="00B15F62">
        <w:t>W.</w:t>
      </w:r>
      <w:r w:rsidRPr="00B15F62">
        <w:tab/>
        <w:t>budući da je rijeka Aras ključna za poljoprivredu, gospodarski razvoj i pitku vodu u Armeniji i Azerbajdžanu, no da su kvaliteta i količina vode u rijeci Aras pod pritiskom; budući da bi budući sporazum između Armenije i Azerbajdžana o rješavanju pitanja njihovog zajedničkog prekograničnog vodnog tijela, uključujući mehanizme za razmjenu podataka, zajedničko praćenje, sigurnost brana te pravednu i održivu raspodjelu vode za poljoprivrednu i civilnu upotrebu, omogućio da rijeka bude zajednički resurs, a ne izvor nestabilnosti;</w:t>
      </w:r>
    </w:p>
    <w:p w:rsidR="004C3656" w:rsidRPr="00B15F62" w:rsidP="004C3656" w14:paraId="26B9DFB7" w14:textId="77777777">
      <w:pPr>
        <w:pStyle w:val="NormalHanging12a"/>
      </w:pPr>
      <w:r w:rsidRPr="00B15F62">
        <w:t>X.</w:t>
      </w:r>
      <w:r w:rsidRPr="00B15F62">
        <w:tab/>
        <w:t>budući da se onečišćenje i otpad koji se prenosi rijekama i morskim strujama mogu akumulirati na obalama drugih država, što uzrokuje okolišnu, gospodarsku i socijalnu štetu, među ostalim za turizam i ribarstvo;</w:t>
      </w:r>
    </w:p>
    <w:p w:rsidR="004C3656" w:rsidRPr="00B15F62" w:rsidP="004C3656" w14:paraId="43C8377D" w14:textId="77777777">
      <w:pPr>
        <w:pStyle w:val="NormalHanging12a"/>
      </w:pPr>
      <w:r w:rsidRPr="00B15F62">
        <w:t xml:space="preserve">Y. </w:t>
      </w:r>
      <w:r w:rsidRPr="00B15F62">
        <w:tab/>
        <w:t>budući da nestašica vode i degradacija vodnih resursa mogu dovesti i do masovnog raseljavanja stanovništva i prisilnih migracija, čime bi se pogoršali nesigurnost opskrbe hranom, siromaštvo i nestabilnost u najugroženijim regijama; budući da je poboljšanje upravljanja vodama u trećim zemljama jedan od načina rješavanja temeljnih uzroka migracija;</w:t>
      </w:r>
    </w:p>
    <w:p w:rsidR="004C3656" w:rsidRPr="00B15F62" w:rsidP="004C3656" w14:paraId="73057F3D" w14:textId="77777777">
      <w:pPr>
        <w:pStyle w:val="NormalHanging12a"/>
      </w:pPr>
      <w:r w:rsidRPr="00B15F62">
        <w:t>Z.</w:t>
      </w:r>
      <w:r w:rsidRPr="00B15F62">
        <w:tab/>
        <w:t>budući da naoružani državni i nedržavni akteri u područjima pogođenima sukobima koriste činjenicu da je stanovništvo oslabljeno te preuzimanjem kontrole nad vodnim resursima pokušavaju steći legitimitet; budući da se pristup vodnoj infrastrukturi i kontrola nad njom sve više koriste kao instrumenti političkog pritiska, prisile ili rata;</w:t>
      </w:r>
    </w:p>
    <w:p w:rsidR="004C3656" w:rsidRPr="00B15F62" w:rsidP="004C3656" w14:paraId="34EF3648" w14:textId="77777777">
      <w:pPr>
        <w:pStyle w:val="NormalHanging12a"/>
      </w:pPr>
      <w:r w:rsidRPr="00B15F62">
        <w:t>AA.</w:t>
      </w:r>
      <w:r w:rsidRPr="00B15F62">
        <w:tab/>
        <w:t xml:space="preserve">budući da bi se javno-privatnim partnerstvima trebao promicati bolji i </w:t>
      </w:r>
      <w:r w:rsidRPr="00B15F62">
        <w:t>priuštiviji</w:t>
      </w:r>
      <w:r w:rsidRPr="00B15F62">
        <w:t xml:space="preserve"> pristup vodi, sanitarnim uvjetima i higijeni za sve, posebno izgradnjom vodne infrastrukture, njezinim učinkovitim i održivim održavanjem i upravljanjem; budući da se javnim ulaganjima i politikama treba poticati i motivirati privatni sektor na ulaganje u tehnologije i prakse upravljanja kojima se poboljšava održiva gospodarska aktivnost;</w:t>
      </w:r>
    </w:p>
    <w:p w:rsidR="004C3656" w:rsidRPr="00B15F62" w:rsidP="004C3656" w14:paraId="58022A04" w14:textId="77777777">
      <w:pPr>
        <w:pStyle w:val="NormalHanging12a"/>
      </w:pPr>
      <w:r w:rsidRPr="00B15F62">
        <w:t>1.</w:t>
      </w:r>
      <w:r w:rsidRPr="00B15F62">
        <w:tab/>
        <w:t>preporučuje Vijeću, Komisiji i potpredsjednici Komisije / visokoj predstavnici Unije za vanjske poslove i sigurnosnu politiku da:</w:t>
      </w:r>
    </w:p>
    <w:p w:rsidR="004C3656" w:rsidRPr="00B15F62" w:rsidP="004C3656" w14:paraId="6612CEB1" w14:textId="77777777">
      <w:pPr>
        <w:pStyle w:val="NormalHanging12a"/>
        <w:ind w:left="1134"/>
      </w:pPr>
      <w:r w:rsidRPr="00B15F62">
        <w:t>(a)</w:t>
      </w:r>
      <w:r w:rsidRPr="00B15F62">
        <w:tab/>
        <w:t>povećaju ulogu upravljanja prekograničnim vodama u vanjskom djelovanju EU-a kako bi ono poslužilo kao konstruktivan alat za sprečavanje i rješavanje sukoba te izgradnju povjerenja na regionalnoj, nacionalnoj i međunarodnoj razini, posebno u područjima koja su osjetljiva na učinke klimatskih promjena i u kojima već vlada nestašica vode, osobito u regijama od strateške važnosti; izričito prepoznaju nestašicu vode kao važan sigurnosni, geopolitički i humanitarni faktor rizika te da u potpunosti integriraju sprečavanje sukoba povezanih s vodom u vanjsku, sigurnosnu i razvojnu politiku EU-a;</w:t>
      </w:r>
    </w:p>
    <w:p w:rsidR="004C3656" w:rsidRPr="00B15F62" w:rsidP="004C3656" w14:paraId="7A904413" w14:textId="77777777">
      <w:pPr>
        <w:pStyle w:val="NormalHanging12a"/>
        <w:ind w:left="1134"/>
      </w:pPr>
      <w:r w:rsidRPr="00B15F62">
        <w:t>(b)</w:t>
      </w:r>
      <w:r w:rsidRPr="00B15F62">
        <w:tab/>
        <w:t>riješe problem nedostatka operativnih sporazuma između vlada koje dijele prekogranične vodne slivove i da stave na raspolaganje sve potrebno stručno znanje i tehničku i financijsku pomoć EU-a kako bi se vladama pružila potpora u uspostavi i provedbi takvih dogovora, uključujući organizacije riječnih slivova, uz potpuno poštovanje suverenosti partnerskih zemalja i njihove primarne odgovornosti za upravljanje vodnim resursima radi smanjenja rizika od napetosti ili sukoba, poticanja suradnje i poboljšanja održivog upravljanje prirodnim resursima; dosljedno otvaraju pitanja povezana s transnacionalnim upravljanjem vodama u svojim bilateralnim dijalozima EU-a s partnerskim zemljama;</w:t>
      </w:r>
    </w:p>
    <w:p w:rsidR="004C3656" w:rsidRPr="00B15F62" w:rsidP="004C3656" w14:paraId="0B907CB3" w14:textId="77777777">
      <w:pPr>
        <w:pStyle w:val="NormalHanging12a"/>
        <w:ind w:left="1134"/>
      </w:pPr>
      <w:r w:rsidRPr="00B15F62">
        <w:t>(c)</w:t>
      </w:r>
      <w:r w:rsidRPr="00B15F62">
        <w:tab/>
        <w:t xml:space="preserve">podupru napore partnerskih zemalja da stvore pravno okruženje i poticajnu politiku za kolaborativno upravljanje vodama te ojačaju ulogu transnacionalnog upravljanja vodama u vanjskom djelovanju i diplomaciji EU-a; u tu svrhu Europskoj službi za vanjsko djelovanje (ESVD) i delegacijama EU-a diljem svijeta osiguraju odgovarajuće financijske i ljudske resurse za potporu prekograničnom upravljanju vodama na terenu unutar partnerskih zemalja i između njih te za poticanje razvoja i provedbe plave diplomacije; </w:t>
      </w:r>
    </w:p>
    <w:p w:rsidR="004C3656" w:rsidRPr="00B15F62" w:rsidP="004C3656" w14:paraId="410C92CE" w14:textId="77777777">
      <w:pPr>
        <w:pStyle w:val="NormalHanging12a"/>
        <w:ind w:left="1134"/>
      </w:pPr>
      <w:r w:rsidRPr="00B15F62">
        <w:t>(d)</w:t>
      </w:r>
      <w:r w:rsidRPr="00B15F62">
        <w:tab/>
        <w:t xml:space="preserve">osiguraju primjereno i učinkovito financiranje prekograničnog upravljanja vodama EU-a u okviru vanjskog djelovanja EU-a u sljedećem višegodišnjem financijskom okviru, osobito u sklopu instrumenata Globalne Europe i strategije Global </w:t>
      </w:r>
      <w:r w:rsidRPr="00B15F62">
        <w:t>Gateway</w:t>
      </w:r>
      <w:r w:rsidRPr="00B15F62">
        <w:t xml:space="preserve">; ojačaju prilagodbu vanjskih ulaganja EU-a u pristup vodi i sanitarnim uslugama u nestabilnim okruženjima pogođenima sukobima kako bi se poduprli mir i otpornost, među ostalim putem povećanog financiranja globalnog pristupa klimatski otpornom i održivom upravljanju vodama te infrastrukturi za opskrbu vodom i </w:t>
      </w:r>
      <w:r w:rsidRPr="00B15F62">
        <w:t>sanitaciju</w:t>
      </w:r>
      <w:r w:rsidRPr="00B15F62">
        <w:t xml:space="preserve">; osiguraju da infrastrukturni i energetski projekti koji se financiraju iz instrumenata razvojne suradnje i vanjske politike EU-a, uključujući Europsku investicijsku banku, nastave biti u potpunosti usklađeni s međunarodnim pravom, ne ugrožavaju prekogranične odnose u području voda, jednak pristup i održivo upravljanje te olakšavaju ljudima pristup njihovoj zemlji, posebno autohtonim narodima; usklade financiranje s globalnim vodećim mjerama prve strategije EU-a za otpornost vodoopskrbe; </w:t>
      </w:r>
    </w:p>
    <w:p w:rsidR="004C3656" w:rsidRPr="00B15F62" w:rsidP="004C3656" w14:paraId="1A68B005" w14:textId="77777777">
      <w:pPr>
        <w:pStyle w:val="NormalHanging12a"/>
        <w:ind w:left="1134"/>
      </w:pPr>
      <w:r w:rsidRPr="00B15F62">
        <w:t>(e)</w:t>
      </w:r>
      <w:r w:rsidRPr="00B15F62">
        <w:tab/>
        <w:t xml:space="preserve">prepoznaju i povećaju potporu za ključnu važnost rada boraca za prava u području okoliša i organizacija civilnog društva u korist očuvanja vode, jednakog pristupa i prekograničnog upravljanja vodama; što više uključe lokalne borce za prava u području okoliša i organizacije civilnog društva u potporu EU-a transnacionalnom upravljanju vodama u zemljama izvan EU-a i promiču njihovu sigurnost i slobodu da djeluju bez nasilja i zastrašivanja; povećaju namjensku financijsku potporu nevladinim organizacijama koje djeluju u području diplomacije u području voda, sprečavanja sukoba i prekogranične suradnje u području voda, posebno u nestabilnim regijama i regijama zahvaćenima sukobima, prepoznajući njihovu </w:t>
      </w:r>
      <w:r w:rsidRPr="00B15F62">
        <w:t xml:space="preserve">važnu ulogu u olakšavanju dijaloga na lokalnoj i regionalnoj razini, podupiranju upravljanja vodama u zajednici, promicanju izgradnje povjerenja i doprinosu održivim i </w:t>
      </w:r>
      <w:r w:rsidRPr="00B15F62">
        <w:t>uključivim</w:t>
      </w:r>
      <w:r w:rsidRPr="00B15F62">
        <w:t xml:space="preserve"> inicijativama za upravljanje vodama;</w:t>
      </w:r>
    </w:p>
    <w:p w:rsidR="004C3656" w:rsidRPr="00B15F62" w:rsidP="004C3656" w14:paraId="3D3578B9" w14:textId="77777777">
      <w:pPr>
        <w:pStyle w:val="NormalHanging12a"/>
        <w:ind w:left="1134"/>
      </w:pPr>
      <w:r w:rsidRPr="00B15F62">
        <w:t>(f)</w:t>
      </w:r>
      <w:r w:rsidRPr="00B15F62">
        <w:tab/>
      </w:r>
      <w:bookmarkStart w:id="7" w:name="_Hlk231546271"/>
      <w:r w:rsidRPr="00B15F62">
        <w:t>prošire geografski opseg projekata EU-a za prekogranično upravljanje vodama i izvan određenih dijelova Afrike i središnje Azije, na sjevernu i južnu Ameriku, Bliski istok i sjevernu Afriku te istočnu i južnu Aziju primjenom pristupa</w:t>
      </w:r>
      <w:bookmarkEnd w:id="7"/>
      <w:r w:rsidRPr="00B15F62">
        <w:t xml:space="preserve"> Tima Europa, osobito u kojima nesigurnost opskrbe vodom može doprinijeti nestabilnosti i raseljavanju;</w:t>
      </w:r>
    </w:p>
    <w:p w:rsidR="004C3656" w:rsidRPr="00B15F62" w:rsidP="004C3656" w14:paraId="476520EE" w14:textId="77777777">
      <w:pPr>
        <w:pStyle w:val="NormalHanging12a"/>
        <w:ind w:left="1134"/>
      </w:pPr>
      <w:r w:rsidRPr="00B15F62">
        <w:t>(g)</w:t>
      </w:r>
      <w:r w:rsidRPr="00B15F62">
        <w:tab/>
        <w:t>ojačaju održivo upravljanje vodama i otpadnim vodama sustavnim uključivanjem suradnje u području infrastrukture, tehnologija i stručnog znanja u partnerstva i razvojne programe; podrže izgradnju kapaciteta i jačanje institucija u partnerskim zemljama u cilju poboljšanja planiranja, upravljanja i održavanja usluga vodoopskrbe i odvodnje, među ostalim putem partnerstava s lokalnim tijelima, javnim službama, civilnim društvom i organizacijama u zajednici; prilagode infrastrukturna ulaganja lokalnom i povijesnom kontekstu kako bi voda postala instrument mira i stabilnosti;</w:t>
      </w:r>
    </w:p>
    <w:p w:rsidR="004C3656" w:rsidRPr="00B15F62" w:rsidP="004C3656" w14:paraId="0DAD2E7E" w14:textId="77777777">
      <w:pPr>
        <w:pStyle w:val="NormalHanging12a"/>
        <w:ind w:left="1134"/>
      </w:pPr>
      <w:r w:rsidRPr="00B15F62">
        <w:t>(h)</w:t>
      </w:r>
      <w:r w:rsidRPr="00B15F62">
        <w:tab/>
        <w:t xml:space="preserve">ojačaju multilateralnu suradnju u području vode, posebno unutar UN-a nastavkom i jačanjem globalizacije Konvencije UN-a o vodama te podupiranjem provedbe ciljeva održivog razvoja, posebno šestog cilja održivog razvoja koji se odnosi na čistu vodu i dobre sanitarne uvjete te rješavanjem problema velikih nejednakosti među zemljama i unutar njih u pristupu vodi i </w:t>
      </w:r>
      <w:r w:rsidRPr="00B15F62">
        <w:t>sanitaciji</w:t>
      </w:r>
      <w:r w:rsidRPr="00B15F62">
        <w:t>; osiguraju kontinuiranu provedbu preuzetih obveza EU-a s Konferencije UN-a o vodama 2023., uz istodobno održavanje tih ambicija i djelovanja u okviru priprema za Konferenciju UN-a o vodama 2026.; pojačaju višerazinske dijaloge sa zemljama u područjima sklonima sukobima, uključujući sastanke na vrhu i zajedničke inicijative, kao i dugoročne oblike suradnje;</w:t>
      </w:r>
    </w:p>
    <w:p w:rsidR="004C3656" w:rsidRPr="00B15F62" w:rsidP="004C3656" w14:paraId="47DD5E0E" w14:textId="77777777">
      <w:pPr>
        <w:pStyle w:val="NormalHanging12a"/>
        <w:ind w:left="1134"/>
      </w:pPr>
      <w:r w:rsidRPr="00B15F62">
        <w:t>(i)</w:t>
      </w:r>
      <w:r w:rsidRPr="00B15F62">
        <w:tab/>
        <w:t>naglase da učinkovito prekogranično upravljanje vodama ovisi o očuvanju bioraznolikosti i klime te stoga zahtijeva da upravljanje vodama prvenstveno odgovori na okolišne interese, koji su osnovna potreba za biljke, životinje i ljude, te da kao takvo bude vođeno logikom koja se temelji na javnom interesu te zajedničkim javnim i univerzalnim dobrima;</w:t>
      </w:r>
    </w:p>
    <w:p w:rsidR="004C3656" w:rsidRPr="00B15F62" w:rsidP="004C3656" w14:paraId="126E2777" w14:textId="77777777">
      <w:pPr>
        <w:pStyle w:val="NormalHanging12a"/>
        <w:ind w:left="1134"/>
      </w:pPr>
      <w:r w:rsidRPr="00B15F62">
        <w:t>(j)</w:t>
      </w:r>
      <w:r w:rsidRPr="00B15F62">
        <w:tab/>
        <w:t>ojačaju globalnu otpornost vodoopskrbe kao sredstva za poticanje stabilnosti učinkovitom provedbom strategije EU-a za otpornost vodoopskrbe, posebno njezinih globalnih mjera usmjerenih na podupiranje pristupa vodi i sanitarnim uvjetima za najmanje 70 milijuna ljudi te na jačanje globalnog upravljanja vodama i angažmana u multilateralnim forumima kao što su skupine G7, G20 i dijalog o vodi za klimatsko djelovanje iz Bakua;</w:t>
      </w:r>
    </w:p>
    <w:p w:rsidR="004C3656" w:rsidRPr="00B15F62" w:rsidP="004C3656" w14:paraId="26ECB4AF" w14:textId="77777777">
      <w:pPr>
        <w:pStyle w:val="NormalHanging12a"/>
        <w:ind w:left="1134"/>
      </w:pPr>
      <w:r w:rsidRPr="00B15F62">
        <w:t>(k)</w:t>
      </w:r>
      <w:r w:rsidRPr="00B15F62">
        <w:tab/>
        <w:t>ulože u transparentniji pregled cjelokupne potpore EU-a koja je trenutačno namijenjena promicanju prekograničnog upravljanja vodama na međunarodnoj razini i osiguraju usklađenost i racionalizaciju svih aktivnosti i financiranja u svim relevantnim glavnim upravama te između ESVD-a i Komisije, istodobno osiguravajući da se različiti programi međusobno nadopunjuju i da se ne preklapaju; ojačaju komunikaciju o naporima i postignućima EU-a u pogledu prekogranične suradnje u području voda kako bi se povećala vidljivost tog ključnog alata i vodeća uloga EU-a u njegovoj provedbi;</w:t>
      </w:r>
    </w:p>
    <w:p w:rsidR="004C3656" w:rsidRPr="00B15F62" w:rsidP="004C3656" w14:paraId="61DC56BE" w14:textId="77777777">
      <w:pPr>
        <w:pStyle w:val="NormalHanging12a"/>
        <w:ind w:left="1134"/>
      </w:pPr>
      <w:r w:rsidRPr="00B15F62">
        <w:t>(l)</w:t>
      </w:r>
      <w:r w:rsidRPr="00B15F62">
        <w:tab/>
        <w:t xml:space="preserve">promiču pojačanu međunarodnu suradnju, među ostalim na razini organizacija riječnih slivova, kako bi se odgovorilo na sve veću krizu povezanu s vodom; osiguraju i poboljšaju pristup čistoj i visokokvalitetnoj vodi i </w:t>
      </w:r>
      <w:r w:rsidRPr="00B15F62">
        <w:t>sanitaciji</w:t>
      </w:r>
      <w:r w:rsidRPr="00B15F62">
        <w:t xml:space="preserve">; promiču održivo upravljanje vodama, povećanje ponovne uporabe vode, rješavanje problema onečišćenja vode, prekomjerne uporabe i otpada te provedbu različitih inovativnih vodnih tehnologija, uključujući prirodna rješenja;  </w:t>
      </w:r>
    </w:p>
    <w:p w:rsidR="004C3656" w:rsidRPr="00B15F62" w:rsidP="004C3656" w14:paraId="5CF8A790" w14:textId="77777777">
      <w:pPr>
        <w:pStyle w:val="NormalHanging12a"/>
        <w:ind w:left="1134"/>
      </w:pPr>
      <w:r w:rsidRPr="00B15F62">
        <w:t>(m)</w:t>
      </w:r>
      <w:r w:rsidRPr="00B15F62">
        <w:tab/>
        <w:t>osiguraju da se vodnim inicijativama EU-a diljem svijeta rješavaju problemi kontinuiranog nedostatka podataka i nedovoljne razmjene podataka među vladama tako da se partnerskim zemljama osiguraju tehnički i fizički resursi za učinkovito praćenje razine vode i kvalitete prekograničnih slivova i da se razmjenjuju podaci i potiču zajednički standardi prikupljanja podataka među partnerskim zemljama radi veće kompatibilnosti; budu vjerodostojan i pouzdan akter u olakšavanju razmjene pouzdanih informacija o vodi među vladama, dionicima i javnošću u okolnostima nestašice vode i visoke razine napetosti, uključujući kada je dijeljenje informacija osjetljivo zbog zabrinutosti u pogledu sigurnosti; polazeći od relevantnog iskustva, programa, praksi i strategija EU-a unaprijede razmjenu najboljih praksi među regionalnim i nacionalnim akterima, nadovezujući se na relevantne programe, prakse i strategije EU-a;</w:t>
      </w:r>
    </w:p>
    <w:p w:rsidR="004C3656" w:rsidRPr="00B15F62" w:rsidP="004C3656" w14:paraId="4A4138C5" w14:textId="729589D6">
      <w:pPr>
        <w:pStyle w:val="NormalHanging12a"/>
        <w:ind w:left="1134"/>
      </w:pPr>
      <w:r w:rsidRPr="00B15F62">
        <w:t>(n)</w:t>
      </w:r>
      <w:r w:rsidRPr="00B15F62">
        <w:tab/>
        <w:t>promiču instrumente međuvladine i regionalne suradnje u upravljanju vodnim resursima, s posebnim naglaskom na osiguravanju pravedne raspodjele vode, i podupiru strukture upravljanja na lokalnoj razini i razini zajednice; razmotre podupiranje javno-privatnih partnerstava ako ona doprinose učinkovitom upravljanju vodama i cjenovno pristupačnijem pristupu vodi, sanitarnim uslugama i higijeni za sve; potiču ulaganja malih poljoprivrednika i većih poduzeća u tehnologije i prakse upravljanja kojima se poboljšava primjena održivih poljoprivrednih praksi u proizvodnji usjeva, stoke i ribe;</w:t>
      </w:r>
    </w:p>
    <w:p w:rsidR="004C3656" w:rsidRPr="00B15F62" w:rsidP="004C3656" w14:paraId="432BC844" w14:textId="77777777">
      <w:pPr>
        <w:pStyle w:val="NormalHanging12a"/>
        <w:ind w:left="1134"/>
      </w:pPr>
      <w:r w:rsidRPr="00B15F62">
        <w:t>(o)</w:t>
      </w:r>
      <w:r w:rsidRPr="00B15F62">
        <w:tab/>
        <w:t>istaknu načelo usklađenosti politika radi razvoja i usklađivanja politika EU-a s razvojnim prioritetima partnerskih zemalja, na temelju procjena njihova učinka na lokalne resurse, kako bi se zajednički izbjeglo iscrpljivanje ili onečišćenje voda u zemljama koje nisu članice EU-a;</w:t>
      </w:r>
    </w:p>
    <w:p w:rsidR="004C3656" w:rsidRPr="00B15F62" w:rsidP="004C3656" w14:paraId="01AEA55C" w14:textId="77777777">
      <w:pPr>
        <w:pStyle w:val="NormalHanging12a"/>
        <w:ind w:left="1134"/>
      </w:pPr>
      <w:r w:rsidRPr="00B15F62">
        <w:t>(p)</w:t>
      </w:r>
      <w:r w:rsidRPr="00B15F62">
        <w:tab/>
        <w:t>poboljšaju provedbu integriranog upravljanja vodnim resursima kao osnovnog alata kojim se promiču koordinirani razvoj i održivo upravljanje vodama, zemljištem i povezanim resursima, među ostalim i prekogranično, u skladu s indikatorom cilja održivog razvoja 6.5.2., na obostranu korist država koje dijele vodne resurse, te ističući važnost povezanosti vode, energije, hrane i ekosustava za sinergije i kompromise u pogledu vode u cijelom vanjskom djelovanju EU-a;</w:t>
      </w:r>
    </w:p>
    <w:p w:rsidR="004C3656" w:rsidRPr="00B15F62" w:rsidP="004C3656" w14:paraId="240A66EE" w14:textId="77777777">
      <w:pPr>
        <w:pStyle w:val="NormalHanging12a"/>
        <w:ind w:left="1134"/>
      </w:pPr>
      <w:r w:rsidRPr="00B15F62">
        <w:t>(q)</w:t>
      </w:r>
      <w:r w:rsidRPr="00B15F62">
        <w:tab/>
        <w:t xml:space="preserve">povećaju kapacitete EU-a za praćenje i rano upozoravanje digitalizacijom i modernim tehnologijama, uključujući satelitski nadzor i praćenje onečišćenja u stvarnom vremenu, što je ključno za sprečavanje i borbu protiv prekograničnog onečišćenja kao potpora smanjenju rizika od katastrofa; </w:t>
      </w:r>
      <w:bookmarkStart w:id="8" w:name="_Hlk231546757"/>
      <w:r w:rsidRPr="00B15F62">
        <w:t>ojačaju praćenje nestašica vode i rizika od sukoba povezanih s vodom diljem svijeta, uključujući korištenje vode i vodne infrastrukture kao oružja i namjerno uskraćivanje pristupa vodi, i da ga integriraju u sustave za sprečavanje sukoba Centra ESVD-a za odgovor na krizne situacije;</w:t>
      </w:r>
      <w:bookmarkEnd w:id="8"/>
    </w:p>
    <w:p w:rsidR="004C3656" w:rsidRPr="00B15F62" w:rsidP="004C3656" w14:paraId="3E1B8E42" w14:textId="77777777">
      <w:pPr>
        <w:pStyle w:val="NormalHanging12a"/>
        <w:ind w:left="1134"/>
      </w:pPr>
      <w:r w:rsidRPr="00B15F62">
        <w:t>(r)</w:t>
      </w:r>
      <w:r w:rsidRPr="00B15F62">
        <w:tab/>
        <w:t xml:space="preserve">potiču i financiraju istraživanja o održivom prekograničnom upravljanju vodama, </w:t>
      </w:r>
      <w:r w:rsidRPr="00B15F62">
        <w:t>dijeljenju vode, suradnji i inovacijama, među ostalim u okviru programa Obzor Europa i istražuju nove izazove kao što su aktivnosti modifikacije vremenskih uvjeta;</w:t>
      </w:r>
    </w:p>
    <w:p w:rsidR="004C3656" w:rsidRPr="00B15F62" w:rsidP="004C3656" w14:paraId="422D43A2" w14:textId="77777777">
      <w:pPr>
        <w:pStyle w:val="NormalHanging12a"/>
        <w:ind w:left="1134"/>
      </w:pPr>
      <w:r w:rsidRPr="00B15F62">
        <w:t>(s)</w:t>
      </w:r>
      <w:r w:rsidRPr="00B15F62">
        <w:tab/>
        <w:t>razmotre zaduživanje posebnog predstavnika EU-a za ljudska prava za sprečavanje i rješavanje sukoba povezanih s vodom, promicanje suradnje i vladavine prava u sferi vode te zaštitu izvora vode i vodnih sustava, među ostalim tijekom oružanih sukoba i u prekograničnom kontekstu, te za vođenje, u ime EU-a, međunarodnih napora za zaštitu i obnovu vodnih ekosustava u skladu s ciljem održivog razvoja br. 6 jer je otpornost vodoopskrbe ključna za rješavanje trenutačnih i budućih zdravstvenih, prehrambenih, energetskih i sigurnosnih kriza; savjetuju se s Parlamentom o mandatu, resursima i dogovorima o suradnji kojima se podupire rad posebnog predstavnika EU-a za ljudska prava;</w:t>
      </w:r>
    </w:p>
    <w:p w:rsidR="004C3656" w:rsidRPr="00B15F62" w:rsidP="004C3656" w14:paraId="5D886688" w14:textId="77777777">
      <w:pPr>
        <w:pStyle w:val="NormalHanging12a"/>
        <w:ind w:left="1134"/>
      </w:pPr>
      <w:r w:rsidRPr="00B15F62">
        <w:t>(t)</w:t>
      </w:r>
      <w:r w:rsidRPr="00B15F62">
        <w:tab/>
        <w:t>ojačaju ulogu međunarodnog prava i nadležnih međunarodnih sudova te promiču dijalog, posredovanje i regionalna rješenja kao primarne alate za rješavanje sporova oko transnacionalnih vodnih tijela kako bi se osigurala jasnoća i odgovornost u pogledu pravnih obveza svih država koje graniče s dotičnim vodama; sustavno osuđuju upotrebu vode kao oružja u sukobima; osiguraju da se počinitelji privedu pravdi;</w:t>
      </w:r>
    </w:p>
    <w:p w:rsidR="004C3656" w:rsidRPr="00B15F62" w:rsidP="004C3656" w14:paraId="54D25096" w14:textId="3B3BB72F">
      <w:pPr>
        <w:pStyle w:val="NormalHanging12a"/>
        <w:ind w:left="993" w:hanging="426"/>
      </w:pPr>
      <w:r w:rsidRPr="00B15F62">
        <w:t>(u)</w:t>
      </w:r>
      <w:r w:rsidRPr="00B15F62">
        <w:tab/>
        <w:t xml:space="preserve">podupru pravne inicijative usmjerene na osiguravanje pravde i obeštećenje za namjerno ciljanje i uništavanje zaliha vode i </w:t>
      </w:r>
      <w:r w:rsidRPr="00B15F62" w:rsidR="00302208">
        <w:t>vodoopskrbne</w:t>
      </w:r>
      <w:r w:rsidRPr="00B15F62">
        <w:t xml:space="preserve"> infrastrukture;</w:t>
      </w:r>
    </w:p>
    <w:p w:rsidR="00B15F62" w:rsidRPr="00B15F62" w:rsidP="00B15F62" w14:paraId="236A7AE3" w14:textId="7B459650">
      <w:pPr>
        <w:pStyle w:val="NormalHanging12a"/>
      </w:pPr>
      <w:r w:rsidRPr="00B15F62">
        <w:t>2.</w:t>
      </w:r>
      <w:r w:rsidRPr="00B15F62">
        <w:tab/>
        <w:t>nalaže svojoj predsjednici da ovu preporuku proslijedi Vijeću, Komisiji i potpredsjednici Komisije / visokoj predstavnici Unije za vanjsku politiku i sigurnosna pitanja.</w:t>
      </w:r>
    </w:p>
    <w:p w:rsidR="00E365E1" w:rsidRPr="00B15F62" w:rsidP="002B7678" w14:paraId="334EABFC" w14:textId="090D5EE1"/>
    <w:sectPr w:rsidSect="00B15F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15F62" w14:paraId="79B9B1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15F62" w14:paraId="32639910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15F62" w14:paraId="3B6C1FBF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96294D" w:rsidRPr="00B15F62" w14:paraId="3A882E93" w14:textId="77777777">
      <w:r w:rsidRPr="00B15F62">
        <w:separator/>
      </w:r>
    </w:p>
  </w:footnote>
  <w:footnote w:type="continuationSeparator" w:id="1">
    <w:p w:rsidR="0096294D" w:rsidRPr="00B15F62" w14:paraId="76E441DA" w14:textId="77777777">
      <w:r w:rsidRPr="00B15F62">
        <w:continuationSeparator/>
      </w:r>
    </w:p>
  </w:footnote>
  <w:footnote w:id="2">
    <w:p w:rsidR="004C3656" w:rsidRPr="00B15F62" w:rsidP="00B15F62" w14:paraId="5DA595B3" w14:textId="788CF1EF">
      <w:pPr>
        <w:pStyle w:val="FootnoteText"/>
        <w:ind w:left="567" w:hanging="567"/>
        <w:rPr>
          <w:sz w:val="24"/>
          <w:lang w:val="hr-HR"/>
        </w:rPr>
      </w:pPr>
      <w:r w:rsidRPr="00B15F62">
        <w:rPr>
          <w:rStyle w:val="FootnoteReference"/>
          <w:sz w:val="24"/>
          <w:lang w:val="hr-HR"/>
        </w:rPr>
        <w:footnoteRef/>
      </w:r>
      <w:r w:rsidRPr="00B15F62" w:rsidR="00B15F62">
        <w:rPr>
          <w:sz w:val="24"/>
          <w:lang w:val="hr-HR"/>
        </w:rPr>
        <w:t xml:space="preserve"> </w:t>
      </w:r>
      <w:r w:rsidRPr="00B15F62" w:rsidR="00B15F62">
        <w:rPr>
          <w:sz w:val="24"/>
          <w:lang w:val="hr-HR"/>
        </w:rPr>
        <w:tab/>
      </w:r>
      <w:r w:rsidRPr="00B15F62">
        <w:rPr>
          <w:sz w:val="24"/>
          <w:lang w:val="hr-HR"/>
        </w:rPr>
        <w:t xml:space="preserve">SL C, C/2026/576, 24.2.2026., ELI: </w:t>
      </w:r>
      <w:hyperlink r:id="rId1" w:history="1">
        <w:r w:rsidRPr="00B15F62">
          <w:rPr>
            <w:rStyle w:val="Hyperlink"/>
            <w:sz w:val="24"/>
            <w:lang w:val="hr-HR"/>
          </w:rPr>
          <w:t>http://data.europa.eu/eli/C/2026/576/oj</w:t>
        </w:r>
      </w:hyperlink>
      <w:r w:rsidRPr="00B15F62">
        <w:rPr>
          <w:sz w:val="24"/>
          <w:lang w:val="hr-HR"/>
        </w:rPr>
        <w:t>.</w:t>
      </w:r>
    </w:p>
  </w:footnote>
  <w:footnote w:id="3">
    <w:p w:rsidR="004C3656" w:rsidRPr="00B15F62" w:rsidP="00B15F62" w14:paraId="346CE64B" w14:textId="400CA848">
      <w:pPr>
        <w:pStyle w:val="FootnoteText"/>
        <w:ind w:left="567" w:hanging="567"/>
        <w:rPr>
          <w:sz w:val="24"/>
          <w:lang w:val="hr-HR"/>
        </w:rPr>
      </w:pPr>
      <w:r w:rsidRPr="00B15F62">
        <w:rPr>
          <w:rStyle w:val="FootnoteReference"/>
          <w:sz w:val="24"/>
          <w:lang w:val="hr-HR"/>
        </w:rPr>
        <w:footnoteRef/>
      </w:r>
      <w:r w:rsidRPr="00B15F62" w:rsidR="00B15F62">
        <w:rPr>
          <w:sz w:val="24"/>
          <w:lang w:val="hr-HR"/>
        </w:rPr>
        <w:t xml:space="preserve"> </w:t>
      </w:r>
      <w:r w:rsidRPr="00B15F62" w:rsidR="00B15F62">
        <w:rPr>
          <w:sz w:val="24"/>
          <w:lang w:val="hr-HR"/>
        </w:rPr>
        <w:tab/>
      </w:r>
      <w:r w:rsidRPr="00B15F62">
        <w:rPr>
          <w:sz w:val="24"/>
          <w:lang w:val="hr-HR"/>
        </w:rPr>
        <w:t>SL C 132, 14.4.2023., str. 54.</w:t>
      </w:r>
    </w:p>
  </w:footnote>
  <w:footnote w:id="4">
    <w:p w:rsidR="004C3656" w:rsidRPr="00B15F62" w:rsidP="00B15F62" w14:paraId="50CBA529" w14:textId="6FC4FDDD">
      <w:pPr>
        <w:pStyle w:val="FootnoteText"/>
        <w:ind w:left="567" w:hanging="567"/>
        <w:rPr>
          <w:sz w:val="24"/>
          <w:lang w:val="hr-HR"/>
        </w:rPr>
      </w:pPr>
      <w:r w:rsidRPr="00B15F62">
        <w:rPr>
          <w:rStyle w:val="FootnoteReference"/>
          <w:sz w:val="24"/>
          <w:lang w:val="hr-HR"/>
        </w:rPr>
        <w:footnoteRef/>
      </w:r>
      <w:r w:rsidRPr="00B15F62" w:rsidR="00B15F62">
        <w:rPr>
          <w:sz w:val="24"/>
          <w:lang w:val="hr-HR"/>
        </w:rPr>
        <w:t xml:space="preserve"> </w:t>
      </w:r>
      <w:r w:rsidRPr="00B15F62" w:rsidR="00B15F62">
        <w:rPr>
          <w:sz w:val="24"/>
          <w:lang w:val="hr-HR"/>
        </w:rPr>
        <w:tab/>
      </w:r>
      <w:r w:rsidRPr="00B15F62">
        <w:rPr>
          <w:sz w:val="24"/>
          <w:lang w:val="hr-HR"/>
        </w:rPr>
        <w:t xml:space="preserve">SL C, C/2025/4390, 9.9.2025., ELI: </w:t>
      </w:r>
      <w:hyperlink r:id="rId2" w:history="1">
        <w:r w:rsidRPr="00B15F62">
          <w:rPr>
            <w:rStyle w:val="Hyperlink"/>
            <w:sz w:val="24"/>
            <w:lang w:val="hr-HR"/>
          </w:rPr>
          <w:t>http://data.europa.eu/eli/C/2025/4390/oj</w:t>
        </w:r>
      </w:hyperlink>
      <w:r w:rsidRPr="00B15F62">
        <w:rPr>
          <w:sz w:val="24"/>
          <w:lang w:val="hr-HR"/>
        </w:rPr>
        <w:t>.</w:t>
      </w:r>
    </w:p>
  </w:footnote>
  <w:footnote w:id="5">
    <w:p w:rsidR="004C3656" w:rsidRPr="00B15F62" w:rsidP="00B15F62" w14:paraId="2F8BEE89" w14:textId="479FAE88">
      <w:pPr>
        <w:pStyle w:val="FootnoteText"/>
        <w:ind w:left="567" w:hanging="567"/>
        <w:rPr>
          <w:sz w:val="24"/>
          <w:lang w:val="hr-HR"/>
        </w:rPr>
      </w:pPr>
      <w:r w:rsidRPr="00B15F62">
        <w:rPr>
          <w:rStyle w:val="FootnoteReference"/>
          <w:sz w:val="24"/>
          <w:lang w:val="hr-HR"/>
        </w:rPr>
        <w:footnoteRef/>
      </w:r>
      <w:r w:rsidRPr="00B15F62" w:rsidR="00B15F62">
        <w:rPr>
          <w:sz w:val="24"/>
          <w:lang w:val="hr-HR"/>
        </w:rPr>
        <w:t xml:space="preserve"> </w:t>
      </w:r>
      <w:r w:rsidRPr="00B15F62" w:rsidR="00B15F62">
        <w:rPr>
          <w:sz w:val="24"/>
          <w:lang w:val="hr-HR"/>
        </w:rPr>
        <w:tab/>
      </w:r>
      <w:r w:rsidRPr="00B15F62">
        <w:rPr>
          <w:sz w:val="24"/>
          <w:lang w:val="hr-HR"/>
        </w:rPr>
        <w:t>Usvojeni tekstovi, P10_TA(2026)0014.</w:t>
      </w:r>
    </w:p>
  </w:footnote>
  <w:footnote w:id="6">
    <w:p w:rsidR="004C3656" w:rsidRPr="00B15F62" w:rsidP="00B15F62" w14:paraId="264AD30A" w14:textId="58753BE6">
      <w:pPr>
        <w:pStyle w:val="FootnoteText"/>
        <w:ind w:left="567" w:hanging="567"/>
        <w:rPr>
          <w:sz w:val="24"/>
          <w:lang w:val="hr-HR"/>
        </w:rPr>
      </w:pPr>
      <w:r w:rsidRPr="00B15F62">
        <w:rPr>
          <w:rStyle w:val="FootnoteReference"/>
          <w:sz w:val="24"/>
          <w:lang w:val="hr-HR"/>
        </w:rPr>
        <w:footnoteRef/>
      </w:r>
      <w:r w:rsidRPr="00B15F62" w:rsidR="00B15F62">
        <w:rPr>
          <w:sz w:val="24"/>
          <w:lang w:val="hr-HR"/>
        </w:rPr>
        <w:t xml:space="preserve"> </w:t>
      </w:r>
      <w:r w:rsidRPr="00B15F62" w:rsidR="00B15F62">
        <w:rPr>
          <w:sz w:val="24"/>
          <w:lang w:val="hr-HR"/>
        </w:rPr>
        <w:tab/>
      </w:r>
      <w:r w:rsidRPr="00B15F62">
        <w:rPr>
          <w:sz w:val="24"/>
          <w:lang w:val="hr-HR"/>
        </w:rPr>
        <w:t xml:space="preserve">SL C, C/2025/769, 11.2.2025., ELI: </w:t>
      </w:r>
      <w:hyperlink r:id="rId3" w:history="1">
        <w:r w:rsidRPr="00B15F62">
          <w:rPr>
            <w:rStyle w:val="Hyperlink"/>
            <w:sz w:val="24"/>
            <w:lang w:val="hr-HR"/>
          </w:rPr>
          <w:t>http://data.europa.eu/eli/C/2025/769/oj</w:t>
        </w:r>
      </w:hyperlink>
      <w:r w:rsidRPr="00B15F62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15F62" w14:paraId="2682A5C2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15F62" w14:paraId="791753C4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15F62" w14:paraId="7359EF0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96458557">
    <w:abstractNumId w:val="9"/>
  </w:num>
  <w:num w:numId="2" w16cid:durableId="1654720761">
    <w:abstractNumId w:val="9"/>
  </w:num>
  <w:num w:numId="3" w16cid:durableId="429279566">
    <w:abstractNumId w:val="7"/>
  </w:num>
  <w:num w:numId="4" w16cid:durableId="1970628765">
    <w:abstractNumId w:val="7"/>
  </w:num>
  <w:num w:numId="5" w16cid:durableId="841552031">
    <w:abstractNumId w:val="6"/>
  </w:num>
  <w:num w:numId="6" w16cid:durableId="915087699">
    <w:abstractNumId w:val="6"/>
  </w:num>
  <w:num w:numId="7" w16cid:durableId="873158572">
    <w:abstractNumId w:val="5"/>
  </w:num>
  <w:num w:numId="8" w16cid:durableId="1463576531">
    <w:abstractNumId w:val="5"/>
  </w:num>
  <w:num w:numId="9" w16cid:durableId="1245535666">
    <w:abstractNumId w:val="4"/>
  </w:num>
  <w:num w:numId="10" w16cid:durableId="1459370193">
    <w:abstractNumId w:val="4"/>
  </w:num>
  <w:num w:numId="11" w16cid:durableId="208693583">
    <w:abstractNumId w:val="8"/>
  </w:num>
  <w:num w:numId="12" w16cid:durableId="1018695535">
    <w:abstractNumId w:val="8"/>
  </w:num>
  <w:num w:numId="13" w16cid:durableId="976495521">
    <w:abstractNumId w:val="3"/>
  </w:num>
  <w:num w:numId="14" w16cid:durableId="459153526">
    <w:abstractNumId w:val="3"/>
  </w:num>
  <w:num w:numId="15" w16cid:durableId="2131581117">
    <w:abstractNumId w:val="2"/>
  </w:num>
  <w:num w:numId="16" w16cid:durableId="211312183">
    <w:abstractNumId w:val="2"/>
  </w:num>
  <w:num w:numId="17" w16cid:durableId="945313241">
    <w:abstractNumId w:val="1"/>
  </w:num>
  <w:num w:numId="18" w16cid:durableId="1152256053">
    <w:abstractNumId w:val="1"/>
  </w:num>
  <w:num w:numId="19" w16cid:durableId="840704786">
    <w:abstractNumId w:val="0"/>
  </w:num>
  <w:num w:numId="20" w16cid:durableId="1184855175">
    <w:abstractNumId w:val="0"/>
  </w:num>
  <w:num w:numId="21" w16cid:durableId="153106812">
    <w:abstractNumId w:val="9"/>
  </w:num>
  <w:num w:numId="22" w16cid:durableId="2045665803">
    <w:abstractNumId w:val="7"/>
  </w:num>
  <w:num w:numId="23" w16cid:durableId="1797022009">
    <w:abstractNumId w:val="6"/>
  </w:num>
  <w:num w:numId="24" w16cid:durableId="947274821">
    <w:abstractNumId w:val="5"/>
  </w:num>
  <w:num w:numId="25" w16cid:durableId="953243849">
    <w:abstractNumId w:val="4"/>
  </w:num>
  <w:num w:numId="26" w16cid:durableId="1211184081">
    <w:abstractNumId w:val="8"/>
  </w:num>
  <w:num w:numId="27" w16cid:durableId="944072630">
    <w:abstractNumId w:val="3"/>
  </w:num>
  <w:num w:numId="28" w16cid:durableId="192421281">
    <w:abstractNumId w:val="2"/>
  </w:num>
  <w:num w:numId="29" w16cid:durableId="603730435">
    <w:abstractNumId w:val="1"/>
  </w:num>
  <w:num w:numId="30" w16cid:durableId="350305835">
    <w:abstractNumId w:val="0"/>
  </w:num>
  <w:num w:numId="31" w16cid:durableId="466582235">
    <w:abstractNumId w:val="9"/>
  </w:num>
  <w:num w:numId="32" w16cid:durableId="838279238">
    <w:abstractNumId w:val="7"/>
  </w:num>
  <w:num w:numId="33" w16cid:durableId="774978089">
    <w:abstractNumId w:val="6"/>
  </w:num>
  <w:num w:numId="34" w16cid:durableId="586498296">
    <w:abstractNumId w:val="5"/>
  </w:num>
  <w:num w:numId="35" w16cid:durableId="942302902">
    <w:abstractNumId w:val="4"/>
  </w:num>
  <w:num w:numId="36" w16cid:durableId="1929844415">
    <w:abstractNumId w:val="8"/>
  </w:num>
  <w:num w:numId="37" w16cid:durableId="484667897">
    <w:abstractNumId w:val="3"/>
  </w:num>
  <w:num w:numId="38" w16cid:durableId="1975598866">
    <w:abstractNumId w:val="2"/>
  </w:num>
  <w:num w:numId="39" w16cid:durableId="1499033749">
    <w:abstractNumId w:val="1"/>
  </w:num>
  <w:num w:numId="40" w16cid:durableId="1303077433">
    <w:abstractNumId w:val="0"/>
  </w:num>
  <w:num w:numId="41" w16cid:durableId="339623488">
    <w:abstractNumId w:val="10"/>
  </w:num>
  <w:num w:numId="42" w16cid:durableId="1184321390">
    <w:abstractNumId w:val="10"/>
  </w:num>
  <w:num w:numId="43" w16cid:durableId="1050543652">
    <w:abstractNumId w:val="10"/>
  </w:num>
  <w:num w:numId="44" w16cid:durableId="7236070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678"/>
    <w:rsid w:val="00002272"/>
    <w:rsid w:val="00064002"/>
    <w:rsid w:val="000677B9"/>
    <w:rsid w:val="000831BA"/>
    <w:rsid w:val="000A42CC"/>
    <w:rsid w:val="000A7802"/>
    <w:rsid w:val="000E7DD9"/>
    <w:rsid w:val="0010095E"/>
    <w:rsid w:val="00125B37"/>
    <w:rsid w:val="001414ED"/>
    <w:rsid w:val="00187494"/>
    <w:rsid w:val="001F32AE"/>
    <w:rsid w:val="002767FF"/>
    <w:rsid w:val="002B18FE"/>
    <w:rsid w:val="002B5493"/>
    <w:rsid w:val="002B7678"/>
    <w:rsid w:val="0030220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3656"/>
    <w:rsid w:val="004C5D52"/>
    <w:rsid w:val="004E3FBC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29F3"/>
    <w:rsid w:val="006F74FA"/>
    <w:rsid w:val="00731ADD"/>
    <w:rsid w:val="00734777"/>
    <w:rsid w:val="00747932"/>
    <w:rsid w:val="00751A4A"/>
    <w:rsid w:val="00756632"/>
    <w:rsid w:val="00762C74"/>
    <w:rsid w:val="00786EC0"/>
    <w:rsid w:val="007B12FF"/>
    <w:rsid w:val="007D1690"/>
    <w:rsid w:val="007E22AD"/>
    <w:rsid w:val="00817416"/>
    <w:rsid w:val="008327D5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294D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36CA"/>
    <w:rsid w:val="00B12E95"/>
    <w:rsid w:val="00B15F62"/>
    <w:rsid w:val="00B22876"/>
    <w:rsid w:val="00B558F0"/>
    <w:rsid w:val="00BD48FE"/>
    <w:rsid w:val="00BD7BD8"/>
    <w:rsid w:val="00BE485F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50/2026"/>
    <w:docVar w:name="dvlangue" w:val="HR"/>
    <w:docVar w:name="dvnumam" w:val="57"/>
    <w:docVar w:name="dvpe" w:val="779.681"/>
    <w:docVar w:name="dvrapporteur" w:val="Izvjestitelj: "/>
    <w:docVar w:name="dvtitre" w:val="Preporuka Europskog parlamenta Vijeću od .... 2026. o preporuci Europskog parlamenta Vijeću, Komisiji i potpredsjednici Komisije / visokoj predstavnici Unije za vanjske poslove i sigurnosnu politiku o promicanju transnacionalnog upravljanja vodama u interesu sprečavanja sukoba i osiguravanja mira(2025/2216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83FDEA2"/>
  <w15:chartTrackingRefBased/>
  <w15:docId w15:val="{784B1507-B04A-4179-A4DD-93B5BEAFF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C3656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4C3656"/>
    <w:pPr>
      <w:spacing w:after="240"/>
      <w:ind w:left="567" w:hanging="567"/>
    </w:pPr>
  </w:style>
  <w:style w:type="character" w:styleId="Hyperlink">
    <w:name w:val="Hyperlink"/>
    <w:basedOn w:val="DefaultParagraphFont"/>
    <w:rsid w:val="004C3656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4C3656"/>
    <w:rPr>
      <w:sz w:val="24"/>
      <w:lang w:val="hr-HR"/>
    </w:rPr>
  </w:style>
  <w:style w:type="paragraph" w:styleId="Revision">
    <w:name w:val="Revision"/>
    <w:hidden/>
    <w:uiPriority w:val="99"/>
    <w:semiHidden/>
    <w:rsid w:val="000A7802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6/576/oj" TargetMode="External" /><Relationship Id="rId2" Type="http://schemas.openxmlformats.org/officeDocument/2006/relationships/hyperlink" Target="http://data.europa.eu/eli/C/2025/4390/oj" TargetMode="External" /><Relationship Id="rId3" Type="http://schemas.openxmlformats.org/officeDocument/2006/relationships/hyperlink" Target="http://data.europa.eu/eli/C/2025/76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3920</Words>
  <Characters>22348</Characters>
  <Application>Microsoft Office Word</Application>
  <DocSecurity>0</DocSecurity>
  <Lines>186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2026-10-20T14:39:00Z</dcterms:created>
  <dcterms:modified xsi:type="dcterms:W3CDTF">2026-10-20T14:39:00Z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P10_TA(2026)0221_</vt:lpwstr>
  </property>
  <property fmtid="{D5CDD505-2E9C-101B-9397-08002B2CF9AE}" pid="4" name="&lt;Type&gt;">
    <vt:lpwstr>RR</vt:lpwstr>
  </property>
</Properties>
</file>