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CA7403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3953" w:rsidP="0010095E" w14:paraId="417F74CF" w14:textId="77777777">
            <w:pPr>
              <w:pStyle w:val="EPName"/>
            </w:pPr>
            <w:r w:rsidRPr="00D63953">
              <w:t>Európai Parlament</w:t>
            </w:r>
          </w:p>
          <w:p w:rsidR="00751A4A" w:rsidRPr="00D63953" w:rsidP="005F1B17" w14:paraId="51B1132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3953">
              <w:t>2024</w:t>
            </w:r>
            <w:r w:rsidRPr="00D63953" w:rsidR="00817416">
              <w:t>-202</w:t>
            </w:r>
            <w:r w:rsidRPr="00D6395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63953" w:rsidP="0010095E" w14:paraId="11386C81" w14:textId="77777777">
            <w:pPr>
              <w:pStyle w:val="EPLogo"/>
            </w:pPr>
            <w:r w:rsidRPr="00D6395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3953" w:rsidP="004C5D52" w14:paraId="77577663" w14:textId="77777777">
      <w:pPr>
        <w:pStyle w:val="LineTop"/>
      </w:pPr>
    </w:p>
    <w:p w:rsidR="00680577" w:rsidRPr="00D63953" w:rsidP="00680577" w14:paraId="7165B031" w14:textId="77777777">
      <w:pPr>
        <w:pStyle w:val="EPBodyTA1"/>
      </w:pPr>
      <w:r w:rsidRPr="00D63953">
        <w:t>ELFOGADOTT SZÖVEGEK</w:t>
      </w:r>
    </w:p>
    <w:p w:rsidR="00D058B8" w:rsidRPr="00D63953" w:rsidP="00D058B8" w14:paraId="65254E4C" w14:textId="77777777">
      <w:pPr>
        <w:pStyle w:val="LineBottom"/>
      </w:pPr>
    </w:p>
    <w:p w:rsidR="002C3A42" w:rsidRPr="00D63953" w:rsidP="002C3A42" w14:paraId="6339953F" w14:textId="633BA7B2">
      <w:pPr>
        <w:pStyle w:val="ATHeading1"/>
      </w:pPr>
      <w:bookmarkStart w:id="0" w:name="TANumber"/>
      <w:r w:rsidRPr="00D63953">
        <w:t>P10_</w:t>
      </w:r>
      <w:r w:rsidRPr="00D63953">
        <w:t>TA(</w:t>
      </w:r>
      <w:r w:rsidRPr="00D63953">
        <w:t>2026)0</w:t>
      </w:r>
      <w:r w:rsidR="00D63953">
        <w:t>221</w:t>
      </w:r>
      <w:bookmarkEnd w:id="0"/>
    </w:p>
    <w:p w:rsidR="002C3A42" w:rsidRPr="00D63953" w:rsidP="00E7490D" w14:paraId="331F7159" w14:textId="76791848">
      <w:pPr>
        <w:pStyle w:val="ATHeading2"/>
      </w:pPr>
      <w:bookmarkStart w:id="1" w:name="title"/>
      <w:r w:rsidRPr="00D63953">
        <w:t>Ajánlás a konfliktusok megelőzése és a béke érdekében a vízügyi transznacionális kormányzás előmozdítására vonatkozóan</w:t>
      </w:r>
      <w:bookmarkEnd w:id="1"/>
    </w:p>
    <w:p w:rsidR="002C3A42" w:rsidRPr="00D63953" w:rsidP="002C3A42" w14:paraId="584C268B" w14:textId="77777777">
      <w:pPr>
        <w:rPr>
          <w:i/>
          <w:vanish/>
        </w:rPr>
      </w:pPr>
      <w:r>
        <w:rPr>
          <w:i/>
        </w:rPr>
        <w:fldChar w:fldCharType="begin"/>
      </w:r>
      <w:r w:rsidRPr="00D63953">
        <w:rPr>
          <w:i/>
        </w:rPr>
        <w:instrText xml:space="preserve"> TC"(</w:instrText>
      </w:r>
      <w:bookmarkStart w:id="2" w:name="DocNumber"/>
      <w:r w:rsidRPr="00D63953">
        <w:rPr>
          <w:i/>
        </w:rPr>
        <w:instrText>A10-0150/2026</w:instrText>
      </w:r>
      <w:bookmarkEnd w:id="2"/>
      <w:r w:rsidRPr="00D63953">
        <w:rPr>
          <w:i/>
        </w:rPr>
        <w:instrText xml:space="preserve"> - Előadó: </w:instrText>
      </w:r>
      <w:r w:rsidRPr="00D63953">
        <w:rPr>
          <w:i/>
        </w:rPr>
        <w:instrText>Leoluca</w:instrText>
      </w:r>
      <w:r w:rsidRPr="00D63953">
        <w:rPr>
          <w:i/>
        </w:rPr>
        <w:instrText xml:space="preserve"> Orlando)"\l3 \n&gt; \* MERGEFORMAT </w:instrText>
      </w:r>
      <w:r>
        <w:rPr>
          <w:i/>
        </w:rPr>
        <w:fldChar w:fldCharType="end"/>
      </w:r>
    </w:p>
    <w:p w:rsidR="002C3A42" w:rsidRPr="00D63953" w:rsidP="002C3A42" w14:paraId="7C6F79B6" w14:textId="77777777">
      <w:pPr>
        <w:rPr>
          <w:vanish/>
        </w:rPr>
      </w:pPr>
      <w:bookmarkStart w:id="3" w:name="Commission"/>
      <w:r w:rsidRPr="00D63953">
        <w:rPr>
          <w:vanish/>
        </w:rPr>
        <w:t>Külügyi Bizottság</w:t>
      </w:r>
      <w:bookmarkEnd w:id="3"/>
    </w:p>
    <w:p w:rsidR="002C3A42" w:rsidRPr="00D63953" w:rsidP="002C3A42" w14:paraId="5B9D2570" w14:textId="77777777">
      <w:pPr>
        <w:rPr>
          <w:vanish/>
        </w:rPr>
      </w:pPr>
      <w:bookmarkStart w:id="4" w:name="PE"/>
      <w:r w:rsidRPr="00D63953">
        <w:rPr>
          <w:vanish/>
        </w:rPr>
        <w:t>PE779.681</w:t>
      </w:r>
      <w:bookmarkEnd w:id="4"/>
    </w:p>
    <w:p w:rsidR="002C3A42" w:rsidRPr="00D63953" w:rsidP="002C3A42" w14:paraId="36B2304D" w14:textId="6CED748B">
      <w:pPr>
        <w:pStyle w:val="ATHeading3"/>
      </w:pPr>
      <w:bookmarkStart w:id="5" w:name="Sujet"/>
      <w:r w:rsidRPr="00D63953">
        <w:t xml:space="preserve">Az Európai Parlament 2026. </w:t>
      </w:r>
      <w:r w:rsidRPr="00D63953" w:rsidR="00913896">
        <w:t>június 17</w:t>
      </w:r>
      <w:r w:rsidRPr="00D63953">
        <w:t xml:space="preserve">-i </w:t>
      </w:r>
      <w:r w:rsidR="001F6DBD">
        <w:t>ajánlása</w:t>
      </w:r>
      <w:r w:rsidRPr="00D63953">
        <w:t xml:space="preserve"> a Tanácshoz, a Bizottsághoz és a Bizottság alelnökéhez / az Unió </w:t>
      </w:r>
      <w:r w:rsidRPr="00D63953">
        <w:t>kül</w:t>
      </w:r>
      <w:r w:rsidRPr="00D63953">
        <w:t>- és biztonságpolitikai főképviselőjéhez intézett, a konfliktusok megelőzése és a béke érdekében a transznacionális vízügyi kormányzás előmozdításáról</w:t>
      </w:r>
      <w:bookmarkEnd w:id="5"/>
      <w:r w:rsidRPr="00D63953">
        <w:t xml:space="preserve"> </w:t>
      </w:r>
      <w:bookmarkStart w:id="6" w:name="References"/>
      <w:r w:rsidRPr="00D63953">
        <w:t>(2025/2216(INI))</w:t>
      </w:r>
      <w:bookmarkEnd w:id="6"/>
    </w:p>
    <w:p w:rsidR="0052679B" w:rsidRPr="00D63953" w:rsidP="0052679B" w14:paraId="1496343E" w14:textId="77777777">
      <w:pPr>
        <w:pStyle w:val="EPComma"/>
      </w:pPr>
      <w:r w:rsidRPr="00D63953">
        <w:rPr>
          <w:i/>
        </w:rPr>
        <w:t>Az Európai Parlament</w:t>
      </w:r>
      <w:r w:rsidRPr="00D63953">
        <w:t>,</w:t>
      </w:r>
    </w:p>
    <w:p w:rsidR="0052679B" w:rsidRPr="00D63953" w:rsidP="00913896" w14:paraId="615EF5B5" w14:textId="77777777">
      <w:pPr>
        <w:pStyle w:val="NormalHanging12a"/>
        <w:widowControl/>
      </w:pPr>
      <w:r w:rsidRPr="00D63953">
        <w:t>–</w:t>
      </w:r>
      <w:r w:rsidRPr="00D63953">
        <w:tab/>
        <w:t>tekintettel a határokat átlépő vízfolyások és nemzetközi tavak védelméről és használatáról szóló 1992. évi ENSZ-egyezményre (Határvízi Egyezmény),</w:t>
      </w:r>
    </w:p>
    <w:p w:rsidR="0052679B" w:rsidRPr="00D63953" w:rsidP="00913896" w14:paraId="130500AA" w14:textId="77777777">
      <w:pPr>
        <w:pStyle w:val="NormalHanging12a"/>
        <w:widowControl/>
      </w:pPr>
      <w:r w:rsidRPr="00D63953">
        <w:t>–</w:t>
      </w:r>
      <w:r w:rsidRPr="00D63953">
        <w:tab/>
        <w:t xml:space="preserve">tekintettel a vízügyi </w:t>
      </w:r>
      <w:r w:rsidRPr="00D63953">
        <w:t>rezilienciára</w:t>
      </w:r>
      <w:r w:rsidRPr="00D63953">
        <w:t xml:space="preserve"> vonatkozó európai stratégiáról szóló, 2025. május 7-i állásfoglalására</w:t>
      </w:r>
      <w:r>
        <w:rPr>
          <w:rStyle w:val="FootnoteReference"/>
        </w:rPr>
        <w:footnoteReference w:id="2"/>
      </w:r>
      <w:r w:rsidRPr="00D63953">
        <w:t>,</w:t>
      </w:r>
    </w:p>
    <w:p w:rsidR="0052679B" w:rsidRPr="00D63953" w:rsidP="00913896" w14:paraId="41F7406A" w14:textId="77777777">
      <w:pPr>
        <w:pStyle w:val="NormalHanging12a"/>
        <w:widowControl/>
      </w:pPr>
      <w:r w:rsidRPr="00D63953">
        <w:t>–</w:t>
      </w:r>
      <w:r w:rsidRPr="00D63953">
        <w:tab/>
        <w:t xml:space="preserve">tekintettel a „Vízügyi </w:t>
      </w:r>
      <w:r w:rsidRPr="00D63953">
        <w:t>rezilienciára</w:t>
      </w:r>
      <w:r w:rsidRPr="00D63953">
        <w:t xml:space="preserve"> vonatkozó európai stratégia” című, 2025. június 4-i bizottsági közleményre (</w:t>
      </w:r>
      <w:r w:rsidRPr="00D63953">
        <w:t>COM(</w:t>
      </w:r>
      <w:r w:rsidRPr="00D63953">
        <w:t>2025)0280),</w:t>
      </w:r>
    </w:p>
    <w:p w:rsidR="0052679B" w:rsidRPr="00D63953" w:rsidP="00913896" w14:paraId="456F075C" w14:textId="77777777">
      <w:pPr>
        <w:pStyle w:val="NormalHanging12a"/>
        <w:widowControl/>
      </w:pPr>
      <w:r w:rsidRPr="00D63953">
        <w:t>–</w:t>
      </w:r>
      <w:r w:rsidRPr="00D63953">
        <w:tab/>
        <w:t xml:space="preserve">tekintettel a vízhez való </w:t>
      </w:r>
      <w:r w:rsidRPr="00D63953">
        <w:t>hozzáférés</w:t>
      </w:r>
      <w:r w:rsidRPr="00D63953">
        <w:t xml:space="preserve"> mint emberi jog külső dimenziójáról szóló, 2022. október 5-i állásfoglalására</w:t>
      </w:r>
      <w:r>
        <w:rPr>
          <w:rStyle w:val="FootnoteReference"/>
        </w:rPr>
        <w:footnoteReference w:id="3"/>
      </w:r>
      <w:r w:rsidRPr="00D63953">
        <w:t xml:space="preserve">, </w:t>
      </w:r>
    </w:p>
    <w:p w:rsidR="0052679B" w:rsidRPr="00D63953" w:rsidP="00913896" w14:paraId="4F7A40FE" w14:textId="77777777">
      <w:pPr>
        <w:pStyle w:val="NormalHanging12a"/>
        <w:widowControl/>
      </w:pPr>
      <w:r w:rsidRPr="00D63953">
        <w:t>–</w:t>
      </w:r>
      <w:r w:rsidRPr="00D63953">
        <w:tab/>
        <w:t>tekintettel az ENSZ 2023. évi vízügyi konferenciájára és az elfogadott vízügyi cselekvési programra, valamint az ENSZ soron következő, 2026. évi vízügyi konferenciájára,</w:t>
      </w:r>
    </w:p>
    <w:p w:rsidR="0052679B" w:rsidRPr="00D63953" w:rsidP="00913896" w14:paraId="201C31AF" w14:textId="77777777">
      <w:pPr>
        <w:pStyle w:val="NormalHanging12a"/>
        <w:widowControl/>
      </w:pPr>
      <w:r w:rsidRPr="00D63953">
        <w:t>–</w:t>
      </w:r>
      <w:r w:rsidRPr="00D63953">
        <w:tab/>
        <w:t>tekintettel az ENSZ Emberi Jogi Főbiztosa Hivatalának „A vízhez való jog” című, 2010 augusztusában közzétett tájékoztatójára,</w:t>
      </w:r>
    </w:p>
    <w:p w:rsidR="0052679B" w:rsidRPr="00D63953" w:rsidP="00913896" w14:paraId="74AABF24" w14:textId="5C830F68">
      <w:pPr>
        <w:pStyle w:val="NormalHanging12a"/>
        <w:widowControl/>
      </w:pPr>
      <w:r w:rsidRPr="00D63953">
        <w:t>–</w:t>
      </w:r>
      <w:r w:rsidRPr="00D63953">
        <w:tab/>
        <w:t xml:space="preserve">tekintettel az ENSZ Vízügyi, Környezetvédelmi és Egészségügyi Egyetemi Intézetének „Global </w:t>
      </w:r>
      <w:r w:rsidRPr="00D63953">
        <w:t>Water</w:t>
      </w:r>
      <w:r w:rsidRPr="00D63953">
        <w:t xml:space="preserve"> </w:t>
      </w:r>
      <w:r w:rsidRPr="00D63953">
        <w:t>Bankruptcy</w:t>
      </w:r>
      <w:r w:rsidRPr="00D63953">
        <w:t xml:space="preserve"> – </w:t>
      </w:r>
      <w:r w:rsidRPr="00D63953">
        <w:t>Living</w:t>
      </w:r>
      <w:r w:rsidRPr="00D63953">
        <w:t xml:space="preserve"> </w:t>
      </w:r>
      <w:r w:rsidRPr="00D63953">
        <w:t>Beyond</w:t>
      </w:r>
      <w:r w:rsidRPr="00D63953">
        <w:t xml:space="preserve"> </w:t>
      </w:r>
      <w:r w:rsidRPr="00D63953">
        <w:t>Our</w:t>
      </w:r>
      <w:r w:rsidRPr="00D63953">
        <w:t xml:space="preserve"> </w:t>
      </w:r>
      <w:r w:rsidRPr="00D63953">
        <w:t>Hydrological</w:t>
      </w:r>
      <w:r w:rsidRPr="00D63953">
        <w:t xml:space="preserve"> </w:t>
      </w:r>
      <w:r w:rsidRPr="00D63953">
        <w:t>Means</w:t>
      </w:r>
      <w:r w:rsidRPr="00D63953">
        <w:t xml:space="preserve"> in </w:t>
      </w:r>
      <w:r w:rsidRPr="00D63953">
        <w:t>the</w:t>
      </w:r>
      <w:r w:rsidRPr="00D63953">
        <w:t xml:space="preserve"> Post-</w:t>
      </w:r>
      <w:r w:rsidRPr="00D63953">
        <w:t>Crisis</w:t>
      </w:r>
      <w:r w:rsidRPr="00D63953">
        <w:t xml:space="preserve"> </w:t>
      </w:r>
      <w:r w:rsidRPr="00D63953">
        <w:t>Era</w:t>
      </w:r>
      <w:r w:rsidRPr="00D63953">
        <w:t>” [A globális vízrendszer kimerülése – Élet a hidrológiai lehetőségeinken túl a válság utáni időszakban] című, 2026</w:t>
      </w:r>
      <w:r w:rsidR="00971AFE">
        <w:t>.</w:t>
      </w:r>
      <w:r w:rsidRPr="00D63953">
        <w:t xml:space="preserve"> január 20-i jelentésére,</w:t>
      </w:r>
    </w:p>
    <w:p w:rsidR="0052679B" w:rsidRPr="00D63953" w:rsidP="00913896" w14:paraId="5573CD99" w14:textId="77777777">
      <w:pPr>
        <w:pStyle w:val="NormalHanging12a"/>
        <w:widowControl/>
      </w:pPr>
      <w:r w:rsidRPr="00D63953">
        <w:t>–</w:t>
      </w:r>
      <w:r w:rsidRPr="00D63953">
        <w:tab/>
        <w:t>tekintettel a vízügyi diplomáciáról szóló, 2018. november 19-i tanácsi következtetésekre,</w:t>
      </w:r>
    </w:p>
    <w:p w:rsidR="0052679B" w:rsidRPr="00D63953" w:rsidP="00913896" w14:paraId="56A35ACB" w14:textId="77777777">
      <w:pPr>
        <w:pStyle w:val="NormalHanging12a"/>
        <w:widowControl/>
      </w:pPr>
      <w:r w:rsidRPr="00D63953">
        <w:t>–</w:t>
      </w:r>
      <w:r w:rsidRPr="00D63953">
        <w:tab/>
        <w:t>tekintettel a „Vízügyi kérdések az Unió külső tevékenységében” című, 2021. november 19-i tanácsi következtetésekre,</w:t>
      </w:r>
    </w:p>
    <w:p w:rsidR="0052679B" w:rsidRPr="00D63953" w:rsidP="00913896" w14:paraId="53DF1362" w14:textId="77777777">
      <w:pPr>
        <w:pStyle w:val="NormalHanging12a"/>
        <w:widowControl/>
      </w:pPr>
      <w:r w:rsidRPr="00D63953">
        <w:t>–</w:t>
      </w:r>
      <w:r w:rsidRPr="00D63953">
        <w:tab/>
        <w:t>tekintettel az EU 2019. június 17-i, a biztonságos ivóvízről és a megfelelő higiéniás létesítményekről szóló iránymutatásaira,</w:t>
      </w:r>
    </w:p>
    <w:p w:rsidR="0052679B" w:rsidRPr="00D63953" w:rsidP="00913896" w14:paraId="2FF7772F" w14:textId="77777777">
      <w:pPr>
        <w:pStyle w:val="NormalHanging12a"/>
        <w:widowControl/>
      </w:pPr>
      <w:r w:rsidRPr="00D63953">
        <w:t>–</w:t>
      </w:r>
      <w:r w:rsidRPr="00D63953">
        <w:tab/>
        <w:t>tekintettel eljárási szabályzata 121. cikkére,</w:t>
      </w:r>
    </w:p>
    <w:p w:rsidR="0052679B" w:rsidRPr="00D63953" w:rsidP="00913896" w14:paraId="43A42515" w14:textId="77777777">
      <w:pPr>
        <w:pStyle w:val="NormalHanging12a"/>
        <w:widowControl/>
      </w:pPr>
      <w:r w:rsidRPr="00D63953">
        <w:t>–</w:t>
      </w:r>
      <w:r w:rsidRPr="00D63953">
        <w:tab/>
        <w:t>tekintettel „Az emberi jogok és a demokrácia helyzete a világban és az Európai Unió ezzel kapcsolatos politikája – 2024. évi éves jelentés” című, 2025. április 2-i állásfoglalására</w:t>
      </w:r>
      <w:r>
        <w:rPr>
          <w:rStyle w:val="FootnoteReference"/>
        </w:rPr>
        <w:footnoteReference w:id="4"/>
      </w:r>
      <w:r w:rsidRPr="00D63953">
        <w:t>,</w:t>
      </w:r>
    </w:p>
    <w:p w:rsidR="0052679B" w:rsidRPr="00D63953" w:rsidP="00913896" w14:paraId="0B2F7CC2" w14:textId="77777777">
      <w:pPr>
        <w:pStyle w:val="NormalHanging12a"/>
        <w:widowControl/>
      </w:pPr>
      <w:r w:rsidRPr="00D63953">
        <w:t>–</w:t>
      </w:r>
      <w:r w:rsidRPr="00D63953">
        <w:tab/>
        <w:t>tekintettel „Az emberi jogok és a demokrácia helyzete a világban és az Európai Unió ezzel kapcsolatos politikája – 2025. évi éves jelentés” című, 2026. január 21-i állásfoglalására</w:t>
      </w:r>
      <w:r>
        <w:rPr>
          <w:rStyle w:val="FootnoteReference"/>
        </w:rPr>
        <w:footnoteReference w:id="5"/>
      </w:r>
      <w:r w:rsidRPr="00D63953">
        <w:t>,</w:t>
      </w:r>
    </w:p>
    <w:p w:rsidR="0052679B" w:rsidRPr="00D63953" w:rsidP="00913896" w14:paraId="37D1E80F" w14:textId="77777777">
      <w:pPr>
        <w:pStyle w:val="NormalHanging12a"/>
        <w:widowControl/>
      </w:pPr>
      <w:r w:rsidRPr="00D63953">
        <w:t>–</w:t>
      </w:r>
      <w:r w:rsidRPr="00D63953">
        <w:tab/>
        <w:t>tekintettel az Európai Gazdasági és Szociális Bizottság „Vízpolitika: a fiatalok, a nők, illetve az őslakos és helyi közösségek szerepvállalásának növelése” című, 2024. december 4-i véleményére</w:t>
      </w:r>
      <w:r>
        <w:rPr>
          <w:rStyle w:val="FootnoteReference"/>
        </w:rPr>
        <w:footnoteReference w:id="6"/>
      </w:r>
      <w:r w:rsidRPr="00D63953">
        <w:t>,</w:t>
      </w:r>
    </w:p>
    <w:p w:rsidR="0052679B" w:rsidRPr="00D63953" w:rsidP="00913896" w14:paraId="0AC0492A" w14:textId="77777777">
      <w:pPr>
        <w:pStyle w:val="NormalHanging12a"/>
        <w:widowControl/>
      </w:pPr>
      <w:r w:rsidRPr="00D63953">
        <w:t>–</w:t>
      </w:r>
      <w:r w:rsidRPr="00D63953">
        <w:tab/>
        <w:t>tekintettel a Külügyi Bizottság jelentésére (A10-0150/2026),</w:t>
      </w:r>
    </w:p>
    <w:p w:rsidR="0052679B" w:rsidRPr="00D63953" w:rsidP="00913896" w14:paraId="0DC38F33" w14:textId="77777777">
      <w:pPr>
        <w:pStyle w:val="NormalHanging12a"/>
        <w:widowControl/>
      </w:pPr>
      <w:r w:rsidRPr="00D63953">
        <w:t>A.</w:t>
      </w:r>
      <w:r w:rsidRPr="00D63953">
        <w:tab/>
        <w:t>mivel a víz elengedhetetlen az emberiség és a Földön élő összes életforma túléléséhez, ezért fenntartható és méltányos módon, globális közjószágként kell kezelni;</w:t>
      </w:r>
    </w:p>
    <w:p w:rsidR="0052679B" w:rsidRPr="00D63953" w:rsidP="00913896" w14:paraId="2259612F" w14:textId="77777777">
      <w:pPr>
        <w:pStyle w:val="NormalHanging12a"/>
        <w:widowControl/>
      </w:pPr>
      <w:r w:rsidRPr="00D63953">
        <w:t>B.</w:t>
      </w:r>
      <w:r w:rsidRPr="00D63953">
        <w:tab/>
        <w:t xml:space="preserve">mivel a biztonságos ivóvízhez és a </w:t>
      </w:r>
      <w:r w:rsidRPr="00D63953">
        <w:t>szanitációhoz</w:t>
      </w:r>
      <w:r w:rsidRPr="00D63953">
        <w:t xml:space="preserve"> való hozzáférés emberi jog, és az egészség, a stabilitás, a biztonság és a béke, valamint az élet és valamennyi emberi jog teljes körű gyakorlásának előfeltétele; mivel a rossz vízügyi irányítás, a vízhiány és az egyenlőtlen hozzáférés instabilitáshoz, konfliktusokhoz és kényszerű lakóhelyelhagyáshoz vezethet; mivel mintegy 2,2 milliárd ember még mindig nem fér hozzá biztonságosan kezelt ivóvízhez, 3,5 milliárd ember él biztonságosan kezelt </w:t>
      </w:r>
      <w:r w:rsidRPr="00D63953">
        <w:t>szanitáció</w:t>
      </w:r>
      <w:r w:rsidRPr="00D63953">
        <w:t xml:space="preserve"> nélkül, és mintegy 4 milliárd embernek évente legalább egy hónapig súlyos vízhiánnyal kell szembenéznie;</w:t>
      </w:r>
    </w:p>
    <w:p w:rsidR="0052679B" w:rsidRPr="00D63953" w:rsidP="00913896" w14:paraId="59F210C1" w14:textId="77777777">
      <w:pPr>
        <w:pStyle w:val="NormalHanging12a"/>
        <w:widowControl/>
        <w:rPr>
          <w:bCs/>
          <w:iCs/>
        </w:rPr>
      </w:pPr>
      <w:r w:rsidRPr="00D63953">
        <w:t>C.</w:t>
      </w:r>
      <w:r w:rsidRPr="00D63953">
        <w:tab/>
        <w:t xml:space="preserve">mivel a nem megfelelő vízellátási és </w:t>
      </w:r>
      <w:r w:rsidRPr="00D63953">
        <w:t>szanitációs</w:t>
      </w:r>
      <w:r w:rsidRPr="00D63953">
        <w:t xml:space="preserve"> szolgáltatások jelentősen hozzájárulnak a megelőzhető fertőző betegségek, például a kolera, a malária és az emésztőrendszeri betegségek terjedéséhez;</w:t>
      </w:r>
    </w:p>
    <w:p w:rsidR="0052679B" w:rsidRPr="00D63953" w:rsidP="00913896" w14:paraId="36799D4C" w14:textId="77777777">
      <w:pPr>
        <w:pStyle w:val="NormalHanging12a"/>
        <w:widowControl/>
      </w:pPr>
      <w:r w:rsidRPr="00D63953">
        <w:t>D.</w:t>
      </w:r>
      <w:r w:rsidRPr="00D63953">
        <w:tab/>
        <w:t>mivel az éghajlatváltozás és a fenntarthatatlan emberi tevékenység komoly fenyegetést jelent a vízkészletekre nézve, és súlyosbítja a vízhiányt; mivel a gyorsan növekvő népesség, a növekvő kereslet, valamint a fenntarthatatlan víz- és földhasználat miatt a vízkészletekre nehezedő növekvő nyomás hozzájárul a vízhiányhoz, az éhezéshez és a konfliktusokhoz;</w:t>
      </w:r>
    </w:p>
    <w:p w:rsidR="0052679B" w:rsidRPr="00D63953" w:rsidP="00913896" w14:paraId="729436A3" w14:textId="77777777">
      <w:pPr>
        <w:pStyle w:val="NormalHanging12a"/>
        <w:widowControl/>
      </w:pPr>
      <w:r w:rsidRPr="00D63953">
        <w:t>E.</w:t>
      </w:r>
      <w:r w:rsidRPr="00D63953">
        <w:tab/>
        <w:t xml:space="preserve">mivel az elmúlt hat év mindegyikében a kontinentális vízgyűjtő területnek csak mintegy egyharmadán voltak normális vízkibocsátási körülmények; mivel az összes természeti katasztrófa 90%-a </w:t>
      </w:r>
      <w:r w:rsidRPr="00D63953">
        <w:t>a</w:t>
      </w:r>
      <w:r w:rsidRPr="00D63953">
        <w:t xml:space="preserve"> vízhez kapcsolódik; mivel a hidrológiai ciklusok egyre kiszámíthatatlanabbá válnak, és az éghajlatváltozás hatására súlyos aszályok és pusztító árvizek közötti heves ingadozások jellemzik őket; mivel az elmúlt években a világ valamennyi gleccseres régiója jégveszteségről számolt be; mivel az emberi tevékenységek világszerte az édesvízkészletek szennyezésének jelentős részéért felelősek;</w:t>
      </w:r>
    </w:p>
    <w:p w:rsidR="0052679B" w:rsidRPr="00D63953" w:rsidP="00913896" w14:paraId="3B00F6BD" w14:textId="77777777">
      <w:pPr>
        <w:pStyle w:val="NormalHanging12a"/>
        <w:widowControl/>
        <w:rPr>
          <w:bCs/>
          <w:iCs/>
        </w:rPr>
      </w:pPr>
      <w:r w:rsidRPr="00D63953">
        <w:t>F.</w:t>
      </w:r>
      <w:r w:rsidRPr="00D63953">
        <w:tab/>
        <w:t>mivel a víz mennyisége és minősége egyaránt fontos; mivel mindkét szempont megfelelő kezelése gazdasági és társadalmi lehetőségeket teremt;</w:t>
      </w:r>
    </w:p>
    <w:p w:rsidR="0052679B" w:rsidRPr="00D63953" w:rsidP="00913896" w14:paraId="2F067D50" w14:textId="77777777">
      <w:pPr>
        <w:pStyle w:val="NormalHanging12a"/>
        <w:widowControl/>
      </w:pPr>
      <w:r w:rsidRPr="00D63953">
        <w:t>G.</w:t>
      </w:r>
      <w:r w:rsidRPr="00D63953">
        <w:tab/>
        <w:t xml:space="preserve">mivel a világ édesvízáramlásának 60%-át két vagy több ország közös, határokon átnyúló víztartó </w:t>
      </w:r>
      <w:r w:rsidRPr="00D63953">
        <w:t>rétegei</w:t>
      </w:r>
      <w:r w:rsidRPr="00D63953">
        <w:t xml:space="preserve">, </w:t>
      </w:r>
      <w:r w:rsidRPr="00D63953">
        <w:t>tavai</w:t>
      </w:r>
      <w:r w:rsidRPr="00D63953">
        <w:t xml:space="preserve"> és vízgyűjtő területei teszik ki; </w:t>
      </w:r>
    </w:p>
    <w:p w:rsidR="0052679B" w:rsidRPr="00D63953" w:rsidP="00913896" w14:paraId="270238EF" w14:textId="77777777">
      <w:pPr>
        <w:pStyle w:val="NormalHanging12a"/>
        <w:widowControl/>
      </w:pPr>
      <w:r w:rsidRPr="00D63953">
        <w:t>H.</w:t>
      </w:r>
      <w:r w:rsidRPr="00D63953">
        <w:tab/>
        <w:t xml:space="preserve">mivel az előrelépés ellenére a határokon átnyúló vízügyi együttműködés globális szinten továbbra sem elégséges; mivel a határokon átnyúló vizeken osztozó 153 ENSZ-tagállam közül csak 43 rendelkezik operatív megállapodással; mivel több mint 20 ország nem rendelkezik ilyen rendszerrel, és különösen korlátozott előrelépés tapasztalható Ázsiában és Latin-Amerikában; </w:t>
      </w:r>
    </w:p>
    <w:p w:rsidR="0052679B" w:rsidRPr="00D63953" w:rsidP="00913896" w14:paraId="1B4EFE9F" w14:textId="77777777">
      <w:pPr>
        <w:pStyle w:val="NormalHanging12a"/>
        <w:widowControl/>
        <w:rPr>
          <w:bCs/>
          <w:iCs/>
        </w:rPr>
      </w:pPr>
      <w:r w:rsidRPr="00D63953">
        <w:t>I.</w:t>
      </w:r>
      <w:r w:rsidRPr="00D63953">
        <w:tab/>
        <w:t>mivel a víziközmű-ágazatban az erős vízügyi irányítás, az átláthatóság és a nyomon követés biztosítja, hogy a pénzügyi erőforrásokat közérdekű célokra és a fenntartható fejlődést támogatva használják fel;</w:t>
      </w:r>
    </w:p>
    <w:p w:rsidR="0052679B" w:rsidRPr="00D63953" w:rsidP="00913896" w14:paraId="408ACC6A" w14:textId="77777777">
      <w:pPr>
        <w:pStyle w:val="NormalHanging12a"/>
        <w:widowControl/>
      </w:pPr>
      <w:r w:rsidRPr="00D63953">
        <w:t>J.</w:t>
      </w:r>
      <w:r w:rsidRPr="00D63953">
        <w:tab/>
        <w:t>mivel a vízhiány és az országok határokon átnyúló vizekkel kapcsolatos egyoldalú intézkedései, például a szennyezés, a túlzott kiaknázás, illetve az infrastruktúra kiépítése hatással lehet az e vizekkel határos valamennyi államra; mivel a vízhez való hozzáféréssel kapcsolatos viták szélesebb körű konfliktusokat táplálnak és táplálhatnak, és gazdasági összeomláshoz vezethetnek, ami súlyos következményekkel jár a regionális stabilitásra és az emberek biztonságára nézve;</w:t>
      </w:r>
    </w:p>
    <w:p w:rsidR="0052679B" w:rsidRPr="00D63953" w:rsidP="00913896" w14:paraId="27D0D042" w14:textId="77777777">
      <w:pPr>
        <w:pStyle w:val="NormalHanging12a"/>
        <w:widowControl/>
      </w:pPr>
      <w:r w:rsidRPr="00D63953">
        <w:t>K.</w:t>
      </w:r>
      <w:r w:rsidRPr="00D63953">
        <w:tab/>
        <w:t xml:space="preserve">mivel az elmúlt években a vízzel kapcsolatos konfliktusok meghaladták az együttműködést; mivel annak ellenére, hogy az elmúlt évtizedben előrelépés történt az ivóvíz és a </w:t>
      </w:r>
      <w:r w:rsidRPr="00D63953">
        <w:t>szanitáció</w:t>
      </w:r>
      <w:r w:rsidRPr="00D63953">
        <w:t xml:space="preserve"> biztosítása terén, világszerte emberek milliárdjai még mindig nem férnek hozzá az alapvető víz-, </w:t>
      </w:r>
      <w:r w:rsidRPr="00D63953">
        <w:t>szanitációs</w:t>
      </w:r>
      <w:r w:rsidRPr="00D63953">
        <w:t xml:space="preserve"> és higiéniás szolgáltatásokhoz, ami a betegségek és a mélyebb társadalmi kirekesztés kockázatának teszi ki őket; mivel bizonyos csoportokat, nevezetesen a nőket, a gyermekeket, a menekülteket, az őslakos népeket, a hátrányos helyzetű közösségeket, a fogyatékossággal élőket és más csoportokat gyakran figyelmen kívül hagynak vagy hátrányos megkülönböztetéssel szembesülnek a vízellátási és szennyvízelvezetési infrastruktúra tervezése és fejlesztése során; mivel a környezetkárosodás és az éghajlattal kapcsolatos kockázatok általában aránytalanul sújtják a szegény és </w:t>
      </w:r>
      <w:r w:rsidRPr="00D63953">
        <w:t>marginalizált</w:t>
      </w:r>
      <w:r w:rsidRPr="00D63953">
        <w:t xml:space="preserve"> közösségeket; mivel ezeket a feltételeket a bűnözői hálózatok, a terrorista szervezetek és a helyi milíciák egyre inkább kihasználják befolyásuk megerősítése és céljaik előmozdítása érdekében;</w:t>
      </w:r>
    </w:p>
    <w:p w:rsidR="0052679B" w:rsidRPr="00D63953" w:rsidP="00913896" w14:paraId="10D22DF9" w14:textId="77777777">
      <w:pPr>
        <w:pStyle w:val="NormalHanging12a"/>
        <w:widowControl/>
      </w:pPr>
      <w:r w:rsidRPr="00D63953">
        <w:t>L.</w:t>
      </w:r>
      <w:r w:rsidRPr="00D63953">
        <w:tab/>
        <w:t xml:space="preserve">mivel csak a vízkészletekhez való méltányos és fenntartható hozzáférés biztosíthatja a hosszú távú kiszámíthatóságot mindenki számára; mivel a vízkészletekkel kapcsolatos stratégiai transznacionális együttműködés lehetővé teszi az emberi tevékenységek fenntartható irányítását és a kiszámíthatatlan hidrológiai ciklusokra való közös felkészülést, amely valamennyi szomszéd számára előnyös;  </w:t>
      </w:r>
    </w:p>
    <w:p w:rsidR="0052679B" w:rsidRPr="00D63953" w:rsidP="00913896" w14:paraId="6A3A738F" w14:textId="77777777">
      <w:pPr>
        <w:pStyle w:val="NormalHanging12a"/>
        <w:widowControl/>
      </w:pPr>
      <w:r w:rsidRPr="00D63953">
        <w:t>M.</w:t>
      </w:r>
      <w:r w:rsidRPr="00D63953">
        <w:tab/>
        <w:t xml:space="preserve">mivel a földközi-tengeri paktum a megerősített regionális együttműködés kerete; mivel a vízdiplomáciát fel kell venni a paktum kiemelt intézkedései közé, tekintettel a Földközi-tenger közös vízkészleteire nehezedő növekvő nyomásra, többek között az olyan régiókban, mint a Földközi-tenger keleti térsége és Észak-Afrika; mivel az együttműködésen alapuló vízgazdálkodást, a közös infrastrukturális projekteket és a határokon átnyúló erőforrásokról folytatott párbeszédet a konfliktusmegelőzés, az éghajlatváltozás hatásaival szembeni </w:t>
      </w:r>
      <w:r w:rsidRPr="00D63953">
        <w:t>reziliencia</w:t>
      </w:r>
      <w:r w:rsidRPr="00D63953">
        <w:t xml:space="preserve"> és a fenntartható fejlődés fontos eszközeként kell elismerni;</w:t>
      </w:r>
    </w:p>
    <w:p w:rsidR="0052679B" w:rsidRPr="00D63953" w:rsidP="00913896" w14:paraId="5F702770" w14:textId="77777777">
      <w:pPr>
        <w:pStyle w:val="NormalHanging12a"/>
        <w:widowControl/>
      </w:pPr>
      <w:r w:rsidRPr="00D63953">
        <w:t>N.</w:t>
      </w:r>
      <w:r w:rsidRPr="00D63953">
        <w:tab/>
        <w:t>mivel a fegyveres konfliktusok és a megszállás jelentősen megzavarják a vízhez való hozzáférést és a transznacionális vízügyi együttműködést;</w:t>
      </w:r>
    </w:p>
    <w:p w:rsidR="0052679B" w:rsidRPr="00D63953" w:rsidP="00913896" w14:paraId="6CA5E281" w14:textId="77777777">
      <w:pPr>
        <w:pStyle w:val="NormalHanging12a"/>
        <w:widowControl/>
      </w:pPr>
      <w:r w:rsidRPr="00D63953">
        <w:t>O.</w:t>
      </w:r>
      <w:r w:rsidRPr="00D63953">
        <w:tab/>
        <w:t>mivel a fenntartható vízgazdálkodásra vonatkozó globális szintű politikai kötelezettségvállalásokat nem kísérte a szükséges helyi szintű finanszírozás, illetve fellépés;</w:t>
      </w:r>
    </w:p>
    <w:p w:rsidR="0052679B" w:rsidRPr="00D63953" w:rsidP="00913896" w14:paraId="32EF6181" w14:textId="77777777">
      <w:pPr>
        <w:pStyle w:val="NormalHanging12a"/>
        <w:widowControl/>
      </w:pPr>
      <w:r w:rsidRPr="00D63953">
        <w:t>P.</w:t>
      </w:r>
      <w:r w:rsidRPr="00D63953">
        <w:tab/>
        <w:t xml:space="preserve">mivel a nemzetközi humanitárius jog, különösen a genfi egyezmények 1977. évi kiegészítő jegyzőkönyvei kifejezett védelmet biztosítanak a gátak és más „veszélyes erőket tartalmazó létesítmények” számára; mivel a víz fegyverként való felhasználása, beleértve a vízrendszerek és -létesítmények célba vételét vagy az ebből eredő környezeti károkat, az emberi jogok súlyos megsértésének minősül, és emberiesség elleni bűncselekménynek és </w:t>
      </w:r>
      <w:r w:rsidRPr="00D63953">
        <w:t>ökocídiumnak</w:t>
      </w:r>
      <w:r w:rsidRPr="00D63953">
        <w:t xml:space="preserve"> minősülhet;</w:t>
      </w:r>
    </w:p>
    <w:p w:rsidR="0052679B" w:rsidRPr="00D63953" w:rsidP="00913896" w14:paraId="247C6868" w14:textId="77777777">
      <w:pPr>
        <w:pStyle w:val="NormalHanging12a"/>
        <w:widowControl/>
      </w:pPr>
      <w:r w:rsidRPr="00D63953">
        <w:t>Q.</w:t>
      </w:r>
      <w:r w:rsidRPr="00D63953">
        <w:tab/>
        <w:t xml:space="preserve">mivel napjaink hadviselése egyre inkább magában foglalja a vízellátás és a vízügyi infrastruktúra szándékos célba vételét és fegyverként való felhasználását, amint azt legutóbb az is bizonyította, hogy Oroszország 2023-ban lerombolta az ukrajnai </w:t>
      </w:r>
      <w:r w:rsidRPr="00D63953">
        <w:t>Kahovka</w:t>
      </w:r>
      <w:r w:rsidRPr="00D63953">
        <w:t xml:space="preserve">-gátat; mivel a </w:t>
      </w:r>
      <w:r w:rsidRPr="00D63953">
        <w:t>Kahovka</w:t>
      </w:r>
      <w:r w:rsidRPr="00D63953">
        <w:t xml:space="preserve">-gát lerombolása súlyos környezeti károkat okozott, többek között áradásokat, az édesvízkészletek szennyezését, a biológiai sokféleség csökkenését és az ökoszisztémák hosszú távú károsodását, haláleseteket eredményezett és a polgári lakosság tömeges lakóhelyelhagyását okozta, és megfosztotta őket a biztonságos ivóvízhez és a megélhetéshez való hozzáféréstől; mivel a gát lerombolása komoly kockázatot jelentett a közeli </w:t>
      </w:r>
      <w:r w:rsidRPr="00D63953">
        <w:t>zaporizzsjai</w:t>
      </w:r>
      <w:r w:rsidRPr="00D63953">
        <w:t xml:space="preserve"> atomerőmű nukleáris biztonságára nézve; mivel Oroszország Ukrajna elleni agressziós háborúja következtében Ukrajnában jelenleg mintegy 1,7 millió gyermek nem rendelkezik megbízható hozzáféréssel a biztonságos vízhez;</w:t>
      </w:r>
    </w:p>
    <w:p w:rsidR="0052679B" w:rsidRPr="00D63953" w:rsidP="00913896" w14:paraId="53BE2FC0" w14:textId="77777777">
      <w:pPr>
        <w:pStyle w:val="NormalHanging12a"/>
        <w:widowControl/>
      </w:pPr>
      <w:r w:rsidRPr="00D63953">
        <w:t>R.</w:t>
      </w:r>
      <w:r w:rsidRPr="00D63953">
        <w:tab/>
        <w:t>mivel a Parlament a lehető leghatározottabban elítélte, hogy Oroszország háborús fegyverként felhasználva szándékosan lerombolja a vízügyi infrastruktúrát, beleértve a gátakat is; mivel a pusztítás súlyos környezeti károkat okozott, aláásta a vízbiztonságot és veszélyeztette a polgári lakosságot; mivel az ilyen cselekmények a nemzetközi jog megsértésének minősülnek, és megkövetelik a felelősök teljes körű elszámoltathatóságát; mivel a Bizottság és az uniós tagállamok továbbra is segítséget nyújtanak Ukrajnának az elkövetőkkel szembeni nyomozásban annak érdekében, hogy háborús bűncselekmények és emberiesség elleni bűncselekmények miatt büntetőeljárás alá lehessen vonni őket;</w:t>
      </w:r>
    </w:p>
    <w:p w:rsidR="0052679B" w:rsidRPr="00D63953" w:rsidP="00913896" w14:paraId="423ACE03" w14:textId="77777777">
      <w:pPr>
        <w:pStyle w:val="NormalHanging12a"/>
        <w:widowControl/>
      </w:pPr>
      <w:r w:rsidRPr="00D63953">
        <w:t>S.</w:t>
      </w:r>
      <w:r w:rsidRPr="00D63953">
        <w:tab/>
        <w:t xml:space="preserve">mivel az EU támogatja a közös izraeli-palesztin vízügyi irányítási mechanizmusokat, beleértve a meglévő keretek, például a Vízügyi Vegyes Bizottság újraindítását a méltányos vízelosztás, a jobb átláthatóság és a hatékony infrastruktúrafejlesztés előmozdítása érdekében; mivel a közös vízkészletekhez való egyenlőtlen hozzáférés továbbra is az instabilitás strukturális mozgatórugója a Közel-Keleten, különösen a </w:t>
      </w:r>
      <w:r w:rsidRPr="00D63953">
        <w:t>Jordán-folyó medencéjében, ahol a palesztin közösségek számára biztosított elosztás és ellenőrzés terén fennálló múltbeli és folyamatos egyensúlyhiányok elmélyítik a társadalmi-gazdasági egyenlőtlenségeket; mivel a meglévő megállapodások értelmében az izraeli hatóságok tényleges ellenőrzést gyakorolnak a Ciszjordániában található és onnan eredő vízkészletek többsége felett;</w:t>
      </w:r>
    </w:p>
    <w:p w:rsidR="0052679B" w:rsidRPr="00D63953" w:rsidP="00913896" w14:paraId="64FE2D31" w14:textId="77777777">
      <w:pPr>
        <w:pStyle w:val="NormalHanging12a"/>
        <w:widowControl/>
      </w:pPr>
      <w:r w:rsidRPr="00D63953">
        <w:t>T.</w:t>
      </w:r>
      <w:r w:rsidRPr="00D63953">
        <w:tab/>
        <w:t xml:space="preserve">mivel az Izrael és a </w:t>
      </w:r>
      <w:r w:rsidRPr="00D63953">
        <w:t>Hamász</w:t>
      </w:r>
      <w:r w:rsidRPr="00D63953">
        <w:t xml:space="preserve"> közötti konfliktus következtében a Gázai övezetben jelentős arányban megsemmisült a vízellátási, szennyvízelvezetési és higiéniai infrastruktúra, beleértve a </w:t>
      </w:r>
      <w:r w:rsidRPr="00D63953">
        <w:t>sótalanító</w:t>
      </w:r>
      <w:r w:rsidRPr="00D63953">
        <w:t xml:space="preserve"> üzemeket, a szennyvíztisztító létesítményeket és az </w:t>
      </w:r>
      <w:r w:rsidRPr="00D63953">
        <w:t>elosztóhálózatokat</w:t>
      </w:r>
      <w:r w:rsidRPr="00D63953">
        <w:t xml:space="preserve">, aminek következtében a lakosság nagy része nem fér hozzá megbízhatóan a biztonságos ivóvízhez, ami súlyosbítja a humanitárius szükségleteket; mivel az ENSZ Emberi Jogi Főbiztosának Hivatala (OHCHR) 2025 júliusában arról számolt be, hogy Gáza vízellátási és </w:t>
      </w:r>
      <w:r w:rsidRPr="00D63953">
        <w:t>szanitációs</w:t>
      </w:r>
      <w:r w:rsidRPr="00D63953">
        <w:t xml:space="preserve"> infrastruktúrájának 89%-a megrongálódott vagy megsemmisült, ami a háztartások több mint 90%-</w:t>
      </w:r>
      <w:r w:rsidRPr="00D63953">
        <w:t>ának</w:t>
      </w:r>
      <w:r w:rsidRPr="00D63953">
        <w:t xml:space="preserve"> vízellátását bizonytalanná tette; mivel a kritikus vízügyi infrastruktúra – többek között a csővezetékek, </w:t>
      </w:r>
      <w:r w:rsidRPr="00D63953">
        <w:t>sótalanító</w:t>
      </w:r>
      <w:r w:rsidRPr="00D63953">
        <w:t xml:space="preserve"> egységek és szennyvíztisztító telepek – helyreállításához és újjáépítéséhez gyors és akadálytalan anyag- és üzemanyagszállításra, valamint technikai segítségnyújtásra van szükség;</w:t>
      </w:r>
    </w:p>
    <w:p w:rsidR="0052679B" w:rsidRPr="00D63953" w:rsidP="00913896" w14:paraId="0618A46B" w14:textId="77777777">
      <w:pPr>
        <w:pStyle w:val="NormalHanging12a"/>
        <w:widowControl/>
      </w:pPr>
      <w:r w:rsidRPr="00D63953">
        <w:t>U.</w:t>
      </w:r>
      <w:r w:rsidRPr="00D63953">
        <w:tab/>
        <w:t xml:space="preserve">mivel a Törökország által a délkelet-anatóliai projekt (GAP) keretében végrehajtott nagyszabású gátprojektek – köztük az </w:t>
      </w:r>
      <w:r w:rsidRPr="00D63953">
        <w:t>Ilısu</w:t>
      </w:r>
      <w:r w:rsidRPr="00D63953">
        <w:t>-gát – határokon átnyúló hatásai hatással voltak a Tigris és az Eufrátesz folyók alsó folyására, és hozzájárultak a vízhiányhoz, a mezőgazdasági veszteségekhez és a környezetkárosodáshoz Irakban és Szíriában; mivel a török, iraki és szíriai érdekelt feleknek strukturált és inkluzív, az egész vízgyűjtő területre kiterjedő párbeszédet kell folytatniuk a Tigris-Eufrátesz folyórendszer kezeléséről, amely a nemzetközi vízjog elvein alapul, beleértve a méltányos és észszerű használatot és a jelentős károkozás elkerülésének kötelezettségét;</w:t>
      </w:r>
    </w:p>
    <w:p w:rsidR="0052679B" w:rsidRPr="00D63953" w:rsidP="00913896" w14:paraId="7A685AC2" w14:textId="77777777">
      <w:pPr>
        <w:pStyle w:val="NormalHanging12a"/>
        <w:widowControl/>
      </w:pPr>
      <w:r w:rsidRPr="00D63953">
        <w:t>V.</w:t>
      </w:r>
      <w:r w:rsidRPr="00D63953">
        <w:tab/>
        <w:t xml:space="preserve">mivel a Nagy Etióp Reneszánsz Duzzasztógát 2025-ös befejezését és átadását követően továbbra is fennállnak az Egyiptom és Etiópia közötti feszültségek, amelyek jelentősen befolyásolhatják a Nílus-medence </w:t>
      </w:r>
      <w:r w:rsidRPr="00D63953">
        <w:t>hidropolitikai</w:t>
      </w:r>
      <w:r w:rsidRPr="00D63953">
        <w:t xml:space="preserve"> egyensúlyát; mivel az ENSZ Biztonsági Tanácsa több alkalommal is megvitatta a Nagy Etióp Reneszánsz Duzzasztógát kérdését; mivel minden érintett félnek tartózkodnia kell az olyan egyoldalú intézkedésektől, amelyek súlyosbíthatják a feszültségeket, és prioritásként kell kezelnie a bizalomépítő lépéseket, beleértve a gátak működésének átláthatóságát és a vízáramlás előrejelzésével kapcsolatos technikai együttműködést;</w:t>
      </w:r>
    </w:p>
    <w:p w:rsidR="0052679B" w:rsidRPr="00D63953" w:rsidP="00913896" w14:paraId="106EC608" w14:textId="77777777">
      <w:pPr>
        <w:pStyle w:val="NormalHanging12a"/>
        <w:widowControl/>
      </w:pPr>
      <w:r w:rsidRPr="00D63953">
        <w:t>W.</w:t>
      </w:r>
      <w:r w:rsidRPr="00D63953">
        <w:tab/>
        <w:t xml:space="preserve">mivel az </w:t>
      </w:r>
      <w:r w:rsidRPr="00D63953">
        <w:t>Araksz</w:t>
      </w:r>
      <w:r w:rsidRPr="00D63953">
        <w:t xml:space="preserve">-folyó létfontosságú Örményország és Azerbajdzsán számára a mezőgazdaság, a gazdasági fejlődés és az ivóvíz szempontjából, miközben az </w:t>
      </w:r>
      <w:r w:rsidRPr="00D63953">
        <w:t>Araksz</w:t>
      </w:r>
      <w:r w:rsidRPr="00D63953">
        <w:t>-folyó vízminősége és vízmennyisége egyre nagyobb nyomás alatt áll; mivel egy jövőbeli, Örményország és Azerbajdzsán között létrejövő, a két ország közös határon átnyúló víztestét szabályozó megállapodás – amely magában foglalná az adatmegosztás, a közös monitoring, a gátbiztonság, valamint a mezőgazdasági és polgári célú vízfelhasználás méltányos és fenntartható elosztásának mechanizmusait – lehetővé tenné, hogy a folyó ahelyett, hogy az instabilitás forrása lenne, közös erőforrásként szolgáljon;</w:t>
      </w:r>
    </w:p>
    <w:p w:rsidR="0052679B" w:rsidRPr="00D63953" w:rsidP="00913896" w14:paraId="04AFD6A2" w14:textId="77777777">
      <w:pPr>
        <w:pStyle w:val="NormalHanging12a"/>
        <w:widowControl/>
      </w:pPr>
      <w:r w:rsidRPr="00D63953">
        <w:t>X.</w:t>
      </w:r>
      <w:r w:rsidRPr="00D63953">
        <w:tab/>
        <w:t>mivel a folyók és a tengeri áramlatok által szállított szennyezés és hulladék felhalmozódhat más államok partjainál, környezeti, gazdasági és társadalmi károkat okozva, többek között a turizmusban és a halászatban;</w:t>
      </w:r>
    </w:p>
    <w:p w:rsidR="0052679B" w:rsidRPr="00D63953" w:rsidP="00913896" w14:paraId="68C9C164" w14:textId="5F4C2A89">
      <w:pPr>
        <w:pStyle w:val="NormalHanging12a"/>
        <w:widowControl/>
      </w:pPr>
      <w:r w:rsidRPr="00D63953">
        <w:t>Y.</w:t>
      </w:r>
      <w:r w:rsidRPr="00D63953">
        <w:tab/>
        <w:t>mivel a vízhiány és a vízkészletek romlása tömeges lakóhelyelhagyáshoz és kényszerű migrációhoz is vezethet, súlyosbítva az élelmiszerellátás bizonytalanságát, a szegénységet és az instabilitást a legsebezhetőbb régiókban; mivel a migráció kiváltó okai kezelésének egyik eszköze a vízgazdálkodás javítása a harmadik országokban;</w:t>
      </w:r>
    </w:p>
    <w:p w:rsidR="0052679B" w:rsidRPr="00D63953" w:rsidP="00913896" w14:paraId="1F0D108B" w14:textId="77777777">
      <w:pPr>
        <w:pStyle w:val="NormalHanging12a"/>
        <w:widowControl/>
      </w:pPr>
      <w:r w:rsidRPr="00D63953">
        <w:t>Z.</w:t>
      </w:r>
      <w:r w:rsidRPr="00D63953">
        <w:tab/>
        <w:t>mivel a konfliktus sújtotta területeken a fegyveres állami és nem állami szereplők a legyengült lakosságot kihasználva a vízkészletek ellenőrzése révén szereznek legitimitást; mivel a vízinfrastruktúrához való hozzáférést és a vízinfrastruktúra ellenőrzését egyre inkább politikai nyomásgyakorlási, kényszerítő vagy háborús eszközként használják;</w:t>
      </w:r>
    </w:p>
    <w:p w:rsidR="0052679B" w:rsidRPr="00D63953" w:rsidP="00913896" w14:paraId="53405799" w14:textId="77777777">
      <w:pPr>
        <w:pStyle w:val="NormalHanging12a"/>
        <w:widowControl/>
      </w:pPr>
      <w:r w:rsidRPr="00D63953">
        <w:t>AA.</w:t>
      </w:r>
      <w:r w:rsidRPr="00D63953">
        <w:tab/>
        <w:t xml:space="preserve">mivel a köz- és magánszféra közötti partnerségeknek elő kell mozdítaniuk a vízhez, a </w:t>
      </w:r>
      <w:r w:rsidRPr="00D63953">
        <w:t>szanitációhoz</w:t>
      </w:r>
      <w:r w:rsidRPr="00D63953">
        <w:t xml:space="preserve"> és a higiéniához való jobb és megfizethetőbb hozzáférést mindenki számára, különösen a vízügyi infrastruktúrák létrehozása, valamint hatékony és fenntartható karbantartása és kezelése terén; mivel az állami beruházásoknak és politikáknak ösztönözniük kell és elő kell mozdítaniuk, hogy a magánszektor olyan technológiákba és gazdálkodási gyakorlatokba fektessen be, amelyek fokozzák a fenntartható gazdasági tevékenységet;</w:t>
      </w:r>
    </w:p>
    <w:p w:rsidR="0052679B" w:rsidRPr="00D63953" w:rsidP="00913896" w14:paraId="666D5DC6" w14:textId="77777777">
      <w:pPr>
        <w:pStyle w:val="NormalHanging12a"/>
        <w:widowControl/>
      </w:pPr>
      <w:r w:rsidRPr="00D63953">
        <w:t>1.</w:t>
      </w:r>
      <w:r w:rsidRPr="00D63953">
        <w:tab/>
        <w:t>a következő ajánlásokat fogalmazza meg a Tanács, a Bizottság, illetve a Bizottság alelnöke / az Unió külügyi és biztonságpolitikai főképviselője felé:</w:t>
      </w:r>
    </w:p>
    <w:p w:rsidR="0052679B" w:rsidRPr="00D63953" w:rsidP="00913896" w14:paraId="0CB362EE" w14:textId="400C7A61">
      <w:pPr>
        <w:pStyle w:val="NormalHanging12a"/>
        <w:widowControl/>
        <w:ind w:left="1134"/>
      </w:pPr>
      <w:r w:rsidRPr="00D63953">
        <w:t>a)</w:t>
      </w:r>
      <w:r w:rsidRPr="00D63953">
        <w:tab/>
        <w:t xml:space="preserve">növeljék a transznacionális vízügyi irányítás szerepét az EU külső tevékenységében, hogy az jelentősen hozzájáruljon a konfliktusok megelőzéséhez, megoldásához és a bizalomépítéshez regionális, nemzeti és nemzetközi szinten, különösen az éghajlatváltozás hatásainak kitett és már most is vízhiánnyal küzdő területeken, különösen a stratégiai jelentőségű régiókban; kifejezetten ismerjék el a vízhiányt mint jelentős biztonsági, geopolitikai és humanitárius kockázati tényezőt, és teljes mértékben építsék be a vízzel kapcsolatos konfliktusok megelőzését az EU </w:t>
      </w:r>
      <w:r w:rsidRPr="00D63953">
        <w:t>kül</w:t>
      </w:r>
      <w:r w:rsidRPr="00D63953">
        <w:t>-, biztonság- és fejlesztési politikájába;</w:t>
      </w:r>
    </w:p>
    <w:p w:rsidR="0052679B" w:rsidRPr="00D63953" w:rsidP="00913896" w14:paraId="58E6EA73" w14:textId="1917C5D0">
      <w:pPr>
        <w:pStyle w:val="NormalHanging12a"/>
        <w:widowControl/>
        <w:ind w:left="1134"/>
      </w:pPr>
      <w:r w:rsidRPr="00D63953">
        <w:t>b)</w:t>
      </w:r>
      <w:r w:rsidRPr="00D63953">
        <w:tab/>
        <w:t xml:space="preserve">kezeljék a határokon átnyúló vízgyűjtőkön osztozó kormányok közötti operatív megállapodások hiányát, és </w:t>
      </w:r>
      <w:r w:rsidRPr="00D63953">
        <w:t>bocsássanak</w:t>
      </w:r>
      <w:r w:rsidRPr="00D63953">
        <w:t xml:space="preserve"> rendelkezésre minden szükséges uniós szakértelmet, valamint technikai és pénzügyi támogatást annak érdekében, hogy támogassa a kormányokat az ilyen megállapodások, valamint a vízgyűjtőkkel foglalkozó szervezetek létrehozásában és végrehajtásában, teljes mértékben tiszteletben tartva ugyanakkor a partnerországok szuverenitását és a vízkészlet-gazdálkodással kapcsolatos elsődleges felelősségüket a feszültségek vagy konfliktusok kockázatának csökkentése, az együttműködés előmozdítása és a természeti erőforrásokkal való fenntartható gazdálkodás fokozása érdekében; következetesen vessék fel a transznacionális vízügyi irányítással kapcsolatos kérdéseket a partnerországokkal folytatott kétoldalú uniós párbeszédek során;</w:t>
      </w:r>
    </w:p>
    <w:p w:rsidR="0052679B" w:rsidRPr="00D63953" w:rsidP="00913896" w14:paraId="2DBD1B24" w14:textId="489862EC">
      <w:pPr>
        <w:pStyle w:val="NormalHanging12a"/>
        <w:widowControl/>
        <w:ind w:left="1134"/>
      </w:pPr>
      <w:r w:rsidRPr="00D63953">
        <w:t>c)</w:t>
      </w:r>
      <w:r w:rsidRPr="00D63953">
        <w:tab/>
        <w:t xml:space="preserve">támogassák a partnerországok arra irányuló erőfeszítéseit, hogy megteremtsék az együttműködésen alapuló vízgazdálkodáshoz szükséges jogi környezetet és támogató politikát, és erősítsék meg a transznacionális vízügyi irányítás szerepét az EU külső tevékenységében és diplomáciájában; e célból biztosítsák az Európai Külügyi Szolgálat (EKSZ) és a világszerte működő uniós küldöttségek számára a megfelelő pénzügyi és emberi erőforrásokat a partnerországokon belüli és azok közötti, határokon átnyúló vízgazdálkodás helyszíni támogatásához, valamint a kék diplomácia fejlesztésének és végrehajtásának előmozdításához; </w:t>
      </w:r>
    </w:p>
    <w:p w:rsidR="0052679B" w:rsidRPr="00D63953" w:rsidP="00913896" w14:paraId="4AC6F3FE" w14:textId="3E79254A">
      <w:pPr>
        <w:pStyle w:val="NormalHanging12a"/>
        <w:widowControl/>
        <w:ind w:left="1134"/>
      </w:pPr>
      <w:r w:rsidRPr="00D63953">
        <w:t>d)</w:t>
      </w:r>
      <w:r w:rsidRPr="00D63953">
        <w:tab/>
        <w:t xml:space="preserve">biztosítsák az EU határokon átnyúló vízgazdálkodásának megfelelő és hatékony finanszírozását az EU külső fellépéseiben a következő többéves pénzügyi kereten belül a Globális Európa és a Global </w:t>
      </w:r>
      <w:r w:rsidRPr="00D63953">
        <w:t>Gateway</w:t>
      </w:r>
      <w:r w:rsidRPr="00D63953">
        <w:t xml:space="preserve"> eszközök révén; erősítsék meg a vízhez és a megfelelő higiénés körülményekhez való hozzáférésre irányuló uniós külső beruházások </w:t>
      </w:r>
      <w:r w:rsidRPr="00D63953">
        <w:t>testreszabását</w:t>
      </w:r>
      <w:r w:rsidRPr="00D63953">
        <w:t xml:space="preserve"> az instabil és konfliktus sújtotta környezetekben a béke és a </w:t>
      </w:r>
      <w:r w:rsidRPr="00D63953">
        <w:t>reziliencia</w:t>
      </w:r>
      <w:r w:rsidRPr="00D63953">
        <w:t xml:space="preserve"> támogatása érdekében, többek között az éghajlatváltozás hatásaival szemben </w:t>
      </w:r>
      <w:r w:rsidRPr="00D63953">
        <w:t>reziliens</w:t>
      </w:r>
      <w:r w:rsidRPr="00D63953">
        <w:t xml:space="preserve"> és fenntartható vízgazdálkodáshoz és a szennyvízelvezetési infrastruktúrához való globális hozzáférés finanszírozásának növelése révén; biztosítsák, hogy az uniós fejlesztési együttműködési és külpolitikai eszközök – köztük az Európai Beruházási Bank – által finanszírozott infrastrukturális és energetikai projektek továbbra is teljes mértékben összhangban legyenek a nemzetközi joggal, ne ássák alá a határokon átnyúló vízügyi kapcsolatokat, az egyenlő hozzáférést és a fenntartható gazdálkodást, és könnyítsék meg az emberek, különösen az őslakos népek földjeikhez való hozzáférését; hangolják össze a finanszírozást a vízügyi </w:t>
      </w:r>
      <w:r w:rsidRPr="00D63953">
        <w:t>rezilienciára</w:t>
      </w:r>
      <w:r w:rsidRPr="00D63953">
        <w:t xml:space="preserve"> vonatkozó első európai stratégia kiemelt globális intézkedéseivel; </w:t>
      </w:r>
    </w:p>
    <w:p w:rsidR="0052679B" w:rsidRPr="00D63953" w:rsidP="00913896" w14:paraId="4D8B2ECA" w14:textId="285420C0">
      <w:pPr>
        <w:pStyle w:val="NormalHanging12a"/>
        <w:widowControl/>
        <w:ind w:left="1134"/>
      </w:pPr>
      <w:r w:rsidRPr="00D63953">
        <w:t>e)</w:t>
      </w:r>
      <w:r w:rsidRPr="00D63953">
        <w:tab/>
        <w:t>ismerjék el és erősítsék meg a környezetvédelmi jogvédők és a civil társadalmi szervezetek által a vízmegőrzés, az egyenlő hozzáférés és a határokon átnyúló vízügyi irányítás érdekében végzett kulcsfontosságú munka támogatását; szorosan vonják be a helyi környezetvédelmi jogvédőket és a civil társadalmi szervezeteket a nem uniós országok transznacionális vízügyi irányításához nyújtott uniós támogatásba, és mozdítsák elő biztonságukat és szabadságukat, hogy erőszak és megfélemlítés nélkül működhessenek; növeljék a vízdiplomácia, a konfliktusmegelőzés és a határokon átnyúló vízügyi együttműködés területén tevékenykedő nem kormányzati szervezeteknek nyújtott támogatást, különösen az instabil és konfliktus sújtotta régiókban, elismerve fontos szerepüket a helyi és regionális szintű párbeszéd elősegítésében, a közösségi alapú vízgazdálkodás támogatásában, a bizalomépítés előmozdításában, valamint a fenntartható és inkluzív vízügyi irányítási kezdeményezésekhez való hozzájárulásban;</w:t>
      </w:r>
    </w:p>
    <w:p w:rsidR="0052679B" w:rsidRPr="00D63953" w:rsidP="00913896" w14:paraId="6F8EDB37" w14:textId="5F5E5B20">
      <w:pPr>
        <w:pStyle w:val="NormalHanging12a"/>
        <w:widowControl/>
        <w:ind w:left="1134"/>
      </w:pPr>
      <w:r w:rsidRPr="00D63953">
        <w:t>f)</w:t>
      </w:r>
      <w:r w:rsidRPr="00D63953">
        <w:tab/>
      </w:r>
      <w:bookmarkStart w:id="7" w:name="_Hlk231546271"/>
      <w:r w:rsidRPr="00D63953">
        <w:t xml:space="preserve">az „Európa együtt” megközelítés révén terjesszék ki a határokon átnyúló uniós vízügyi irányítási projektek földrajzi hatályát Afrika és Közép-Ázsia bizonyos részein túl az amerikai kontinensre, a Közel-Keletre és Észak-Afrikára, valamint Kelet- és Dél-Ázsiára, </w:t>
      </w:r>
      <w:bookmarkEnd w:id="7"/>
      <w:r w:rsidRPr="00D63953">
        <w:t>különösen amennyiben a vízellátás bizonytalansága hozzájárulhat az instabilitáshoz és a lakóhelyelhagyáshoz;</w:t>
      </w:r>
    </w:p>
    <w:p w:rsidR="0052679B" w:rsidRPr="00D63953" w:rsidP="00913896" w14:paraId="567CB308" w14:textId="0AAE64D1">
      <w:pPr>
        <w:pStyle w:val="NormalHanging12a"/>
        <w:widowControl/>
        <w:ind w:left="1134"/>
      </w:pPr>
      <w:r w:rsidRPr="00D63953">
        <w:t>g)</w:t>
      </w:r>
      <w:r w:rsidRPr="00D63953">
        <w:tab/>
        <w:t>erősítsék meg a fenntartható víz- és szennyvízgazdálkodást az infrastruktúra, a technológiák és a szakértelem terén folytatott együttműködés partnerségekbe és fejlesztési programokba való módszeres beépítése révén; többek között a helyi hatóságokkal, közszolgáltatásokkal, civil társadalommal és közösségi alapú szervezetekkel létrehozott partnerségek keretében támogassák a partnerországokban a kapacitásépítést és az intézmények megerősítését a víziközmű-szolgáltatások tervezésének, irányításának és karbantartásának javítása érdekében; az infrastrukturális beruházásokat igazítsák hozzá a helyi és történelmi körülményekhez annak érdekében, hogy a víz a béke és a stabilitás eszközévé váljon;</w:t>
      </w:r>
    </w:p>
    <w:p w:rsidR="0052679B" w:rsidRPr="00D63953" w:rsidP="00913896" w14:paraId="08ED2309" w14:textId="4C0C3086">
      <w:pPr>
        <w:pStyle w:val="NormalHanging12a"/>
        <w:widowControl/>
        <w:ind w:left="1134"/>
      </w:pPr>
      <w:r w:rsidRPr="00D63953">
        <w:t>h)</w:t>
      </w:r>
      <w:r w:rsidRPr="00D63953">
        <w:tab/>
        <w:t xml:space="preserve">erősítsék meg a vízzel kapcsolatos többoldalú együttműködést, különösen az ENSZ-en belül, az ENSZ vízügyi egyezménye egyetemesebb alkalmazásának folytatása és fokozása, valamint a fenntartható fejlődési célok, különösen a tiszta </w:t>
      </w:r>
      <w:r w:rsidRPr="00D63953">
        <w:t xml:space="preserve">vízre és a </w:t>
      </w:r>
      <w:r w:rsidRPr="00D63953">
        <w:t>szanitációra</w:t>
      </w:r>
      <w:r w:rsidRPr="00D63953">
        <w:t xml:space="preserve"> vonatkozó 6. fenntartható fejlődési cél végrehajtásának támogatása révén, valamint az azokhoz való hozzáférés terén az országok között és az országokon belül mutatkozó jelentős egyenlőtlenségek kezelése révén; biztosítsák az ENSZ 2023. évi vízügyi konferenciáján tett uniós kötelezettségvállalások folyamatos végrehajtását, fenntartva ugyanakkor ezeket a törekvéseket és intézkedéseket az ENSZ 2026. évi vízügyi konferenciájának előkészítése során; fokozzák a többszintű párbeszédet a konfliktusnak kitett medencékben található országokkal, beleértve a csúcstalálkozókat és a közös kezdeményezéseket, valamint a hosszú távú együttműködési formákat;</w:t>
      </w:r>
    </w:p>
    <w:p w:rsidR="0052679B" w:rsidRPr="00D63953" w:rsidP="00913896" w14:paraId="0C65BDAE" w14:textId="5D914014">
      <w:pPr>
        <w:pStyle w:val="NormalHanging12a"/>
        <w:widowControl/>
        <w:ind w:left="1134"/>
      </w:pPr>
      <w:r w:rsidRPr="00D63953">
        <w:t>i)</w:t>
      </w:r>
      <w:r w:rsidRPr="00D63953">
        <w:tab/>
        <w:t>hangsúlyozzák, hogy a hatékony, határokon átnyúló vízügyi irányítás a biológiai sokféleség és az éghajlat megőrzésétől függ, és erre tekintettel szorgalmazzák, hogy a vízgazdálkodás elsősorban a környezeti – mint a növények, állatok és emberek alapvető szükséglete – érdekekre reagáljon, és a közérdeken, valamint a közös közjavakon és a globális javakon alapuló logika vezérelje;</w:t>
      </w:r>
    </w:p>
    <w:p w:rsidR="0052679B" w:rsidRPr="00D63953" w:rsidP="00913896" w14:paraId="362A7289" w14:textId="1327165A">
      <w:pPr>
        <w:pStyle w:val="NormalHanging12a"/>
        <w:widowControl/>
        <w:ind w:left="1134"/>
      </w:pPr>
      <w:r w:rsidRPr="00D63953">
        <w:t>j)</w:t>
      </w:r>
      <w:r w:rsidRPr="00D63953">
        <w:tab/>
        <w:t xml:space="preserve">a stabilitás előmozdításának eszközeként erősítsék meg a globális vízgazdálkodás </w:t>
      </w:r>
      <w:r w:rsidRPr="00D63953">
        <w:t>rezilienciáját</w:t>
      </w:r>
      <w:r w:rsidRPr="00D63953">
        <w:t xml:space="preserve"> a vízügyi </w:t>
      </w:r>
      <w:r w:rsidRPr="00D63953">
        <w:t>rezilienciára</w:t>
      </w:r>
      <w:r w:rsidRPr="00D63953">
        <w:t xml:space="preserve"> vonatkozó uniós stratégia hatékony végrehajtása révén, különös tekintettel a vízhez és a megfelelő higiénés körülményekhez való hozzáférés legalább 70 millió ember számára történő támogatását, valamint a globális vízügyi irányítás és az olyan többoldalú fórumokon való szerepvállalás megerősítését célzó globális fellépésekre, mint a G7-ek, a G20-ak és a bakui párbeszéd a víz éghajlat-politikában betöltött szerepéről;</w:t>
      </w:r>
    </w:p>
    <w:p w:rsidR="0052679B" w:rsidRPr="00D63953" w:rsidP="00913896" w14:paraId="1578BFB3" w14:textId="389DA747">
      <w:pPr>
        <w:pStyle w:val="NormalHanging12a"/>
        <w:widowControl/>
        <w:ind w:left="1134"/>
      </w:pPr>
      <w:r w:rsidRPr="00D63953">
        <w:t>k)</w:t>
      </w:r>
      <w:r w:rsidRPr="00D63953">
        <w:tab/>
        <w:t>fektessenek be a határokon átnyúló vízgazdálkodás nemzetközi előmozdítására irányuló valamennyi folyamatban lévő uniós támogatás átláthatóbb áttekintésébe, és biztosítsák valamennyi érintett főigazgatóságon belül, valamint az EKSZ és a Bizottság között az összes munka és finanszírozás koherenciáját és észszerűsítését, biztosítva ugyanakkor, hogy a különböző programok kiegészítsék egymást, és ne legyenek átfedésben; erősítsék meg a határokon átnyúló vízügyi együttműködés terén tett uniós erőfeszítésekkel és eredményekkel kapcsolatos kommunikációt annak érdekében, hogy láthatóbbá váljon ez az alapvető eszköz és az EU vezető szerepe annak végrehajtásában;</w:t>
      </w:r>
    </w:p>
    <w:p w:rsidR="0052679B" w:rsidRPr="00D63953" w:rsidP="00913896" w14:paraId="545EE5E8" w14:textId="7E164D3A">
      <w:pPr>
        <w:pStyle w:val="NormalHanging12a"/>
        <w:widowControl/>
        <w:ind w:left="1134"/>
      </w:pPr>
      <w:r w:rsidRPr="00D63953">
        <w:t>l)</w:t>
      </w:r>
      <w:r w:rsidRPr="00D63953">
        <w:tab/>
        <w:t xml:space="preserve">mozdítsák elő a fokozott nemzetközi együttműködést, többek között a vízgyűjtő területek szervezeteinek szintjén, a növekvő vízválság kezelése érdekében; biztosítsák és javítsák a tiszta és jó minőségű vízhez és a megfelelő higiénés körülményekhez való hozzáférést; mozdítsák elő a fenntartható vízgazdálkodást, növeljék a víz </w:t>
      </w:r>
      <w:r w:rsidRPr="00D63953">
        <w:t>újrafelhasználását</w:t>
      </w:r>
      <w:r w:rsidRPr="00D63953">
        <w:t xml:space="preserve">, kezeljék a vízszennyezést, a túlzott felhasználást és a hulladékot, valamint hajtsanak végre különböző innovatív vízügyi technológiákat, többek között természetalapú megoldásokat;  </w:t>
      </w:r>
    </w:p>
    <w:p w:rsidR="0052679B" w:rsidRPr="00D63953" w:rsidP="00913896" w14:paraId="57A6D1BE" w14:textId="41DAB31E">
      <w:pPr>
        <w:pStyle w:val="NormalHanging12a"/>
        <w:widowControl/>
        <w:ind w:left="1134"/>
      </w:pPr>
      <w:r w:rsidRPr="00D63953">
        <w:t>m)</w:t>
      </w:r>
      <w:r w:rsidRPr="00D63953">
        <w:tab/>
        <w:t xml:space="preserve">biztosítsák, hogy az uniós vízügyi kezdeményezések világszerte kezeljék a továbbra is fennálló adathiányt és a kormányok közötti adatmegosztás hiányát azáltal, hogy a partnerországokat technikai és fizikai erőforrásokkal látják el a vízszint és a határokon átnyúló vízgyűjtő területek minőségének hatékony nyomon követéséhez, valamint a kompatibilitás növelése érdekében a partnerországok közötti adatcsere és az adatgyűjtésre vonatkozó közös normák előmozdítása révén; hiteles és megbízható szereplőként segítsék elő a megbízható vízügyi információk cseréjét a kormányok, az érdekelt felek és a nyilvánosság </w:t>
      </w:r>
      <w:r w:rsidRPr="00D63953">
        <w:t>között a vízhiányos és nagy feszültségű környezetben, beleértve azokat az eseteket is, amikor az információk megosztása biztonsági okokból érzékeny kérdésnek minősül; építsenek a vonatkozó uniós tapasztalatokra, programokra, gyakorlatokra és stratégiákra a bevált gyakorlatok regionális és nemzeti szereplők közötti megosztásának megerősítése érdekében, a vonatkozó uniós programokra, gyakorlatokra és stratégiákra építve;</w:t>
      </w:r>
    </w:p>
    <w:p w:rsidR="0052679B" w:rsidRPr="00D63953" w:rsidP="00913896" w14:paraId="35C94568" w14:textId="39D24117">
      <w:pPr>
        <w:pStyle w:val="NormalHanging12a"/>
        <w:widowControl/>
        <w:ind w:left="1134"/>
      </w:pPr>
      <w:r w:rsidRPr="00D63953">
        <w:t>n)</w:t>
      </w:r>
      <w:r w:rsidRPr="00D63953">
        <w:tab/>
      </w:r>
      <w:r w:rsidRPr="00D63953" w:rsidR="00D63953">
        <w:t xml:space="preserve">mozdítsák elő a kormányközi és regionális együttműködési eszközöket a vízkészlet-gazdálkodás terén, különös tekintettel a méltányos vízelosztás biztosítására, és támogassák a helyi és közösségi szintű irányítási struktúrákat; mérlegeljék a köz- és magánszféra közötti partnerségek támogatását, amennyiben azok hozzájárulnak a hatékony vízgazdálkodáshoz, valamint a vízhez, a </w:t>
      </w:r>
      <w:r w:rsidRPr="00D63953" w:rsidR="00D63953">
        <w:t>szanitációhoz</w:t>
      </w:r>
      <w:r w:rsidRPr="00D63953" w:rsidR="00D63953">
        <w:t xml:space="preserve"> és a higiéniához való megfizethetőbb hozzáféréshez mindenki számára; ösztönözzék az olyan technológiákba és gazdálkodási gyakorlatokba történő beruházásokat, amelyek fokozzák a fenntartható mezőgazdasági gyakorlatok alkalmazását a növénytermesztésben, az állattenyésztésben és a haltermelésben mind a mezőgazdasági kistermelők, mind a nagyobb vállalatok részéről</w:t>
      </w:r>
      <w:r w:rsidRPr="00D63953">
        <w:t>;</w:t>
      </w:r>
    </w:p>
    <w:p w:rsidR="0052679B" w:rsidRPr="00D63953" w:rsidP="00913896" w14:paraId="05788964" w14:textId="18F672D9">
      <w:pPr>
        <w:pStyle w:val="NormalHanging12a"/>
        <w:widowControl/>
        <w:ind w:left="1134"/>
      </w:pPr>
      <w:r w:rsidRPr="00D63953">
        <w:t>o)</w:t>
      </w:r>
      <w:r w:rsidRPr="00D63953">
        <w:tab/>
        <w:t>hangsúlyozzák a fejlesztési szempontú szakpolitikai koherencia és az uniós szakpolitikák partnerországok fejlesztési prioritásaival való összehangolásának elvét, a helyi erőforrásokra gyakorolt hatásuk értékelése alapján, annak érdekében, hogy közösen elkerüljék a vízkészletek kimerülését vagy szennyezését a nem uniós országokban;</w:t>
      </w:r>
    </w:p>
    <w:p w:rsidR="0052679B" w:rsidRPr="00D63953" w:rsidP="00913896" w14:paraId="7C3B764D" w14:textId="63FDC188">
      <w:pPr>
        <w:pStyle w:val="NormalHanging12a"/>
        <w:widowControl/>
        <w:ind w:left="1134"/>
      </w:pPr>
      <w:r w:rsidRPr="00D63953">
        <w:t>p)</w:t>
      </w:r>
      <w:r w:rsidRPr="00D63953">
        <w:tab/>
        <w:t>fokozzák az integrált vízkészlet-gazdálkodás mint olyan alapvető eszköz végrehajtását, amely előmozdítja a víz, a föld és a kapcsolódó erőforrások összehangolt fejlesztését és fenntartható kezelését, határokon átnyúlóan is, a 6.5.2. fenntartható fejlődési céllal összhangban, a part menti államok kölcsönös előnyére, valamint kiemelve a víz, az energia, az élelmiszer és az ökoszisztéma közötti kapcsolat fontosságát a vízzel kapcsolatos szinergiák és kompromisszumok kezelésében az EU külső fellépései során;</w:t>
      </w:r>
    </w:p>
    <w:p w:rsidR="0052679B" w:rsidRPr="00D63953" w:rsidP="00913896" w14:paraId="103651ED" w14:textId="08273A8C">
      <w:pPr>
        <w:pStyle w:val="NormalHanging12a"/>
        <w:widowControl/>
        <w:ind w:left="1134"/>
      </w:pPr>
      <w:r w:rsidRPr="00D63953">
        <w:t>q)</w:t>
      </w:r>
      <w:r w:rsidRPr="00D63953">
        <w:tab/>
        <w:t xml:space="preserve">erősítsék meg az uniós </w:t>
      </w:r>
      <w:r w:rsidRPr="00D63953">
        <w:t>nyomonkövetési</w:t>
      </w:r>
      <w:r w:rsidRPr="00D63953">
        <w:t xml:space="preserve"> és korai </w:t>
      </w:r>
      <w:r w:rsidRPr="00D63953">
        <w:t>előrejelző</w:t>
      </w:r>
      <w:r w:rsidRPr="00D63953">
        <w:t xml:space="preserve"> kapacitásokat a digitalizáció és a modern technológiák – többek között a műholdas megfigyelés és a szennyezés valós idejű nyomon követése – révén, amelyek elengedhetetlenek a határokon átnyúló szennyezés megelőzéséhez és leküzdéséhez, valamint a katasztrófakockázat-csökkentés támogatásához; </w:t>
      </w:r>
      <w:bookmarkStart w:id="8" w:name="_Hlk231546757"/>
      <w:r w:rsidRPr="00D63953">
        <w:t>világszerte erősítsék meg a vízhiány és a vízzel kapcsolatos konfliktuskockázatok – például a víz és a vízinfrastruktúra fegyverként való felhasználása és a vízhez való hozzáférés szándékos megtagadása – nyomon követését, és ezt a nyomon követést építsék be az EKSZ válságreagálási központjának konfliktusmegelőzési rendszereibe;</w:t>
      </w:r>
      <w:bookmarkEnd w:id="8"/>
    </w:p>
    <w:p w:rsidR="0052679B" w:rsidRPr="00D63953" w:rsidP="00913896" w14:paraId="0EF19E95" w14:textId="356894F5">
      <w:pPr>
        <w:pStyle w:val="NormalHanging12a"/>
        <w:widowControl/>
        <w:ind w:left="1134"/>
      </w:pPr>
      <w:r w:rsidRPr="00D63953">
        <w:t>r)</w:t>
      </w:r>
      <w:r w:rsidRPr="00D63953">
        <w:tab/>
        <w:t>ösztönözzék és finanszírozzák a határokon átnyúló fenntartható vízgazdálkodással, a vízmegosztással, az együttműködéssel és az innovációval kapcsolatos kutatást, többek között a Horizont Európa programon keresztül, valamint tárjanak fel olyan újonnan felmerülő kihívásokat, mint az időjárás-módosító tevékenységek;</w:t>
      </w:r>
    </w:p>
    <w:p w:rsidR="0052679B" w:rsidRPr="00D63953" w:rsidP="00913896" w14:paraId="665D776B" w14:textId="5C0B37CD">
      <w:pPr>
        <w:pStyle w:val="NormalHanging12a"/>
        <w:widowControl/>
        <w:ind w:left="1134"/>
      </w:pPr>
      <w:r w:rsidRPr="00D63953">
        <w:t>s)</w:t>
      </w:r>
      <w:r w:rsidRPr="00D63953">
        <w:tab/>
        <w:t xml:space="preserve">fontolják meg, hogy megbízzák az EU emberi jogi különleges képviselőjét a vízzel kapcsolatos konfliktusok megelőzésével és megoldásával, a vízügyi </w:t>
      </w:r>
      <w:r w:rsidRPr="00D63953">
        <w:t xml:space="preserve">együttműködés és a jogállamiság előmozdításával, valamint a vízforrások és -rendszerek védelmével, többek között fegyveres konfliktusok idején és határokon átnyúló helyzetekben is, és hogy az EU nevében vezesse a vízi ökoszisztémák védelmére és helyreállítására irányuló nemzetközi erőfeszítéseket a 6. fenntartható fejlődési céllal összhangban, mivel a vízgazdálkodás </w:t>
      </w:r>
      <w:r w:rsidRPr="00D63953">
        <w:t>rezilienciája</w:t>
      </w:r>
      <w:r w:rsidRPr="00D63953">
        <w:t xml:space="preserve"> elengedhetetlen a jelenlegi és jövőbeli egészségügyi, élelmezési, energetikai és biztonsági válságok kezeléséhez; konzultáljanak a Parlamenttel az EU emberi jogi különleges képviselője munkáját támogató megbízatásról, erőforrásokról és együttműködési megállapodásokról;</w:t>
      </w:r>
    </w:p>
    <w:p w:rsidR="0052679B" w:rsidRPr="00D63953" w:rsidP="00913896" w14:paraId="2ABB340A" w14:textId="1D54DF67">
      <w:pPr>
        <w:pStyle w:val="NormalHanging12a"/>
        <w:widowControl/>
        <w:ind w:left="1134"/>
      </w:pPr>
      <w:r w:rsidRPr="00D63953">
        <w:t>t)</w:t>
      </w:r>
      <w:r w:rsidRPr="00D63953">
        <w:tab/>
        <w:t>erősítsék meg a nemzetközi jog és az illetékes nemzetközi bíróságok szerepét, és a transznacionális víztestekkel kapcsolatos viták megoldásának elsődleges eszközeiként mozdítsák elő a párbeszédet, a közvetítést és a regionális megoldásokat, és ezáltal biztosítsák az érintett vizekkel határos valamennyi állam jogi kötelezettségeinek egyértelműségét és elszámoltathatóságát; szisztematikusan ítéljék el a víz konfliktushelyzetekben fegyverként való használatát; gondoskodjanak arról, hogy az elkövetőket felelősségre vonják;</w:t>
      </w:r>
    </w:p>
    <w:p w:rsidR="0052679B" w:rsidRPr="00D63953" w:rsidP="00913896" w14:paraId="6AC83A3F" w14:textId="686C49B7">
      <w:pPr>
        <w:pStyle w:val="NormalHanging12a"/>
        <w:widowControl/>
        <w:ind w:left="1134"/>
      </w:pPr>
      <w:r w:rsidRPr="00D63953">
        <w:t>u)</w:t>
      </w:r>
      <w:r w:rsidRPr="00D63953">
        <w:tab/>
        <w:t>támogassák az olyan jogi kezdeményezéseket, amelyek célja az igazságszolgáltatás és a kártérítés biztosítása a vízkészletek és az infrastruktúra szándékos célbavétele és megsemmisítése miatt;</w:t>
      </w:r>
    </w:p>
    <w:p w:rsidR="004D234A" w:rsidRPr="004D234A" w:rsidP="00913896" w14:paraId="1E6F8231" w14:textId="68956B97">
      <w:pPr>
        <w:pStyle w:val="NormalHanging12a"/>
        <w:widowControl/>
      </w:pPr>
      <w:r w:rsidRPr="00D63953">
        <w:t>2.</w:t>
      </w:r>
      <w:r w:rsidRPr="00D63953">
        <w:tab/>
        <w:t>utasítja elnökét, hogy továbbítsa ezt az ajánlást a Tanácsnak, a Bizottságnak és a Bizottság alelnökének / az Unió külügyi és biztonságpolitikai főképviselőjének.</w:t>
      </w:r>
    </w:p>
    <w:sectPr w:rsidSect="004D23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34A" w14:paraId="06DA95F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34A" w14:paraId="6A44C67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34A" w14:paraId="33CCBCB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C3A42" w:rsidRPr="004D234A" w14:paraId="4F9F84EA" w14:textId="77777777">
      <w:r w:rsidRPr="004D234A">
        <w:separator/>
      </w:r>
    </w:p>
  </w:footnote>
  <w:footnote w:type="continuationSeparator" w:id="1">
    <w:p w:rsidR="002C3A42" w:rsidRPr="004D234A" w14:paraId="5D93B609" w14:textId="77777777">
      <w:r w:rsidRPr="004D234A">
        <w:continuationSeparator/>
      </w:r>
    </w:p>
  </w:footnote>
  <w:footnote w:id="2">
    <w:p w:rsidR="0052679B" w:rsidRPr="004D234A" w:rsidP="004D234A" w14:paraId="25095E1E" w14:textId="541BDD59">
      <w:pPr>
        <w:pStyle w:val="FootnoteText"/>
        <w:ind w:left="567" w:hanging="567"/>
        <w:rPr>
          <w:sz w:val="24"/>
          <w:lang w:val="hu-HU"/>
        </w:rPr>
      </w:pPr>
      <w:r w:rsidRPr="004D234A">
        <w:rPr>
          <w:rStyle w:val="FootnoteReference"/>
          <w:sz w:val="24"/>
          <w:lang w:val="hu-HU"/>
        </w:rPr>
        <w:footnoteRef/>
      </w:r>
      <w:r w:rsidRPr="004D234A" w:rsidR="004D234A">
        <w:rPr>
          <w:sz w:val="24"/>
          <w:lang w:val="hu-HU"/>
        </w:rPr>
        <w:t xml:space="preserve"> </w:t>
      </w:r>
      <w:r w:rsidRPr="004D234A" w:rsidR="004D234A">
        <w:rPr>
          <w:sz w:val="24"/>
          <w:lang w:val="hu-HU"/>
        </w:rPr>
        <w:tab/>
      </w:r>
      <w:r w:rsidRPr="004D234A">
        <w:rPr>
          <w:sz w:val="24"/>
          <w:lang w:val="hu-HU"/>
        </w:rPr>
        <w:t xml:space="preserve">HL C, C/2026/576, 2026.2.24., ELI: </w:t>
      </w:r>
      <w:hyperlink r:id="rId1" w:history="1">
        <w:r w:rsidRPr="004D234A">
          <w:rPr>
            <w:rStyle w:val="Hyperlink"/>
            <w:sz w:val="24"/>
            <w:lang w:val="hu-HU"/>
          </w:rPr>
          <w:t>http://data.europa.eu/eli/C/2026/576/oj</w:t>
        </w:r>
      </w:hyperlink>
      <w:r w:rsidRPr="004D234A">
        <w:rPr>
          <w:sz w:val="24"/>
          <w:lang w:val="hu-HU"/>
        </w:rPr>
        <w:t>.</w:t>
      </w:r>
    </w:p>
  </w:footnote>
  <w:footnote w:id="3">
    <w:p w:rsidR="0052679B" w:rsidRPr="004D234A" w:rsidP="004D234A" w14:paraId="736C6A81" w14:textId="544D8F57">
      <w:pPr>
        <w:pStyle w:val="FootnoteText"/>
        <w:ind w:left="567" w:hanging="567"/>
        <w:rPr>
          <w:sz w:val="24"/>
          <w:lang w:val="hu-HU"/>
        </w:rPr>
      </w:pPr>
      <w:r w:rsidRPr="004D234A">
        <w:rPr>
          <w:rStyle w:val="FootnoteReference"/>
          <w:sz w:val="24"/>
          <w:lang w:val="hu-HU"/>
        </w:rPr>
        <w:footnoteRef/>
      </w:r>
      <w:r w:rsidRPr="004D234A" w:rsidR="004D234A">
        <w:rPr>
          <w:sz w:val="24"/>
          <w:lang w:val="hu-HU"/>
        </w:rPr>
        <w:t xml:space="preserve"> </w:t>
      </w:r>
      <w:r w:rsidRPr="004D234A" w:rsidR="004D234A">
        <w:rPr>
          <w:sz w:val="24"/>
          <w:lang w:val="hu-HU"/>
        </w:rPr>
        <w:tab/>
      </w:r>
      <w:r w:rsidRPr="004D234A">
        <w:rPr>
          <w:sz w:val="24"/>
          <w:lang w:val="hu-HU"/>
        </w:rPr>
        <w:t>HL C 132., 2023.4.14., 54. o.</w:t>
      </w:r>
    </w:p>
  </w:footnote>
  <w:footnote w:id="4">
    <w:p w:rsidR="0052679B" w:rsidRPr="004D234A" w:rsidP="004D234A" w14:paraId="213ECD41" w14:textId="6ECC8F4D">
      <w:pPr>
        <w:pStyle w:val="FootnoteText"/>
        <w:ind w:left="567" w:hanging="567"/>
        <w:rPr>
          <w:sz w:val="24"/>
          <w:lang w:val="hu-HU"/>
        </w:rPr>
      </w:pPr>
      <w:r w:rsidRPr="004D234A">
        <w:rPr>
          <w:rStyle w:val="FootnoteReference"/>
          <w:sz w:val="24"/>
          <w:lang w:val="hu-HU"/>
        </w:rPr>
        <w:footnoteRef/>
      </w:r>
      <w:r w:rsidRPr="004D234A" w:rsidR="004D234A">
        <w:rPr>
          <w:sz w:val="24"/>
          <w:lang w:val="hu-HU"/>
        </w:rPr>
        <w:t xml:space="preserve"> </w:t>
      </w:r>
      <w:r w:rsidRPr="004D234A" w:rsidR="004D234A">
        <w:rPr>
          <w:sz w:val="24"/>
          <w:lang w:val="hu-HU"/>
        </w:rPr>
        <w:tab/>
      </w:r>
      <w:r w:rsidRPr="004D234A">
        <w:rPr>
          <w:sz w:val="24"/>
          <w:lang w:val="hu-HU"/>
        </w:rPr>
        <w:t xml:space="preserve">HL C, C/2025/4390, 2025.9.9., ELI: </w:t>
      </w:r>
      <w:hyperlink r:id="rId2" w:history="1">
        <w:r w:rsidRPr="004D234A">
          <w:rPr>
            <w:rStyle w:val="Hyperlink"/>
            <w:sz w:val="24"/>
            <w:lang w:val="hu-HU"/>
          </w:rPr>
          <w:t>http://data.europa.eu/eli/C/2025/4390/oj</w:t>
        </w:r>
      </w:hyperlink>
      <w:r w:rsidRPr="004D234A">
        <w:rPr>
          <w:sz w:val="24"/>
          <w:lang w:val="hu-HU"/>
        </w:rPr>
        <w:t>.</w:t>
      </w:r>
    </w:p>
  </w:footnote>
  <w:footnote w:id="5">
    <w:p w:rsidR="0052679B" w:rsidRPr="004D234A" w:rsidP="004D234A" w14:paraId="0154E9CB" w14:textId="49A3BBF5">
      <w:pPr>
        <w:pStyle w:val="FootnoteText"/>
        <w:ind w:left="567" w:hanging="567"/>
        <w:rPr>
          <w:sz w:val="24"/>
          <w:lang w:val="hu-HU"/>
        </w:rPr>
      </w:pPr>
      <w:r w:rsidRPr="004D234A">
        <w:rPr>
          <w:rStyle w:val="FootnoteReference"/>
          <w:sz w:val="24"/>
          <w:lang w:val="hu-HU"/>
        </w:rPr>
        <w:footnoteRef/>
      </w:r>
      <w:r w:rsidRPr="004D234A" w:rsidR="004D234A">
        <w:rPr>
          <w:sz w:val="24"/>
          <w:lang w:val="hu-HU"/>
        </w:rPr>
        <w:t xml:space="preserve"> </w:t>
      </w:r>
      <w:r w:rsidRPr="004D234A" w:rsidR="004D234A">
        <w:rPr>
          <w:sz w:val="24"/>
          <w:lang w:val="hu-HU"/>
        </w:rPr>
        <w:tab/>
      </w:r>
      <w:r w:rsidRPr="004D234A">
        <w:rPr>
          <w:sz w:val="24"/>
          <w:lang w:val="hu-HU"/>
        </w:rPr>
        <w:t>Elfogadott szövegek, P10_</w:t>
      </w:r>
      <w:r w:rsidRPr="004D234A">
        <w:rPr>
          <w:sz w:val="24"/>
          <w:lang w:val="hu-HU"/>
        </w:rPr>
        <w:t>TA(</w:t>
      </w:r>
      <w:r w:rsidRPr="004D234A">
        <w:rPr>
          <w:sz w:val="24"/>
          <w:lang w:val="hu-HU"/>
        </w:rPr>
        <w:t>2026)0014.</w:t>
      </w:r>
    </w:p>
  </w:footnote>
  <w:footnote w:id="6">
    <w:p w:rsidR="0052679B" w:rsidRPr="004D234A" w:rsidP="004D234A" w14:paraId="3199C68C" w14:textId="109862B8">
      <w:pPr>
        <w:pStyle w:val="FootnoteText"/>
        <w:ind w:left="567" w:hanging="567"/>
        <w:rPr>
          <w:sz w:val="24"/>
          <w:lang w:val="hu-HU"/>
        </w:rPr>
      </w:pPr>
      <w:r w:rsidRPr="004D234A">
        <w:rPr>
          <w:rStyle w:val="FootnoteReference"/>
          <w:sz w:val="24"/>
          <w:lang w:val="hu-HU"/>
        </w:rPr>
        <w:footnoteRef/>
      </w:r>
      <w:r w:rsidRPr="004D234A" w:rsidR="004D234A">
        <w:rPr>
          <w:sz w:val="24"/>
          <w:lang w:val="hu-HU"/>
        </w:rPr>
        <w:t xml:space="preserve"> </w:t>
      </w:r>
      <w:r w:rsidRPr="004D234A" w:rsidR="004D234A">
        <w:rPr>
          <w:sz w:val="24"/>
          <w:lang w:val="hu-HU"/>
        </w:rPr>
        <w:tab/>
      </w:r>
      <w:r w:rsidRPr="004D234A">
        <w:rPr>
          <w:sz w:val="24"/>
          <w:lang w:val="hu-HU"/>
        </w:rPr>
        <w:t xml:space="preserve">HL C, C/2025/769, 2025.2.11., ELI: </w:t>
      </w:r>
      <w:hyperlink r:id="rId3" w:history="1">
        <w:r w:rsidRPr="004D234A">
          <w:rPr>
            <w:rStyle w:val="Hyperlink"/>
            <w:sz w:val="24"/>
            <w:lang w:val="hu-HU"/>
          </w:rPr>
          <w:t>http://data.europa.eu/eli/C/2025/769/oj</w:t>
        </w:r>
      </w:hyperlink>
      <w:r w:rsidRPr="004D234A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34A" w14:paraId="4399325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34A" w14:paraId="66B4AC2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234A" w14:paraId="76E3249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9361313">
    <w:abstractNumId w:val="9"/>
  </w:num>
  <w:num w:numId="2" w16cid:durableId="1973100357">
    <w:abstractNumId w:val="9"/>
  </w:num>
  <w:num w:numId="3" w16cid:durableId="1881821896">
    <w:abstractNumId w:val="7"/>
  </w:num>
  <w:num w:numId="4" w16cid:durableId="1026099221">
    <w:abstractNumId w:val="7"/>
  </w:num>
  <w:num w:numId="5" w16cid:durableId="307318617">
    <w:abstractNumId w:val="6"/>
  </w:num>
  <w:num w:numId="6" w16cid:durableId="49113206">
    <w:abstractNumId w:val="6"/>
  </w:num>
  <w:num w:numId="7" w16cid:durableId="1423066414">
    <w:abstractNumId w:val="5"/>
  </w:num>
  <w:num w:numId="8" w16cid:durableId="968586711">
    <w:abstractNumId w:val="5"/>
  </w:num>
  <w:num w:numId="9" w16cid:durableId="113525432">
    <w:abstractNumId w:val="4"/>
  </w:num>
  <w:num w:numId="10" w16cid:durableId="1875849294">
    <w:abstractNumId w:val="4"/>
  </w:num>
  <w:num w:numId="11" w16cid:durableId="584992027">
    <w:abstractNumId w:val="8"/>
  </w:num>
  <w:num w:numId="12" w16cid:durableId="1724602501">
    <w:abstractNumId w:val="8"/>
  </w:num>
  <w:num w:numId="13" w16cid:durableId="1968849412">
    <w:abstractNumId w:val="3"/>
  </w:num>
  <w:num w:numId="14" w16cid:durableId="1450204672">
    <w:abstractNumId w:val="3"/>
  </w:num>
  <w:num w:numId="15" w16cid:durableId="1888445602">
    <w:abstractNumId w:val="2"/>
  </w:num>
  <w:num w:numId="16" w16cid:durableId="1111123642">
    <w:abstractNumId w:val="2"/>
  </w:num>
  <w:num w:numId="17" w16cid:durableId="1794522568">
    <w:abstractNumId w:val="1"/>
  </w:num>
  <w:num w:numId="18" w16cid:durableId="107434743">
    <w:abstractNumId w:val="1"/>
  </w:num>
  <w:num w:numId="19" w16cid:durableId="206377006">
    <w:abstractNumId w:val="0"/>
  </w:num>
  <w:num w:numId="20" w16cid:durableId="1992982462">
    <w:abstractNumId w:val="0"/>
  </w:num>
  <w:num w:numId="21" w16cid:durableId="1204902332">
    <w:abstractNumId w:val="9"/>
  </w:num>
  <w:num w:numId="22" w16cid:durableId="1677268235">
    <w:abstractNumId w:val="7"/>
  </w:num>
  <w:num w:numId="23" w16cid:durableId="1368022663">
    <w:abstractNumId w:val="6"/>
  </w:num>
  <w:num w:numId="24" w16cid:durableId="1237589054">
    <w:abstractNumId w:val="5"/>
  </w:num>
  <w:num w:numId="25" w16cid:durableId="1152331133">
    <w:abstractNumId w:val="4"/>
  </w:num>
  <w:num w:numId="26" w16cid:durableId="1539857748">
    <w:abstractNumId w:val="8"/>
  </w:num>
  <w:num w:numId="27" w16cid:durableId="1987851712">
    <w:abstractNumId w:val="3"/>
  </w:num>
  <w:num w:numId="28" w16cid:durableId="1315647593">
    <w:abstractNumId w:val="2"/>
  </w:num>
  <w:num w:numId="29" w16cid:durableId="1314334231">
    <w:abstractNumId w:val="1"/>
  </w:num>
  <w:num w:numId="30" w16cid:durableId="1881089688">
    <w:abstractNumId w:val="0"/>
  </w:num>
  <w:num w:numId="31" w16cid:durableId="1791784296">
    <w:abstractNumId w:val="9"/>
  </w:num>
  <w:num w:numId="32" w16cid:durableId="1114717783">
    <w:abstractNumId w:val="7"/>
  </w:num>
  <w:num w:numId="33" w16cid:durableId="26687461">
    <w:abstractNumId w:val="6"/>
  </w:num>
  <w:num w:numId="34" w16cid:durableId="75827920">
    <w:abstractNumId w:val="5"/>
  </w:num>
  <w:num w:numId="35" w16cid:durableId="381027867">
    <w:abstractNumId w:val="4"/>
  </w:num>
  <w:num w:numId="36" w16cid:durableId="959263346">
    <w:abstractNumId w:val="8"/>
  </w:num>
  <w:num w:numId="37" w16cid:durableId="1480725670">
    <w:abstractNumId w:val="3"/>
  </w:num>
  <w:num w:numId="38" w16cid:durableId="651374033">
    <w:abstractNumId w:val="2"/>
  </w:num>
  <w:num w:numId="39" w16cid:durableId="2027516059">
    <w:abstractNumId w:val="1"/>
  </w:num>
  <w:num w:numId="40" w16cid:durableId="315113709">
    <w:abstractNumId w:val="0"/>
  </w:num>
  <w:num w:numId="41" w16cid:durableId="1810590969">
    <w:abstractNumId w:val="10"/>
  </w:num>
  <w:num w:numId="42" w16cid:durableId="979311095">
    <w:abstractNumId w:val="10"/>
  </w:num>
  <w:num w:numId="43" w16cid:durableId="643587802">
    <w:abstractNumId w:val="10"/>
  </w:num>
  <w:num w:numId="44" w16cid:durableId="1653093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DBD"/>
    <w:rsid w:val="002767FF"/>
    <w:rsid w:val="002B18FE"/>
    <w:rsid w:val="002B5493"/>
    <w:rsid w:val="002C3A4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95D"/>
    <w:rsid w:val="004C0004"/>
    <w:rsid w:val="004C5D52"/>
    <w:rsid w:val="004D234A"/>
    <w:rsid w:val="0050519A"/>
    <w:rsid w:val="005072A1"/>
    <w:rsid w:val="00514517"/>
    <w:rsid w:val="0052679B"/>
    <w:rsid w:val="00545827"/>
    <w:rsid w:val="00560270"/>
    <w:rsid w:val="005C2568"/>
    <w:rsid w:val="005F1B17"/>
    <w:rsid w:val="006037C0"/>
    <w:rsid w:val="00616A4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896"/>
    <w:rsid w:val="00930C23"/>
    <w:rsid w:val="0093193B"/>
    <w:rsid w:val="009509D8"/>
    <w:rsid w:val="00950B64"/>
    <w:rsid w:val="00971AFE"/>
    <w:rsid w:val="00981893"/>
    <w:rsid w:val="0099230B"/>
    <w:rsid w:val="00A1687D"/>
    <w:rsid w:val="00A43E52"/>
    <w:rsid w:val="00A4678D"/>
    <w:rsid w:val="00A778C7"/>
    <w:rsid w:val="00AB441E"/>
    <w:rsid w:val="00AB6293"/>
    <w:rsid w:val="00AC0713"/>
    <w:rsid w:val="00AD1BF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953"/>
    <w:rsid w:val="00D834A0"/>
    <w:rsid w:val="00D872DF"/>
    <w:rsid w:val="00D91E21"/>
    <w:rsid w:val="00DA7FCD"/>
    <w:rsid w:val="00E365E1"/>
    <w:rsid w:val="00E7490D"/>
    <w:rsid w:val="00E820A4"/>
    <w:rsid w:val="00EB006A"/>
    <w:rsid w:val="00EB4772"/>
    <w:rsid w:val="00ED169E"/>
    <w:rsid w:val="00ED4235"/>
    <w:rsid w:val="00F04346"/>
    <w:rsid w:val="00F075DC"/>
    <w:rsid w:val="00F149E9"/>
    <w:rsid w:val="00F42929"/>
    <w:rsid w:val="00F5134D"/>
    <w:rsid w:val="00F74202"/>
    <w:rsid w:val="00F87713"/>
    <w:rsid w:val="00FB4360"/>
    <w:rsid w:val="00FD0C70"/>
  </w:rsids>
  <w:docVars>
    <w:docVar w:name="dvdocse" w:val="A10-0150/2026"/>
    <w:docVar w:name="dvlangue" w:val="HU"/>
    <w:docVar w:name="dvnumam" w:val="57"/>
    <w:docVar w:name="dvpe" w:val="779.681"/>
    <w:docVar w:name="dvrapporteur" w:val="Előadó: "/>
    <w:docVar w:name="dvtitre" w:val="Az Európai Parlament 2026.  ...-i állásfoglalása az Európai Parlamentnek a Tanácshoz, a Bizottsághoz és a Bizottság alelnökéhez / az Unió kül- és biztonságpolitikai főképviselőjéhez intézett, a konfliktusok megelőzése és a béke érdekében a transznacionális vízügyi kormányzás előmozdítására vonatkozó ajánlásáról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53EA5D"/>
  <w15:chartTrackingRefBased/>
  <w15:docId w15:val="{DFAD4F23-8A51-4070-977C-90BED89D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679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2679B"/>
    <w:pPr>
      <w:spacing w:after="240"/>
      <w:ind w:left="567" w:hanging="567"/>
    </w:pPr>
  </w:style>
  <w:style w:type="character" w:styleId="Hyperlink">
    <w:name w:val="Hyperlink"/>
    <w:basedOn w:val="DefaultParagraphFont"/>
    <w:rsid w:val="0052679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2679B"/>
    <w:rPr>
      <w:sz w:val="24"/>
      <w:lang w:val="hu-HU"/>
    </w:rPr>
  </w:style>
  <w:style w:type="paragraph" w:styleId="Revision">
    <w:name w:val="Revision"/>
    <w:hidden/>
    <w:uiPriority w:val="99"/>
    <w:semiHidden/>
    <w:rsid w:val="00913896"/>
    <w:rPr>
      <w:sz w:val="24"/>
      <w:lang w:val="hu-HU"/>
    </w:rPr>
  </w:style>
  <w:style w:type="character" w:styleId="CommentReference">
    <w:name w:val="annotation reference"/>
    <w:basedOn w:val="DefaultParagraphFont"/>
    <w:rsid w:val="009138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38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389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913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3896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3574</Words>
  <Characters>25900</Characters>
  <Application>Microsoft Office Word</Application>
  <DocSecurity>0</DocSecurity>
  <Lines>215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2026-06-22T07:56:00Z</dcterms:created>
  <dcterms:modified xsi:type="dcterms:W3CDTF">2026-06-22T07:56:00Z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P10_TA(2026)0221_</vt:lpwstr>
  </property>
  <property fmtid="{D5CDD505-2E9C-101B-9397-08002B2CF9AE}" pid="4" name="&lt;Type&gt;">
    <vt:lpwstr>RR</vt:lpwstr>
  </property>
</Properties>
</file>