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2CF21D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6062" w:rsidP="0010095E" w14:paraId="407AB3CE" w14:textId="78A47665">
            <w:pPr>
              <w:pStyle w:val="EPName"/>
            </w:pPr>
            <w:r w:rsidRPr="00FC6062">
              <w:t>Parlamento europeo</w:t>
            </w:r>
          </w:p>
          <w:p w:rsidR="00751A4A" w:rsidRPr="00FC6062" w:rsidP="005F1B17" w14:paraId="3E50B6A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6062">
              <w:t>2024</w:t>
            </w:r>
            <w:r w:rsidRPr="00FC6062" w:rsidR="00817416">
              <w:t>-202</w:t>
            </w:r>
            <w:r w:rsidRPr="00FC606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6062" w:rsidP="0010095E" w14:paraId="397D310A" w14:textId="77777777">
            <w:pPr>
              <w:pStyle w:val="EPLogo"/>
            </w:pPr>
            <w:r w:rsidRPr="00FC606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6062" w:rsidP="004C5D52" w14:paraId="2F5189A6" w14:textId="77777777">
      <w:pPr>
        <w:pStyle w:val="LineTop"/>
      </w:pPr>
    </w:p>
    <w:p w:rsidR="00680577" w:rsidRPr="00FC6062" w:rsidP="00680577" w14:paraId="661A71A8" w14:textId="4D8FFB82">
      <w:pPr>
        <w:pStyle w:val="EPBodyTA1"/>
      </w:pPr>
      <w:r w:rsidRPr="00FC6062">
        <w:t>TESTI APPROVATI</w:t>
      </w:r>
    </w:p>
    <w:p w:rsidR="00D058B8" w:rsidRPr="00FC6062" w:rsidP="00D058B8" w14:paraId="1F871765" w14:textId="77777777">
      <w:pPr>
        <w:pStyle w:val="LineBottom"/>
      </w:pPr>
    </w:p>
    <w:p w:rsidR="0026145F" w:rsidRPr="00FC6062" w:rsidP="0026145F" w14:paraId="1E4CA4C0" w14:textId="1775EF06">
      <w:pPr>
        <w:pStyle w:val="ATHeading1"/>
      </w:pPr>
      <w:bookmarkStart w:id="0" w:name="TANumber"/>
      <w:r w:rsidRPr="00FC6062">
        <w:t>P10_TA(2026)</w:t>
      </w:r>
      <w:bookmarkEnd w:id="0"/>
      <w:r w:rsidRPr="00FC6062" w:rsidR="004E7C29">
        <w:t>0221</w:t>
      </w:r>
    </w:p>
    <w:p w:rsidR="0026145F" w:rsidRPr="00FC6062" w:rsidP="0026145F" w14:paraId="6ADBDFF6" w14:textId="225F80F7">
      <w:pPr>
        <w:pStyle w:val="ATHeading2"/>
      </w:pPr>
      <w:bookmarkStart w:id="1" w:name="_Hlk232604751"/>
      <w:bookmarkStart w:id="2" w:name="title"/>
      <w:r w:rsidRPr="00FC6062">
        <w:t>Raccomandazione concernente la promozione della governance transnazionale delle risorse idriche</w:t>
      </w:r>
      <w:r w:rsidRPr="00FC6062" w:rsidR="00F0578E">
        <w:t xml:space="preserve"> </w:t>
      </w:r>
      <w:r w:rsidRPr="00FC6062">
        <w:t xml:space="preserve">nell'interesse della </w:t>
      </w:r>
      <w:r w:rsidRPr="00FC6062" w:rsidR="00AC4264">
        <w:t xml:space="preserve">pace e della </w:t>
      </w:r>
      <w:r w:rsidRPr="00FC6062">
        <w:t>prevenzione dei conflitti</w:t>
      </w:r>
      <w:bookmarkEnd w:id="1"/>
      <w:bookmarkEnd w:id="2"/>
    </w:p>
    <w:p w:rsidR="0026145F" w:rsidRPr="00FC6062" w:rsidP="0026145F" w14:paraId="488F43C8" w14:textId="77777777">
      <w:pPr>
        <w:rPr>
          <w:i/>
          <w:vanish/>
        </w:rPr>
      </w:pPr>
      <w:r>
        <w:rPr>
          <w:i/>
        </w:rPr>
        <w:fldChar w:fldCharType="begin"/>
      </w:r>
      <w:r w:rsidRPr="00FC6062">
        <w:rPr>
          <w:i/>
        </w:rPr>
        <w:instrText xml:space="preserve"> TC"(</w:instrText>
      </w:r>
      <w:bookmarkStart w:id="3" w:name="DocNumber"/>
      <w:r w:rsidRPr="00FC6062">
        <w:rPr>
          <w:i/>
        </w:rPr>
        <w:instrText>A10-0150/2026</w:instrText>
      </w:r>
      <w:bookmarkEnd w:id="3"/>
      <w:r w:rsidRPr="00FC6062">
        <w:rPr>
          <w:i/>
        </w:rPr>
        <w:instrText xml:space="preserve"> - Relatore: Leoluca Orlando)"\l3 \n&gt; \* MERGEFORMAT </w:instrText>
      </w:r>
      <w:r>
        <w:rPr>
          <w:i/>
        </w:rPr>
        <w:fldChar w:fldCharType="end"/>
      </w:r>
    </w:p>
    <w:p w:rsidR="0026145F" w:rsidRPr="00FC6062" w:rsidP="0026145F" w14:paraId="561F5329" w14:textId="77777777">
      <w:pPr>
        <w:rPr>
          <w:vanish/>
        </w:rPr>
      </w:pPr>
      <w:bookmarkStart w:id="4" w:name="Commission"/>
      <w:r w:rsidRPr="00FC6062">
        <w:rPr>
          <w:vanish/>
        </w:rPr>
        <w:t>Commissione per gli affari esteri</w:t>
      </w:r>
      <w:bookmarkEnd w:id="4"/>
    </w:p>
    <w:p w:rsidR="0026145F" w:rsidRPr="00FC6062" w:rsidP="0026145F" w14:paraId="0D659557" w14:textId="77777777">
      <w:pPr>
        <w:rPr>
          <w:vanish/>
        </w:rPr>
      </w:pPr>
      <w:bookmarkStart w:id="5" w:name="PE"/>
      <w:r w:rsidRPr="00FC6062">
        <w:rPr>
          <w:vanish/>
        </w:rPr>
        <w:t>PE779.681</w:t>
      </w:r>
      <w:bookmarkEnd w:id="5"/>
    </w:p>
    <w:p w:rsidR="0026145F" w:rsidRPr="00FC6062" w:rsidP="0026145F" w14:paraId="7837B504" w14:textId="5FB52CF6">
      <w:pPr>
        <w:pStyle w:val="ATHeading3"/>
      </w:pPr>
      <w:bookmarkStart w:id="6" w:name="Sujet"/>
      <w:r w:rsidRPr="00FC6062">
        <w:t xml:space="preserve">Raccomandazione del Parlamento europeo </w:t>
      </w:r>
      <w:r w:rsidRPr="00FC6062" w:rsidR="00F0578E">
        <w:t xml:space="preserve">del 17 giugno 2026 </w:t>
      </w:r>
      <w:r w:rsidRPr="00FC6062">
        <w:t>al Consiglio, alla Commissione e alla vicepresidente della Commissione</w:t>
      </w:r>
      <w:r w:rsidRPr="00FC6062" w:rsidR="00F0578E">
        <w:t> </w:t>
      </w:r>
      <w:r w:rsidRPr="00FC6062">
        <w:t>/</w:t>
      </w:r>
      <w:r w:rsidRPr="00FC6062" w:rsidR="00F0578E">
        <w:t> </w:t>
      </w:r>
      <w:r w:rsidRPr="00FC6062">
        <w:t xml:space="preserve">alta rappresentante dell'Unione per gli affari esteri e la politica di sicurezza concernente la promozione della governance transnazionale delle risorse idriche nell'interesse della </w:t>
      </w:r>
      <w:r w:rsidRPr="00FC6062" w:rsidR="00AC4264">
        <w:t xml:space="preserve">pace e della </w:t>
      </w:r>
      <w:r w:rsidRPr="00FC6062">
        <w:t xml:space="preserve">prevenzione dei conflitti </w:t>
      </w:r>
      <w:bookmarkStart w:id="7" w:name="References"/>
      <w:bookmarkEnd w:id="6"/>
      <w:r w:rsidRPr="00FC6062">
        <w:t>(2025/2216(INI))</w:t>
      </w:r>
      <w:bookmarkEnd w:id="7"/>
    </w:p>
    <w:p w:rsidR="00CE458F" w:rsidRPr="00FC6062" w:rsidP="00CE458F" w14:paraId="06DE076F" w14:textId="77777777">
      <w:pPr>
        <w:pStyle w:val="EPComma"/>
        <w:rPr>
          <w:i/>
          <w:iCs/>
        </w:rPr>
      </w:pPr>
      <w:r w:rsidRPr="00FC6062">
        <w:rPr>
          <w:i/>
        </w:rPr>
        <w:t>Il Parlamento europeo,</w:t>
      </w:r>
    </w:p>
    <w:p w:rsidR="00CE458F" w:rsidRPr="00FC6062" w:rsidP="00CE458F" w14:paraId="0ECFE1ED" w14:textId="77777777">
      <w:pPr>
        <w:pStyle w:val="NormalHanging12a"/>
      </w:pPr>
      <w:r w:rsidRPr="00FC6062">
        <w:t>–</w:t>
      </w:r>
      <w:r w:rsidRPr="00FC6062">
        <w:tab/>
        <w:t>vista la Convenzione delle Nazioni Unite sulla protezione e l'utilizzazione dei corsi d'acqua transfrontalieri e dei laghi internazionali (convenzione sull'acqua) del 1992,</w:t>
      </w:r>
    </w:p>
    <w:p w:rsidR="00CE458F" w:rsidRPr="00FC6062" w:rsidP="00CE458F" w14:paraId="581B0834" w14:textId="77777777">
      <w:pPr>
        <w:pStyle w:val="NormalHanging12a"/>
      </w:pPr>
      <w:r w:rsidRPr="00FC6062">
        <w:t>–</w:t>
      </w:r>
      <w:r w:rsidRPr="00FC6062">
        <w:tab/>
        <w:t>vista la sua risoluzione del 7 maggio 2025 sulla strategia europea sulla resilienza idrica</w:t>
      </w:r>
      <w:r>
        <w:rPr>
          <w:rStyle w:val="FootnoteReference"/>
        </w:rPr>
        <w:footnoteReference w:id="2"/>
      </w:r>
      <w:r w:rsidRPr="00FC6062">
        <w:t>,</w:t>
      </w:r>
    </w:p>
    <w:p w:rsidR="00CE458F" w:rsidRPr="00FC6062" w:rsidP="00CE458F" w14:paraId="20169B31" w14:textId="77777777">
      <w:pPr>
        <w:pStyle w:val="NormalHanging12a"/>
      </w:pPr>
      <w:r w:rsidRPr="00FC6062">
        <w:t>–</w:t>
      </w:r>
      <w:r w:rsidRPr="00FC6062">
        <w:tab/>
        <w:t>vista la comunicazione della Commissione, del 4 giugno 2025, dal titolo "Strategia europea sulla resilienza idrica" (COM(2025)0280),</w:t>
      </w:r>
    </w:p>
    <w:p w:rsidR="00CE458F" w:rsidRPr="00FC6062" w:rsidP="00CE458F" w14:paraId="1E4C7AA6" w14:textId="77777777">
      <w:pPr>
        <w:pStyle w:val="NormalHanging12a"/>
      </w:pPr>
      <w:r w:rsidRPr="00FC6062">
        <w:t>–</w:t>
      </w:r>
      <w:r w:rsidRPr="00FC6062">
        <w:tab/>
        <w:t>vista la sua risoluzione del 5 ottobre 2022 sull'accesso all'acqua in quanto diritto umano – dimensione esterna</w:t>
      </w:r>
      <w:r>
        <w:rPr>
          <w:rStyle w:val="FootnoteReference"/>
        </w:rPr>
        <w:footnoteReference w:id="3"/>
      </w:r>
      <w:r w:rsidRPr="00FC6062">
        <w:t xml:space="preserve">, </w:t>
      </w:r>
    </w:p>
    <w:p w:rsidR="00CE458F" w:rsidRPr="00FC6062" w:rsidP="00CE458F" w14:paraId="7709EF98" w14:textId="77777777">
      <w:pPr>
        <w:pStyle w:val="NormalHanging12a"/>
      </w:pPr>
      <w:r w:rsidRPr="00FC6062">
        <w:t>–</w:t>
      </w:r>
      <w:r w:rsidRPr="00FC6062">
        <w:tab/>
        <w:t>viste la conferenza delle Nazioni Unite sull'acqua del 2023 e il programma d'azione per l'acqua adottato, nonché la prossima conferenza delle Nazioni Unite sull'acqua del 2026,</w:t>
      </w:r>
    </w:p>
    <w:p w:rsidR="00CE458F" w:rsidRPr="00FC6062" w:rsidP="00CE458F" w14:paraId="53398A63" w14:textId="77777777">
      <w:pPr>
        <w:pStyle w:val="NormalHanging12a"/>
      </w:pPr>
      <w:r w:rsidRPr="00FC6062">
        <w:t>–</w:t>
      </w:r>
      <w:r w:rsidRPr="00FC6062">
        <w:tab/>
        <w:t xml:space="preserve">vista la scheda informativa dell'Ufficio dell'Alto Commissario delle Nazioni Unite per i diritti umani dal titolo "The </w:t>
      </w:r>
      <w:r w:rsidRPr="00FC6062">
        <w:t>Right</w:t>
      </w:r>
      <w:r w:rsidRPr="00FC6062">
        <w:t xml:space="preserve"> to Water" (Il diritto all'acqua), pubblicata nell'agosto 2010,</w:t>
      </w:r>
    </w:p>
    <w:p w:rsidR="00CE458F" w:rsidRPr="00FC6062" w:rsidP="00CE458F" w14:paraId="617ECEA8" w14:textId="77777777">
      <w:pPr>
        <w:pStyle w:val="NormalHanging12a"/>
      </w:pPr>
      <w:r w:rsidRPr="00FC6062">
        <w:t>–</w:t>
      </w:r>
      <w:r w:rsidRPr="00FC6062">
        <w:tab/>
        <w:t xml:space="preserve">vista la relazione dell'Istituto universitario delle Nazioni Unite per l'acqua, l'ambiente e la salute, del 20 gennaio 2026, dal titolo "Global Water </w:t>
      </w:r>
      <w:r w:rsidRPr="00FC6062">
        <w:t>Bankrupcy</w:t>
      </w:r>
      <w:r w:rsidRPr="00FC6062">
        <w:t xml:space="preserve"> - Living Beyond </w:t>
      </w:r>
      <w:r w:rsidRPr="00FC6062">
        <w:t>Our</w:t>
      </w:r>
      <w:r w:rsidRPr="00FC6062">
        <w:t xml:space="preserve"> </w:t>
      </w:r>
      <w:r w:rsidRPr="00FC6062">
        <w:t>Hydrological</w:t>
      </w:r>
      <w:r w:rsidRPr="00FC6062">
        <w:t xml:space="preserve"> Means in the Post-</w:t>
      </w:r>
      <w:r w:rsidRPr="00FC6062">
        <w:t>Crisis</w:t>
      </w:r>
      <w:r w:rsidRPr="00FC6062">
        <w:t xml:space="preserve"> Era" (Fallimento idrico globale – Vivere al di là </w:t>
      </w:r>
      <w:r w:rsidRPr="00FC6062">
        <w:t>dei nostri mezzi idrologici nell'era post-crisi),</w:t>
      </w:r>
    </w:p>
    <w:p w:rsidR="00CE458F" w:rsidRPr="00FC6062" w:rsidP="00CE458F" w14:paraId="58CAE2F0" w14:textId="77777777">
      <w:pPr>
        <w:pStyle w:val="NormalHanging12a"/>
      </w:pPr>
      <w:r w:rsidRPr="00FC6062">
        <w:t>–</w:t>
      </w:r>
      <w:r w:rsidRPr="00FC6062">
        <w:tab/>
        <w:t>viste le conclusioni del Consiglio, del 19 novembre 2018, sulla diplomazia dell'acqua,</w:t>
      </w:r>
    </w:p>
    <w:p w:rsidR="00CE458F" w:rsidRPr="00FC6062" w:rsidP="00CE458F" w14:paraId="7A70FE34" w14:textId="77777777">
      <w:pPr>
        <w:pStyle w:val="NormalHanging12a"/>
      </w:pPr>
      <w:r w:rsidRPr="00FC6062">
        <w:t>–</w:t>
      </w:r>
      <w:r w:rsidRPr="00FC6062">
        <w:tab/>
        <w:t>viste le conclusioni del Consiglio, del 19 novembre 2021, sull'acqua nell'azione esterna dell'UE,</w:t>
      </w:r>
    </w:p>
    <w:p w:rsidR="00CE458F" w:rsidRPr="00FC6062" w:rsidP="00CE458F" w14:paraId="5BD51C1B" w14:textId="77777777">
      <w:pPr>
        <w:pStyle w:val="NormalHanging12a"/>
      </w:pPr>
      <w:r w:rsidRPr="00FC6062">
        <w:t>–</w:t>
      </w:r>
      <w:r w:rsidRPr="00FC6062">
        <w:tab/>
        <w:t>visti gli orientamenti dell'UE del 17 giugno 2019 riguardanti l'acqua potabile sicura e i servizi igienico-sanitari,</w:t>
      </w:r>
    </w:p>
    <w:p w:rsidR="00CE458F" w:rsidRPr="00FC6062" w:rsidP="00CE458F" w14:paraId="19A42488" w14:textId="77777777">
      <w:pPr>
        <w:pStyle w:val="NormalHanging12a"/>
      </w:pPr>
      <w:r w:rsidRPr="00FC6062">
        <w:t>–</w:t>
      </w:r>
      <w:r w:rsidRPr="00FC6062">
        <w:tab/>
        <w:t>visto l'articolo 121 del suo regolamento,</w:t>
      </w:r>
    </w:p>
    <w:p w:rsidR="00CE458F" w:rsidRPr="00FC6062" w:rsidP="00CE458F" w14:paraId="491A3E63" w14:textId="77777777">
      <w:pPr>
        <w:pStyle w:val="NormalHanging12a"/>
      </w:pPr>
      <w:r w:rsidRPr="00FC6062">
        <w:t>–</w:t>
      </w:r>
      <w:r w:rsidRPr="00FC6062">
        <w:tab/>
        <w:t>vista la sua risoluzione del 2 aprile 2025 sui diritti umani e la democrazia nel mondo e sulla politica dell'Unione europea in materia – relazione annuale 2024</w:t>
      </w:r>
      <w:r>
        <w:rPr>
          <w:rStyle w:val="FootnoteReference"/>
        </w:rPr>
        <w:footnoteReference w:id="4"/>
      </w:r>
      <w:r w:rsidRPr="00FC6062">
        <w:t>,</w:t>
      </w:r>
    </w:p>
    <w:p w:rsidR="00CE458F" w:rsidRPr="00FC6062" w:rsidP="00CE458F" w14:paraId="0ED832A9" w14:textId="77777777">
      <w:pPr>
        <w:pStyle w:val="NormalHanging12a"/>
      </w:pPr>
      <w:r w:rsidRPr="00FC6062">
        <w:t>–</w:t>
      </w:r>
      <w:r w:rsidRPr="00FC6062">
        <w:tab/>
        <w:t>vista la sua risoluzione del 21 gennaio 2026 sui diritti umani e la democrazia nel mondo e sulla politica dell'Unione europea in materia – relazione annuale 2025</w:t>
      </w:r>
      <w:r>
        <w:rPr>
          <w:rStyle w:val="FootnoteReference"/>
        </w:rPr>
        <w:footnoteReference w:id="5"/>
      </w:r>
      <w:r w:rsidRPr="00FC6062">
        <w:t>,</w:t>
      </w:r>
    </w:p>
    <w:p w:rsidR="00CE458F" w:rsidRPr="00FC6062" w:rsidP="00CE458F" w14:paraId="171C36F1" w14:textId="77777777">
      <w:pPr>
        <w:pStyle w:val="NormalHanging12a"/>
      </w:pPr>
      <w:r w:rsidRPr="00FC6062">
        <w:t>–</w:t>
      </w:r>
      <w:r w:rsidRPr="00FC6062">
        <w:tab/>
        <w:t>visto il parere del Comitato economico e sociale europeo del 4 dicembre 2024 dal titolo "Politica idrica: responsabilizzare i giovani, le donne e le comunità indigene e locali"</w:t>
      </w:r>
      <w:r>
        <w:rPr>
          <w:rStyle w:val="FootnoteReference"/>
        </w:rPr>
        <w:footnoteReference w:id="6"/>
      </w:r>
      <w:r w:rsidRPr="00FC6062">
        <w:t>,</w:t>
      </w:r>
    </w:p>
    <w:p w:rsidR="00CE458F" w:rsidRPr="00FC6062" w:rsidP="00CE458F" w14:paraId="30748236" w14:textId="77777777">
      <w:pPr>
        <w:pStyle w:val="NormalHanging12a"/>
      </w:pPr>
      <w:r w:rsidRPr="00FC6062">
        <w:t>–</w:t>
      </w:r>
      <w:r w:rsidRPr="00FC6062">
        <w:tab/>
        <w:t>vista la relazione della commissione per gli affari esteri (A10-0150/2026),</w:t>
      </w:r>
    </w:p>
    <w:p w:rsidR="00CE458F" w:rsidRPr="00FC6062" w:rsidP="00CE458F" w14:paraId="00B4101D" w14:textId="77777777">
      <w:pPr>
        <w:pStyle w:val="NormalHanging12a"/>
      </w:pPr>
      <w:r w:rsidRPr="00FC6062">
        <w:t>A.</w:t>
      </w:r>
      <w:r w:rsidRPr="00FC6062">
        <w:tab/>
        <w:t>considerando che l'acqua è essenziale per la sopravvivenza dell'umanità e di tutta la vita sulla Terra e deve pertanto essere gestita in modo sostenibile ed equo in quanto bene comune pubblico e globale;</w:t>
      </w:r>
    </w:p>
    <w:p w:rsidR="00CE458F" w:rsidRPr="00FC6062" w:rsidP="00CE458F" w14:paraId="16DAC862" w14:textId="77777777">
      <w:pPr>
        <w:pStyle w:val="NormalHanging12a"/>
      </w:pPr>
      <w:r w:rsidRPr="00FC6062">
        <w:t>B.</w:t>
      </w:r>
      <w:r w:rsidRPr="00FC6062">
        <w:tab/>
        <w:t>considerando che l'accesso all'acqua potabile sicura e ai servizi igienico-sanitari è un diritto umano e un prerequisito per la salute, la stabilità, la sicurezza e la pace, nonché per il pieno godimento della vita e di tutti i diritti umani; che una cattiva governance dell'acqua, la carenza idrica e la disparità di accesso possono contribuire all'instabilità, ai conflitti e agli sfollamenti; che circa 2,2 miliardi di persone non hanno ancora accesso all'acqua potabile gestita in modo sicuro, 3,5 miliardi di persone non dispongono di servizi igienico-sanitari gestiti in modo sicuro e circa 4 miliardi di persone soffrono di grave carenza idrica per almeno un mese all'anno;</w:t>
      </w:r>
    </w:p>
    <w:p w:rsidR="00CE458F" w:rsidRPr="00FC6062" w:rsidP="00CE458F" w14:paraId="624612A5" w14:textId="77777777">
      <w:pPr>
        <w:pStyle w:val="NormalHanging12a"/>
        <w:rPr>
          <w:bCs/>
          <w:iCs/>
        </w:rPr>
      </w:pPr>
      <w:r w:rsidRPr="00FC6062">
        <w:t>C.</w:t>
      </w:r>
      <w:r w:rsidRPr="00FC6062">
        <w:tab/>
        <w:t>considerando che l'inadeguatezza dei servizi idrici e igienico-sanitari contribuisce in modo significativo alla diffusione di malattie infettive prevenibili, come il colera, la malaria e le malattie gastrointestinali;</w:t>
      </w:r>
    </w:p>
    <w:p w:rsidR="00CE458F" w:rsidRPr="00FC6062" w:rsidP="00CE458F" w14:paraId="35462E61" w14:textId="77777777">
      <w:pPr>
        <w:pStyle w:val="NormalHanging12a"/>
      </w:pPr>
      <w:r w:rsidRPr="00FC6062">
        <w:t>D.</w:t>
      </w:r>
      <w:r w:rsidRPr="00FC6062">
        <w:tab/>
        <w:t>considerando che i cambiamenti climatici e l'attività umana non sostenibile rappresentano una grave minaccia per le risorse idriche e aggravano lo stress idrico; che una crescente pressione sulle risorse idriche causata dalla rapida crescita delle popolazioni, dall'aumento della domanda e da un uso non sostenibile dell'acqua e del suolo contribuisce alla carenza idrica, alla fame e ai conflitti;</w:t>
      </w:r>
    </w:p>
    <w:p w:rsidR="00CE458F" w:rsidRPr="00FC6062" w:rsidP="00CE458F" w14:paraId="606E06B8" w14:textId="77777777">
      <w:pPr>
        <w:pStyle w:val="NormalHanging12a"/>
      </w:pPr>
      <w:r w:rsidRPr="00FC6062">
        <w:t>E.</w:t>
      </w:r>
      <w:r w:rsidRPr="00FC6062">
        <w:tab/>
        <w:t xml:space="preserve">considerando che solo un terzo circa dei bacini idrografici continentali si trovava in condizioni di scarico idrico normali in ciascuno degli ultimi sei anni; che il 90 % del </w:t>
      </w:r>
      <w:r w:rsidRPr="00FC6062">
        <w:t>totale delle calamità naturali è associato all'acqua; che i cicli idrologici stanno diventando sempre più irregolari e sono caratterizzati da oscillazioni violente tra grave siccità e inondazioni devastanti, innescate dai cambiamenti climatici; che negli ultimi anni tutte le regioni glaciali del mondo hanno registrato perdite di ghiaccio; che le attività umane sono responsabili di una quantità significativa di inquinamento delle risorse di acqua dolce in tutto il mondo;</w:t>
      </w:r>
    </w:p>
    <w:p w:rsidR="00CE458F" w:rsidRPr="00FC6062" w:rsidP="00CE458F" w14:paraId="7804A59F" w14:textId="77777777">
      <w:pPr>
        <w:pStyle w:val="NormalHanging12a"/>
        <w:rPr>
          <w:bCs/>
          <w:iCs/>
        </w:rPr>
      </w:pPr>
      <w:r w:rsidRPr="00FC6062">
        <w:t>F.</w:t>
      </w:r>
      <w:r w:rsidRPr="00FC6062">
        <w:tab/>
        <w:t>considerando che la quantità e la qualità dell'acqua sono ugualmente importanti; che una gestione sufficiente di entrambe crea opportunità economiche e sociali;</w:t>
      </w:r>
    </w:p>
    <w:p w:rsidR="00CE458F" w:rsidRPr="00FC6062" w:rsidP="00CE458F" w14:paraId="6552AA5D" w14:textId="77777777">
      <w:pPr>
        <w:pStyle w:val="NormalHanging12a"/>
      </w:pPr>
      <w:r w:rsidRPr="00FC6062">
        <w:t>G.</w:t>
      </w:r>
      <w:r w:rsidRPr="00FC6062">
        <w:tab/>
        <w:t xml:space="preserve">considerando che il 60 % dei flussi mondiali di acqua dolce è costituito da falde acquifere transfrontaliere, laghi e bacini fluviali condivisi da due o più paesi; </w:t>
      </w:r>
    </w:p>
    <w:p w:rsidR="00CE458F" w:rsidRPr="00FC6062" w:rsidP="00CE458F" w14:paraId="2F5E9750" w14:textId="77777777">
      <w:pPr>
        <w:pStyle w:val="NormalHanging12a"/>
      </w:pPr>
      <w:r w:rsidRPr="00FC6062">
        <w:t>H.</w:t>
      </w:r>
      <w:r w:rsidRPr="00FC6062">
        <w:tab/>
        <w:t xml:space="preserve">considerando che, nonostante i progressi compiuti, la cooperazione transfrontaliera nel settore idrico rimane insufficiente a livello mondiale; che dei 153 Stati membri delle Nazioni Unite che condividono acque transfrontaliere, solo 43 hanno concluso accordi operativi; che oltre 20 paesi non dispongono di accordi di questo tipo, e si riscontrano progressi particolarmente limitati in Asia e in America latina; </w:t>
      </w:r>
    </w:p>
    <w:p w:rsidR="00CE458F" w:rsidRPr="00FC6062" w:rsidP="00CE458F" w14:paraId="5ADFB69F" w14:textId="77777777">
      <w:pPr>
        <w:pStyle w:val="NormalHanging12a"/>
        <w:rPr>
          <w:bCs/>
          <w:iCs/>
        </w:rPr>
      </w:pPr>
      <w:r w:rsidRPr="00FC6062">
        <w:t>I.</w:t>
      </w:r>
      <w:r w:rsidRPr="00FC6062">
        <w:tab/>
        <w:t>considerando che una forte governance dell'acqua, la trasparenza e il monitoraggio nel settore idrico e igienico-sanitario assicurano che le risorse finanziarie siano utilizzate nell'interesse pubblico e sostengano lo sviluppo sostenibile;</w:t>
      </w:r>
    </w:p>
    <w:p w:rsidR="00CE458F" w:rsidRPr="00FC6062" w:rsidP="00CE458F" w14:paraId="536DD471" w14:textId="77777777">
      <w:pPr>
        <w:pStyle w:val="NormalHanging12a"/>
      </w:pPr>
      <w:r w:rsidRPr="00FC6062">
        <w:t>J.</w:t>
      </w:r>
      <w:r w:rsidRPr="00FC6062">
        <w:tab/>
        <w:t>considerando che lo stress idrico e le azioni unilaterali dei paesi nelle acque transfrontaliere, come l'inquinamento, lo sfruttamento eccessivo o la costruzione di infrastrutture, possono avere implicazioni per tutti gli Stati che confinano con tali acque; che le controversie sull'accesso all'acqua alimentano e possono esacerbare conflitti più ampi e il tracollo economico, con gravi conseguenze per la stabilità regionale e la sicurezza umana;</w:t>
      </w:r>
    </w:p>
    <w:p w:rsidR="00CE458F" w:rsidRPr="00FC6062" w:rsidP="00CE458F" w14:paraId="377BD55C" w14:textId="77777777">
      <w:pPr>
        <w:pStyle w:val="NormalHanging12a"/>
      </w:pPr>
      <w:r w:rsidRPr="00FC6062">
        <w:t>K.</w:t>
      </w:r>
      <w:r w:rsidRPr="00FC6062">
        <w:tab/>
        <w:t>considerando che negli ultimi anni i conflitti legati all'acqua hanno superato la cooperazione; che, nonostante i progressi compiuti nell'ultimo decennio nella fornitura di acqua potabile e servizi igienico-sanitari, miliardi di persone in tutto il mondo non hanno ancora accesso all'acqua e ai servizi igienico-sanitari essenziali, il che li espone al rischio di malattie e di una maggiore esclusione sociale; che determinati gruppi, in particolare le donne, i bambini, i rifugiati, le popolazioni indigene, le comunità svantaggiate, le persone con disabilità e altri gruppi, sono spesso trascurati o subiscono discriminazioni nella pianificazione e nello sviluppo di infrastrutture idriche e igienico-sanitarie; che il degrado ambientale e i rischi legati al clima tendono ad avere effetti sproporzionati sulle comunità povere ed emarginate; che tali condizioni sono sempre più sfruttate dalle reti criminali, dalle organizzazioni terroristiche e dalle milizie locali per rafforzare la loro influenza e portare avanti i loro programmi;</w:t>
      </w:r>
    </w:p>
    <w:p w:rsidR="00CE458F" w:rsidRPr="00FC6062" w:rsidP="00CE458F" w14:paraId="24B4E9E3" w14:textId="77777777">
      <w:pPr>
        <w:pStyle w:val="NormalHanging12a"/>
      </w:pPr>
      <w:r w:rsidRPr="00FC6062">
        <w:t>L.</w:t>
      </w:r>
      <w:r w:rsidRPr="00FC6062">
        <w:tab/>
        <w:t xml:space="preserve">considerando che solo un accesso equo e sostenibile alle risorse idriche può garantire la prevedibilità a lungo termine per tutti; che la cooperazione strategica transnazionale in materia di risorse idriche consente di gestire in modo sostenibile le attività umane e di prepararsi congiuntamente a cicli idrologici irregolari, a vantaggio di tutti i vicini;  </w:t>
      </w:r>
    </w:p>
    <w:p w:rsidR="00CE458F" w:rsidRPr="00FC6062" w:rsidP="00CE458F" w14:paraId="4B7D7D89" w14:textId="77777777">
      <w:pPr>
        <w:pStyle w:val="NormalHanging12a"/>
      </w:pPr>
      <w:r w:rsidRPr="00FC6062">
        <w:t>M.</w:t>
      </w:r>
      <w:r w:rsidRPr="00FC6062">
        <w:tab/>
        <w:t xml:space="preserve">considerando che il patto per il Mediterraneo costituisce un quadro per una cooperazione regionale rafforzata; che la diplomazia dell'acqua dovrebbe essere </w:t>
      </w:r>
      <w:r w:rsidRPr="00FC6062">
        <w:t>inclusa</w:t>
      </w:r>
      <w:r w:rsidRPr="00FC6062">
        <w:t xml:space="preserve"> tra le sue azioni prioritarie, data la crescente pressione sulle risorse idriche condivise in </w:t>
      </w:r>
      <w:r w:rsidRPr="00FC6062">
        <w:t>tutto il Mediterraneo, anche in regioni come il Mediterraneo orientale e l'Africa settentrionale; che la gestione cooperativa delle risorse idriche, i progetti infrastrutturali comuni e il dialogo sulle risorse transfrontaliere dovrebbero essere riconosciuti come strumenti importanti per la prevenzione dei conflitti, la resilienza ai cambiamenti climatici e lo sviluppo sostenibile;</w:t>
      </w:r>
    </w:p>
    <w:p w:rsidR="00CE458F" w:rsidRPr="00FC6062" w:rsidP="00CE458F" w14:paraId="2845C2F8" w14:textId="77777777">
      <w:pPr>
        <w:pStyle w:val="NormalHanging12a"/>
      </w:pPr>
      <w:r w:rsidRPr="00FC6062">
        <w:t>N.</w:t>
      </w:r>
      <w:r w:rsidRPr="00FC6062">
        <w:tab/>
        <w:t>considerando che i conflitti armati e l'occupazione perturbano in modo significativo l'accessibilità dell'acqua e la cooperazione transnazionale nel settore idrico;</w:t>
      </w:r>
    </w:p>
    <w:p w:rsidR="00CE458F" w:rsidRPr="00FC6062" w:rsidP="00CE458F" w14:paraId="1755618A" w14:textId="77777777">
      <w:pPr>
        <w:pStyle w:val="NormalHanging12a"/>
      </w:pPr>
      <w:r w:rsidRPr="00FC6062">
        <w:t>O.</w:t>
      </w:r>
      <w:r w:rsidRPr="00FC6062">
        <w:tab/>
        <w:t>considerando che gli impegni politici a livello globale per la gestione sostenibile delle risorse idriche non sono stati accompagnati dai finanziamenti o dalle azioni necessari sul campo;</w:t>
      </w:r>
    </w:p>
    <w:p w:rsidR="00CE458F" w:rsidRPr="00FC6062" w:rsidP="00CE458F" w14:paraId="418B9C83" w14:textId="77777777">
      <w:pPr>
        <w:pStyle w:val="NormalHanging12a"/>
      </w:pPr>
      <w:r w:rsidRPr="00FC6062">
        <w:t>P.</w:t>
      </w:r>
      <w:r w:rsidRPr="00FC6062">
        <w:tab/>
        <w:t>considerando che il diritto internazionale umanitario, in particolare i protocolli addizionali del 1977 alle convenzioni di Ginevra, prevede tutele esplicite per le dighe e altre "installazioni che racchiudono forze pericolose"; che la strumentalizzazione dell'acqua, compresi gli attacchi contro i sistemi e gli impianti idrici o i conseguenti danni ambientali, costituisce una grave violazione dei diritti umani e potrebbe costituire crimine contro l'umanità ed ecocidio;</w:t>
      </w:r>
    </w:p>
    <w:p w:rsidR="00CE458F" w:rsidRPr="00FC6062" w:rsidP="00CE458F" w14:paraId="24001BF8" w14:textId="77777777">
      <w:pPr>
        <w:pStyle w:val="NormalHanging12a"/>
      </w:pPr>
      <w:r w:rsidRPr="00FC6062">
        <w:t>Q.</w:t>
      </w:r>
      <w:r w:rsidRPr="00FC6062">
        <w:tab/>
        <w:t xml:space="preserve">considerando che la guerra contemporanea comporta sempre più spesso l'attacco deliberato e la strumentalizzazione delle forniture idriche e delle infrastrutture idriche, come dimostrato da ultimo dalla devastante distruzione della diga di </w:t>
      </w:r>
      <w:r w:rsidRPr="00FC6062">
        <w:t>Kakhovka</w:t>
      </w:r>
      <w:r w:rsidRPr="00FC6062">
        <w:t xml:space="preserve"> in Ucraina da parte della Russia nel 2023; che la distruzione della diga di </w:t>
      </w:r>
      <w:r w:rsidRPr="00FC6062">
        <w:t>Kakhovka</w:t>
      </w:r>
      <w:r w:rsidRPr="00FC6062">
        <w:t xml:space="preserve"> ha causato gravi danni ambientali, tra cui inondazioni, inquinamento delle risorse di acqua dolce, perdita di biodiversità e danni a lungo termine agli ecosistemi, nonché morti e sfollamenti di massa della popolazione civile, privandola dell'accesso all'acqua potabile sicura e ai mezzi di sussistenza; che la distruzione della diga ha creato gravi rischi per la sicurezza nucleare nella vicina centrale nucleare di </w:t>
      </w:r>
      <w:r w:rsidRPr="00FC6062">
        <w:t>Zaporizhzhia</w:t>
      </w:r>
      <w:r w:rsidRPr="00FC6062">
        <w:t>; che, a seguito della guerra di aggressione della Russia contro l'Ucraina, circa 1,7 milioni di minori in Ucraina non hanno attualmente un accesso affidabile all'acqua potabile;</w:t>
      </w:r>
    </w:p>
    <w:p w:rsidR="00CE458F" w:rsidRPr="00FC6062" w:rsidP="00CE458F" w14:paraId="333DAC6C" w14:textId="77777777">
      <w:pPr>
        <w:pStyle w:val="NormalHanging12a"/>
      </w:pPr>
      <w:r w:rsidRPr="00FC6062">
        <w:t>R.</w:t>
      </w:r>
      <w:r w:rsidRPr="00FC6062">
        <w:tab/>
        <w:t>considerando che il Parlamento ha condannato con la massima fermezza la distruzione deliberata da parte della Russia delle infrastrutture idriche, comprese le dighe, come arma di guerra; che la distruzione ha causato gravi danni ambientali, compromesso la sicurezza idrica e minacciato le popolazioni civili; che tali atti costituiscono violazioni del diritto internazionale ed è auspicabile la piena attribuzione di responsabilità nei confronti dei responsabili; che la Commissione e gli Stati membri dell'UE continuano a fornire assistenza all'Ucraina nell'indagare sui responsabili, in modo che possano essere perseguiti per crimini di guerra e crimini contro l'umanità;</w:t>
      </w:r>
    </w:p>
    <w:p w:rsidR="00CE458F" w:rsidRPr="00FC6062" w:rsidP="00CE458F" w14:paraId="600C6EF8" w14:textId="77777777">
      <w:pPr>
        <w:pStyle w:val="NormalHanging12a"/>
      </w:pPr>
      <w:r w:rsidRPr="00FC6062">
        <w:t>S.</w:t>
      </w:r>
      <w:r w:rsidRPr="00FC6062">
        <w:tab/>
        <w:t>considerando che l'UE sostiene i meccanismi congiunti israelo-palestinesi di governance delle risorse idriche, compreso il rilancio dei quadri esistenti, come il comitato misto per l'acqua, al fine di promuovere un'equa distribuzione dell'acqua, una maggiore trasparenza e un efficace sviluppo delle infrastrutture; che la disparità nell'accesso alle risorse idriche condivise rimane un fattore strutturale di instabilità in Medio Oriente, in particolare nel bacino del Giordano, dove gli squilibri storici e in corso nell'assegnazione e nel controllo per quanto riguarda le comunità palestinesi aggravano le disparità socioeconomiche; che, nell'ambito degli accordi esistenti, le autorità israeliane esercitano un controllo effettivo sulla maggior parte delle risorse idriche in Cisgiordania e provenienti da tale territorio;</w:t>
      </w:r>
    </w:p>
    <w:p w:rsidR="00CE458F" w:rsidRPr="00FC6062" w:rsidP="00CE458F" w14:paraId="580A01B9" w14:textId="77777777">
      <w:pPr>
        <w:pStyle w:val="NormalHanging12a"/>
      </w:pPr>
      <w:r w:rsidRPr="00FC6062">
        <w:t>T.</w:t>
      </w:r>
      <w:r w:rsidRPr="00FC6062">
        <w:tab/>
        <w:t>considerando che il conflitto tra Israele e Hamas ha portato a un'ampia distruzione delle infrastrutture idriche, igienico-sanitarie e igieniche nella Striscia di Gaza, compresi gli impianti di desalinizzazione, gli impianti di trattamento delle acque reflue e le reti di distribuzione, lasciando gran parte della popolazione senza un accesso affidabile all'acqua potabile sicura e aggravando le esigenze umanitarie; che l'Ufficio dell'Alto Commissario delle Nazioni Unite per i diritti umani ha riferito, nel luglio 2025, che l'89 % delle infrastrutture idriche e igienico-sanitarie di Gaza è stato danneggiato o distrutto, lasciando il 90 % delle famiglie in condizioni di insicurezza idrica; che una consegna rapida e senza ostacoli dei materiali, del combustibile e dell'assistenza tecnica è necessaria per la riparazione e la ricostruzione delle infrastrutture idriche critiche, comprese le condotte, le unità di desalinizzazione e gli impianti di trattamento delle acque reflue;</w:t>
      </w:r>
    </w:p>
    <w:p w:rsidR="00CE458F" w:rsidRPr="00FC6062" w:rsidP="00CE458F" w14:paraId="12F10A0D" w14:textId="77777777">
      <w:pPr>
        <w:pStyle w:val="NormalHanging12a"/>
      </w:pPr>
      <w:r w:rsidRPr="00FC6062">
        <w:t>U.</w:t>
      </w:r>
      <w:r w:rsidRPr="00FC6062">
        <w:tab/>
        <w:t xml:space="preserve">considerando che l'impatto transfrontaliero dei progetti di dighe su larga scala intrapresi dalla Turchia nell'ambito del progetto per l'Anatolia sudorientale (GAP), compresa la diga di </w:t>
      </w:r>
      <w:r w:rsidRPr="00FC6062">
        <w:t>Ilısu</w:t>
      </w:r>
      <w:r w:rsidRPr="00FC6062">
        <w:t>, hanno inciso sui flussi idrici a valle nei fiumi Tigri ed Eufrate e hanno contribuito alla carenza idrica, a perdite agricole e al degrado ambientale in Iraq e Siria; che è necessario un dialogo strutturato e inclusivo a livello di bacino tra i portatori di interessi turchi, iracheni e siriani sulla gestione del sistema fluviale Tigri-Eufrate, sulla base dei principi del diritto internazionale in materia di acque, compresi un uso equo e ragionevole e l'obbligo di non causare danni significativi;</w:t>
      </w:r>
    </w:p>
    <w:p w:rsidR="00CE458F" w:rsidRPr="00FC6062" w:rsidP="00CE458F" w14:paraId="441B4128" w14:textId="77777777">
      <w:pPr>
        <w:pStyle w:val="NormalHanging12a"/>
      </w:pPr>
      <w:r w:rsidRPr="00FC6062">
        <w:t>V.</w:t>
      </w:r>
      <w:r w:rsidRPr="00FC6062">
        <w:tab/>
        <w:t xml:space="preserve">considerando che permangono tensioni tra Egitto ed Etiopia a seguito del completamento e dell'inaugurazione della Grande diga del rinascimento etiope nel 2025, che potrebbero incidere in modo significativo sull'equilibrio </w:t>
      </w:r>
      <w:r w:rsidRPr="00FC6062">
        <w:t>idropolitico</w:t>
      </w:r>
      <w:r w:rsidRPr="00FC6062">
        <w:t xml:space="preserve"> nel bacino del Nilo; che il Consiglio di sicurezza delle Nazioni Unite ha discusso a più riprese della Grande diga del rinascimento etiope; che tutte le parti interessate dovrebbero astenersi da misure unilaterali che potrebbero esacerbare le tensioni e dovrebbero dare priorità alle misure volte a rafforzare la fiducia, tra cui la trasparenza nelle operazioni relative alle dighe e la cooperazione tecnica in materia di previsioni dei flussi idrici;</w:t>
      </w:r>
    </w:p>
    <w:p w:rsidR="00CE458F" w:rsidRPr="00FC6062" w:rsidP="00CE458F" w14:paraId="649F6A5B" w14:textId="77777777">
      <w:pPr>
        <w:pStyle w:val="NormalHanging12a"/>
      </w:pPr>
      <w:r w:rsidRPr="00FC6062">
        <w:t>W.</w:t>
      </w:r>
      <w:r w:rsidRPr="00FC6062">
        <w:tab/>
        <w:t>considerando che per l'Armenia e l'Azerbaigian il fiume Aras è essenziale in termini di agricoltura, sviluppo economico e acqua potabile, mentre la qualità e la quantità dell'acqua nel fiume Aras sono sotto pressione; che un futuro accordo tra Armenia e Azerbaigian riguardante il loro corpo idrico transfrontaliero condiviso, compresi meccanismi per la condivisione dei dati, il monitoraggio congiunto, la sicurezza delle dighe e la ripartizione equa e sostenibile dell'acqua per uso agricolo e civile, consentirebbe al fiume di essere una risorsa condivisa piuttosto che una fonte di instabilità;</w:t>
      </w:r>
    </w:p>
    <w:p w:rsidR="00CE458F" w:rsidRPr="00FC6062" w:rsidP="00CE458F" w14:paraId="52C00232" w14:textId="77777777">
      <w:pPr>
        <w:pStyle w:val="NormalHanging12a"/>
      </w:pPr>
      <w:r w:rsidRPr="00FC6062">
        <w:t>X.</w:t>
      </w:r>
      <w:r w:rsidRPr="00FC6062">
        <w:tab/>
        <w:t>considerando che l'inquinamento e i rifiuti trasportati dai fiumi e dalle correnti marine possono accumularsi sulle coste di altri Stati, causando danni ambientali, economici e sociali, anche al turismo e alla pesca;</w:t>
      </w:r>
    </w:p>
    <w:p w:rsidR="00CE458F" w:rsidRPr="00FC6062" w:rsidP="00CE458F" w14:paraId="2B21098A" w14:textId="06254280">
      <w:pPr>
        <w:pStyle w:val="NormalHanging12a"/>
      </w:pPr>
      <w:r w:rsidRPr="00FC6062">
        <w:t>Y.</w:t>
      </w:r>
      <w:r w:rsidRPr="00FC6062">
        <w:tab/>
        <w:t>considerando che la carenza idrica e il degrado delle risorse idriche possono anche portare a sfollamenti di massa della popolazione e alla migrazione forzata, aggravando l'insicurezza alimentare, la povertà e l'instabilità nelle regioni più vulnerabili; che uno dei mezzi per affrontare le cause profonde della migrazione consiste nel migliorare la gestione delle risorse idriche nei paesi terzi;</w:t>
      </w:r>
    </w:p>
    <w:p w:rsidR="00CE458F" w:rsidRPr="00FC6062" w:rsidP="00CE458F" w14:paraId="2D77B0A7" w14:textId="77777777">
      <w:pPr>
        <w:pStyle w:val="NormalHanging12a"/>
      </w:pPr>
      <w:r w:rsidRPr="00FC6062">
        <w:t>Z.</w:t>
      </w:r>
      <w:r w:rsidRPr="00FC6062">
        <w:tab/>
        <w:t xml:space="preserve">considerando che gli attori statali e non statali armati nelle zone interessate da conflitti </w:t>
      </w:r>
      <w:r w:rsidRPr="00FC6062">
        <w:t>utilizzano le popolazioni indebolite come mezzo per acquisire legittimità controllando le risorse idriche; che l'accesso alle infrastrutture idriche e il loro controllo sono sempre più spesso utilizzati come strumenti di pressione politica, coercizione o guerra;</w:t>
      </w:r>
    </w:p>
    <w:p w:rsidR="00CE458F" w:rsidRPr="00FC6062" w:rsidP="00CE458F" w14:paraId="63C0AF03" w14:textId="77777777">
      <w:pPr>
        <w:pStyle w:val="NormalHanging12a"/>
      </w:pPr>
      <w:r w:rsidRPr="00FC6062">
        <w:t>AA.</w:t>
      </w:r>
      <w:r w:rsidRPr="00FC6062">
        <w:tab/>
        <w:t>considerando che i partenariati pubblico-privato dovrebbero promuovere un accesso migliore e più economico all'acqua e ai servizi igienico-sanitari per tutti, in particolare nella creazione nonché nella manutenzione e nella gestione efficienti e sostenibili delle infrastrutture idriche; che gli investimenti e le politiche a livello pubblico dovrebbero incoraggiare e incentivare il settore privato a investire in tecnologie e pratiche di gestione che promuovano l'attività economica sostenibile;</w:t>
      </w:r>
    </w:p>
    <w:p w:rsidR="00CE458F" w:rsidRPr="00FC6062" w:rsidP="00CE458F" w14:paraId="7206F6B4" w14:textId="4E09E6EF">
      <w:pPr>
        <w:pStyle w:val="NormalHanging12a"/>
      </w:pPr>
      <w:r w:rsidRPr="00FC6062">
        <w:t>1.</w:t>
      </w:r>
      <w:r w:rsidRPr="00FC6062">
        <w:tab/>
        <w:t>raccomanda al Consiglio, alla Commissione e alla vicepresidente della Commissione</w:t>
      </w:r>
      <w:r w:rsidRPr="00FC6062" w:rsidR="00F0578E">
        <w:t> </w:t>
      </w:r>
      <w:r w:rsidRPr="00FC6062">
        <w:t>/</w:t>
      </w:r>
      <w:r w:rsidRPr="00FC6062" w:rsidR="00F0578E">
        <w:t> </w:t>
      </w:r>
      <w:r w:rsidRPr="00FC6062">
        <w:t>alta rappresentante dell'Unione per gli affari esteri e la politica di sicurezza:</w:t>
      </w:r>
    </w:p>
    <w:p w:rsidR="00CE458F" w:rsidRPr="00FC6062" w:rsidP="00CE458F" w14:paraId="103357D2" w14:textId="77777777">
      <w:pPr>
        <w:pStyle w:val="NormalHanging12a"/>
        <w:ind w:left="1134"/>
      </w:pPr>
      <w:r w:rsidRPr="00FC6062">
        <w:t>a)</w:t>
      </w:r>
      <w:r w:rsidRPr="00FC6062">
        <w:tab/>
        <w:t>di rafforzare il ruolo della governance transfrontaliera delle risorse idriche nell'azione esterna dell'UE, in modo che funga da strumento significativo per la prevenzione e la risoluzione dei conflitti e il rafforzamento della fiducia a livello regionale, nazionale e internazionale, in particolare nelle zone vulnerabili agli effetti dei cambiamenti climatici e in cui l'acqua è già scarsa, specialmente nelle regioni di importanza strategica; di riconoscere esplicitamente lo stress idrico quale importante fattore di rischio di sicurezza, geopolitico e umanitario e di integrare pienamente la prevenzione dei conflitti legati all'acqua nella politica estera, di sicurezza e di sviluppo dell'UE;</w:t>
      </w:r>
    </w:p>
    <w:p w:rsidR="00CE458F" w:rsidRPr="00FC6062" w:rsidP="00CE458F" w14:paraId="1CBCD3A8" w14:textId="77777777">
      <w:pPr>
        <w:pStyle w:val="NormalHanging12a"/>
        <w:ind w:left="1134"/>
      </w:pPr>
      <w:r w:rsidRPr="00FC6062">
        <w:t>b)</w:t>
      </w:r>
      <w:r w:rsidRPr="00FC6062">
        <w:tab/>
        <w:t>di affrontare la mancanza di accordi operativi tra i governi che condividono bacini idrici transfrontalieri e di mettere a disposizione tutte le competenze e l'assistenza tecnica e finanziaria dell'UE necessarie per sostenere i governi nella definizione e nell'attuazione di tali accordi e per sostenere le organizzazioni dei bacini idrografici, nel pieno rispetto della sovranità dei paesi partner e della loro responsabilità primaria per la gestione delle risorse idriche, al fine di ridurre il rischio di tensioni o conflitti, promuovere la cooperazione e migliorare la gestione sostenibile delle risorse naturali; di sollevare sistematicamente le questioni relative alla governance transnazionale delle risorse idriche nei dialoghi bilaterali dell'UE con i paesi partner;</w:t>
      </w:r>
    </w:p>
    <w:p w:rsidR="00CE458F" w:rsidRPr="00FC6062" w:rsidP="00CE458F" w14:paraId="131088A2" w14:textId="77777777">
      <w:pPr>
        <w:pStyle w:val="NormalHanging12a"/>
        <w:ind w:left="1134"/>
      </w:pPr>
      <w:r w:rsidRPr="00FC6062">
        <w:t>c)</w:t>
      </w:r>
      <w:r w:rsidRPr="00FC6062">
        <w:tab/>
        <w:t xml:space="preserve">di sostenere gli sforzi dei paesi partner volti a creare un contesto giuridico e una politica favorevole alla gestione collaborativa delle risorse idriche e rafforzare il ruolo della governance transnazionale delle risorse idriche nell'azione esterna e nella diplomazia dell'UE; di fornire al Servizio europeo per l'azione esterna (SEAE) e alle delegazioni dell'UE in tutto il mondo, a tal fine, le risorse finanziarie e umane adeguate per sostenere la gestione transfrontaliera delle risorse idriche sul campo, all'interno dei paesi partner e tra di essi, e promuovere lo sviluppo e l'attuazione della diplomazia blu; </w:t>
      </w:r>
    </w:p>
    <w:p w:rsidR="00CE458F" w:rsidRPr="00FC6062" w:rsidP="00CE458F" w14:paraId="7C5675F5" w14:textId="77777777">
      <w:pPr>
        <w:pStyle w:val="NormalHanging12a"/>
        <w:ind w:left="1134"/>
      </w:pPr>
      <w:r w:rsidRPr="00FC6062">
        <w:t>d)</w:t>
      </w:r>
      <w:r w:rsidRPr="00FC6062">
        <w:tab/>
        <w:t xml:space="preserve">di garantire finanziamenti adeguati ed efficienti per la gestione transfrontaliera delle risorse idriche dell'Unione nell'azione esterna dell'UE nell'ambito del prossimo quadro finanziario pluriennale attraverso gli strumenti Europa Globale e Global Gateway; di rafforzare l'adattamento degli investimenti esterni dell'UE nell'accesso all'acqua e ai servizi igienico-sanitari ai contesti fragili e colpiti da conflitti, al fine di sostenere la pace e la resilienza, anche attraverso maggiori </w:t>
      </w:r>
      <w:r w:rsidRPr="00FC6062">
        <w:t xml:space="preserve">finanziamenti per l'accesso globale a infrastrutture idriche e igienico-sanitarie resilienti ai cambiamenti climatici e sostenibili; di assicurare che i progetti nell'ambito delle infrastrutture e dell'energia finanziati dagli strumenti di cooperazione allo sviluppo e di politica esterna dell'UE, compresa la Banca europea per gli investimenti, continuino a essere pienamente in linea con il diritto internazionale, non compromettano le relazioni transfrontaliere in materia di risorse idriche, la parità di accesso e la gestione sostenibile e agevolino l'accesso delle popolazioni alle loro terre, in particolare le popolazioni indigene; di allineare i finanziamenti alle azioni faro globali della prima strategia dell'UE sulla resilienza idrica; </w:t>
      </w:r>
    </w:p>
    <w:p w:rsidR="00CE458F" w:rsidRPr="00FC6062" w:rsidP="00CE458F" w14:paraId="1BF8204E" w14:textId="77777777">
      <w:pPr>
        <w:pStyle w:val="NormalHanging12a"/>
        <w:ind w:left="1134"/>
      </w:pPr>
      <w:r w:rsidRPr="00FC6062">
        <w:t>e)</w:t>
      </w:r>
      <w:r w:rsidRPr="00FC6062">
        <w:tab/>
        <w:t>di riconoscere e rafforzare il sostegno per quanto riguarda il lavoro cruciale svolto dai difensori dei diritti ambientali e dalle organizzazioni della società civile a favore della conservazione delle risorse idriche, della parità di accesso e della governance transfrontaliera delle risorse idriche; di coinvolgere da vicino i difensori locali dei diritti ambientali e le organizzazioni della società civile nel sostegno dell'UE alla governance transnazionale delle risorse idriche nei paesi terzi e di promuoverne la sicurezza e la libertà di operare senza violenze e intimidazioni; di aumentare il sostegno per le organizzazioni non governative attive nei settori della diplomazia dell'acqua, della prevenzione dei conflitti e della cooperazione transfrontaliera in materia di acqua, specie nelle regioni fragili e colpite da conflitti, riconoscendone l'importante ruolo nel facilitare il dialogo a livello locale e regionale, nel sostenere la gestione delle risorse idriche a livello di comunità, nel promuovere il rafforzamento della fiducia e nel contribuire a iniziative di governance sostenibile e inclusiva delle risorse idriche;</w:t>
      </w:r>
    </w:p>
    <w:p w:rsidR="00CE458F" w:rsidRPr="00FC6062" w:rsidP="00CE458F" w14:paraId="18FC242F" w14:textId="77777777">
      <w:pPr>
        <w:pStyle w:val="NormalHanging12a"/>
        <w:ind w:left="1134"/>
      </w:pPr>
      <w:r w:rsidRPr="00FC6062">
        <w:t>f)</w:t>
      </w:r>
      <w:r w:rsidRPr="00FC6062">
        <w:tab/>
      </w:r>
      <w:bookmarkStart w:id="8" w:name="_Hlk231546271"/>
      <w:r w:rsidRPr="00FC6062">
        <w:t>di estendere la portata geografica dei progetti transfrontalieri dell'UE in materia di governance delle risorse idriche al di là di determinate parti dell'Africa e dell'Asia centrale in modo da includere anche le Americhe, il Medio Oriente e il Nord Africa e l'Asia orientale e meridionale</w:t>
      </w:r>
      <w:bookmarkEnd w:id="8"/>
      <w:r w:rsidRPr="00FC6062">
        <w:t xml:space="preserve"> attraverso un approccio Team Europa, in particolare nei luoghi in cui l'insicurezza idrica può contribuire all'instabilità e agli sfollamenti;</w:t>
      </w:r>
    </w:p>
    <w:p w:rsidR="00CE458F" w:rsidRPr="00FC6062" w:rsidP="00CE458F" w14:paraId="1C04DC5E" w14:textId="77777777">
      <w:pPr>
        <w:pStyle w:val="NormalHanging12a"/>
        <w:ind w:left="1134"/>
      </w:pPr>
      <w:r w:rsidRPr="00FC6062">
        <w:t>g)</w:t>
      </w:r>
      <w:r w:rsidRPr="00FC6062">
        <w:tab/>
        <w:t>di rafforzare la gestione sostenibile delle risorse idriche e delle acque reflue integrando sistematicamente la cooperazione in materia di infrastrutture, tecnologie e competenze nei partenariati e nei programmi di sviluppo; di sostenere lo sviluppo di capacità e il rafforzamento istituzionale nei paesi partner per migliorare la pianificazione, la governance e la manutenzione dei servizi idrici e igienico-sanitari, anche attraverso partenariati con le autorità locali, i servizi pubblici, la società civile e le organizzazioni locali; di adattare gli investimenti infrastrutturali ai contesti locali e storici al fine di trasformare l'acqua in uno strumento di pace e stabilità;</w:t>
      </w:r>
    </w:p>
    <w:p w:rsidR="00CE458F" w:rsidRPr="00FC6062" w:rsidP="00CE458F" w14:paraId="0186CBF5" w14:textId="77777777">
      <w:pPr>
        <w:pStyle w:val="NormalHanging12a"/>
        <w:ind w:left="1134"/>
      </w:pPr>
      <w:r w:rsidRPr="00FC6062">
        <w:t>h)</w:t>
      </w:r>
      <w:r w:rsidRPr="00FC6062">
        <w:tab/>
        <w:t xml:space="preserve">di rafforzare la cooperazione multilaterale in materia di acqua, in particolare nell'ambito delle Nazioni Unite, proseguendo e intensificando la globalizzazione della convenzione delle Nazioni Unite sull'acqua e sostenendo l'attuazione degli obiettivi di sviluppo sostenibile (OSS), in particolare l'OSS 6 sull'acqua pulita e i servizi igienico-sanitari, nonché affrontando le notevoli disuguaglianze tra i paesi e all'interno degli stessi nell'accesso all'acqua e ai servizi igienico-sanitari; di garantire la prosecuzione dell'attuazione degli impegni assunti dall'UE in occasione della conferenza delle Nazioni Unite sull'acqua del 2023, preservando </w:t>
      </w:r>
      <w:r w:rsidRPr="00FC6062">
        <w:t>nel contempo tali ambizioni e azioni in preparazione della conferenza delle Nazioni Unite sull'acqua del 2026; di intensificare i dialoghi multilivello con i paesi situati in bacini soggetti a conflitti, compresi i vertici e le iniziative congiunte, come pure i formati di cooperazione a lungo termine;</w:t>
      </w:r>
    </w:p>
    <w:p w:rsidR="00CE458F" w:rsidRPr="00FC6062" w:rsidP="00CE458F" w14:paraId="2B4B2642" w14:textId="77777777">
      <w:pPr>
        <w:pStyle w:val="NormalHanging12a"/>
        <w:ind w:left="1134"/>
      </w:pPr>
      <w:r w:rsidRPr="00FC6062">
        <w:t>i)</w:t>
      </w:r>
      <w:r w:rsidRPr="00FC6062">
        <w:tab/>
        <w:t>di sottolineare che un'efficace governance transfrontaliera delle risorse idriche dipende dalla conservazione della biodiversità e del clima e di chiedere pertanto che la gestione dell'acqua, in quanto esigenza fondamentale per le piante, gli animali e gli esseri umani, risponda in primo luogo agli interessi ambientali e sia guidata da una logica fondata sull'interesse pubblico e su beni pubblici e globali comuni;</w:t>
      </w:r>
    </w:p>
    <w:p w:rsidR="00CE458F" w:rsidRPr="00FC6062" w:rsidP="00CE458F" w14:paraId="7D078AEA" w14:textId="77777777">
      <w:pPr>
        <w:pStyle w:val="NormalHanging12a"/>
        <w:ind w:left="1134"/>
      </w:pPr>
      <w:r w:rsidRPr="00FC6062">
        <w:t>j)</w:t>
      </w:r>
      <w:r w:rsidRPr="00FC6062">
        <w:tab/>
        <w:t>di rafforzare la resilienza idrica globale quale mezzo per promuovere la stabilità attraverso l'efficace attuazione della strategia dell'UE sulla resilienza idrica, in particolare le sue azioni globali volte a sostenere l'accesso all'acqua e ai servizi igienico-sanitari per almeno 70 milioni di persone e a rafforzare la governance e l'impegno globali in materia di acqua nei consessi multilaterali quali il G7, il G20 e il dialogo di Baku sull'acqua per l'azione per il clima;</w:t>
      </w:r>
    </w:p>
    <w:p w:rsidR="00CE458F" w:rsidRPr="00FC6062" w:rsidP="00CE458F" w14:paraId="25692FA7" w14:textId="77777777">
      <w:pPr>
        <w:pStyle w:val="NormalHanging12a"/>
        <w:ind w:left="1134"/>
      </w:pPr>
      <w:r w:rsidRPr="00FC6062">
        <w:t>k)</w:t>
      </w:r>
      <w:r w:rsidRPr="00FC6062">
        <w:tab/>
        <w:t>di investire per giungere a una panoramica più trasparente di tutto il sostegno dell'UE in corso destinato alla promozione della gestione transfrontaliera delle risorse idriche a livello internazionale e garantire la coerenza e la razionalizzazione di tutte le attività e di tutti i finanziamenti in tutte le direzioni generali pertinenti come pure tra il SEAE e la Commissione, assicurando nel contempo che i vari programmi si integrino a vicenda e non si sovrappongano; di rafforzare la comunicazione sugli sforzi e i risultati dell'UE nel settore della cooperazione transfrontaliera in materia di risorse idriche per dare maggiore visibilità a questo strumento essenziale e al ruolo guida dell'UE nella relativa attuazione;</w:t>
      </w:r>
    </w:p>
    <w:p w:rsidR="00CE458F" w:rsidRPr="00FC6062" w:rsidP="00CE458F" w14:paraId="4F55E678" w14:textId="77777777">
      <w:pPr>
        <w:pStyle w:val="NormalHanging12a"/>
        <w:ind w:left="1134"/>
      </w:pPr>
      <w:r w:rsidRPr="00FC6062">
        <w:t>l)</w:t>
      </w:r>
      <w:r w:rsidRPr="00FC6062">
        <w:tab/>
        <w:t xml:space="preserve">di promuovere una cooperazione internazionale rafforzata, anche a livello delle organizzazioni dei bacini idrografici, per affrontare la crescente crisi idrica; di garantire e migliorare l'accesso ad acqua pulita e di alta qualità e ai servizi igienico-sanitari; di promuovere una gestione sostenibile delle risorse idriche, aumentare il riutilizzo dell'acqua, contrastare l'inquinamento, l'uso eccessivo e lo spreco di risorse idriche e attuare varie tecnologie idriche innovative, comprese soluzioni basate sulla natura;  </w:t>
      </w:r>
    </w:p>
    <w:p w:rsidR="00CE458F" w:rsidRPr="00FC6062" w:rsidP="00CE458F" w14:paraId="2D776A67" w14:textId="77777777">
      <w:pPr>
        <w:pStyle w:val="NormalHanging12a"/>
        <w:ind w:left="1134"/>
      </w:pPr>
      <w:r w:rsidRPr="00FC6062">
        <w:t>m)</w:t>
      </w:r>
      <w:r w:rsidRPr="00FC6062">
        <w:tab/>
        <w:t>di far sì che le iniziative dell'UE in materia di acque in tutto il mondo affrontino le persistenti lacune nei dati e la mancanza di condivisione dei dati tra i governi, dotando i paesi partner di risorse tecniche e fisiche per monitorare efficacemente i livelli idrici e la qualità dei bacini transfrontalieri, nonché scambiando dati e promuovendo norme comuni per la raccolta dei dati tra i paesi partner al fine di aumentare la compatibilità; di fungere da attore credibile e affidabile nel facilitare lo scambio di informazioni affidabili sull'acqua tra i governi, i portatori di interessi e il pubblico in situazioni di stress idrico e di alta tensione, anche quando la condivisione di informazioni è una questione sensibile a causa di preoccupazioni in materia di sicurezza; di basarsi sull'esperienza, sui programmi, sulle pratiche e sulle strategie pertinenti dell'UE per rafforzare la condivisione delle migliori pratiche tra gli attori regionali e nazionali;</w:t>
      </w:r>
    </w:p>
    <w:p w:rsidR="00CE458F" w:rsidRPr="00FC6062" w:rsidP="00CE458F" w14:paraId="5939BEF8" w14:textId="5E74EF3B">
      <w:pPr>
        <w:pStyle w:val="NormalHanging12a"/>
        <w:ind w:left="1134"/>
      </w:pPr>
      <w:r w:rsidRPr="00FC6062">
        <w:t>n)</w:t>
      </w:r>
      <w:r w:rsidRPr="00FC6062">
        <w:tab/>
        <w:t>di promuovere strumenti di cooperazione intergovernativa e regionale nella gestione delle risorse idriche, concentrandosi in particolare sulla garanzia di un'equa distribuzione dell'acqua, e di sostenere le strutture di governance a livello locale e di comunità; di prendere in considerazione la possibilità di sostenere i partenariati pubblico-privato laddove contribuiscano a una gestione efficiente delle risorse idriche e a un accesso più economico all'acqua e ai servizi igienico-sanitari per tutti; di incentivare gli investimenti in tecnologie e pratiche di gestione che migliorino l'uso di pratiche agricole sostenibili nella produzione di colture, bestiame e risorse alieutiche da parte di imprese piccole e grandi;</w:t>
      </w:r>
    </w:p>
    <w:p w:rsidR="00CE458F" w:rsidRPr="00FC6062" w:rsidP="00CE458F" w14:paraId="176009DC" w14:textId="77777777">
      <w:pPr>
        <w:pStyle w:val="NormalHanging12a"/>
        <w:ind w:left="1134"/>
      </w:pPr>
      <w:r w:rsidRPr="00FC6062">
        <w:t>o)</w:t>
      </w:r>
      <w:r w:rsidRPr="00FC6062">
        <w:tab/>
        <w:t>di sottolineare il principio della coerenza delle politiche per lo sviluppo e dell'allineamento delle politiche dell'UE alle priorità di sviluppo dei paesi partner, sulla base di valutazioni del loro impatto sulle risorse locali, al fine di evitare congiuntamente l'esaurimento o l'inquinamento delle risorse idriche nei paesi terzi;</w:t>
      </w:r>
    </w:p>
    <w:p w:rsidR="00CE458F" w:rsidRPr="00FC6062" w:rsidP="00CE458F" w14:paraId="5A6707A0" w14:textId="77777777">
      <w:pPr>
        <w:pStyle w:val="NormalHanging12a"/>
        <w:ind w:left="1134"/>
      </w:pPr>
      <w:r w:rsidRPr="00FC6062">
        <w:t>p)</w:t>
      </w:r>
      <w:r w:rsidRPr="00FC6062">
        <w:tab/>
        <w:t>di rafforzare l'attuazione della gestione integrata delle risorse idriche quale strumento fondamentale che promuove lo sviluppo coordinato e la gestione sostenibile dell'acqua, del suolo e delle risorse correlate, anche a livello transfrontaliero, in linea con l'indicatore OSS 6.5.2, a vantaggio reciproco degli Stati rivieraschi, nonché di sottolineare l'importanza del nesso esistente tra acqua, energia, alimenti ed ecosistemi nell'affrontare le sinergie e i compromessi in materia di risorse idriche in tutta l'azione esterna dell'UE;</w:t>
      </w:r>
    </w:p>
    <w:p w:rsidR="00CE458F" w:rsidRPr="00FC6062" w:rsidP="00CE458F" w14:paraId="3D9C62A3" w14:textId="77777777">
      <w:pPr>
        <w:pStyle w:val="NormalHanging12a"/>
        <w:ind w:left="1134"/>
      </w:pPr>
      <w:r w:rsidRPr="00FC6062">
        <w:t>q)</w:t>
      </w:r>
      <w:r w:rsidRPr="00FC6062">
        <w:tab/>
        <w:t xml:space="preserve">di rafforzare le capacità di monitoraggio e di allarme rapido dell'UE attraverso la digitalizzazione e le tecnologie moderne, tra cui la sorveglianza satellitare e il tracciamento dell'inquinamento in tempo reale, che sono fondamentali per prevenire e combattere l'inquinamento transfrontaliero e per sostenere la riduzione del rischio di catastrofi; </w:t>
      </w:r>
      <w:bookmarkStart w:id="9" w:name="_Hlk231546757"/>
      <w:r w:rsidRPr="00FC6062">
        <w:t>di rafforzare il monitoraggio della carenza idrica e dei rischi di conflitto legati all'acqua in tutto il mondo, come la strumentalizzazione dell'acqua e delle infrastrutture idriche e la deliberata privazione dell'accesso all'acqua, integrando tale monitoraggio nei sistemi di prevenzione dei conflitti del Centro di risposta alle crisi del SEAE;</w:t>
      </w:r>
      <w:bookmarkEnd w:id="9"/>
    </w:p>
    <w:p w:rsidR="00CE458F" w:rsidRPr="00FC6062" w:rsidP="00CE458F" w14:paraId="3380D511" w14:textId="77777777">
      <w:pPr>
        <w:pStyle w:val="NormalHanging12a"/>
        <w:ind w:left="1134"/>
      </w:pPr>
      <w:r w:rsidRPr="00FC6062">
        <w:t>r)</w:t>
      </w:r>
      <w:r w:rsidRPr="00FC6062">
        <w:tab/>
        <w:t>di incentivare e finanziare la ricerca sulla gestione sostenibile delle risorse idriche transfrontaliere e sulla condivisione, cooperazione e innovazione in materia di acqua, anche attraverso Orizzonte Europa, e di esaminare le sfide emergenti quali le attività di modifica delle condizioni meteorologiche;</w:t>
      </w:r>
    </w:p>
    <w:p w:rsidR="00CE458F" w:rsidRPr="00FC6062" w:rsidP="00CE458F" w14:paraId="707ABC73" w14:textId="77777777">
      <w:pPr>
        <w:pStyle w:val="NormalHanging12a"/>
        <w:ind w:left="1134"/>
      </w:pPr>
      <w:r w:rsidRPr="00FC6062">
        <w:t>s)</w:t>
      </w:r>
      <w:r w:rsidRPr="00FC6062">
        <w:tab/>
        <w:t>di valutare la possibilità di incaricare il rappresentante speciale dell'UE per i diritti umani di prevenire e risolvere i conflitti legati all'acqua, promuovere la cooperazione e lo stato di diritto nel settore idrico e proteggere le fonti e i sistemi idrici, anche durante i conflitti armati e in contesti transfrontalieri, e guidare, a nome dell'UE, gli sforzi internazionali volti a proteggere e ripristinare gli ecosistemi idrici in linea con l'OSS 6, in quanto la resilienza idrica è fondamentale nell'affrontare le crisi sanitarie, alimentari, energetiche e di sicurezza attuali e future; di consultare il Parlamento in merito al mandato, alle risorse e agli accordi di cooperazione a sostegno delle attività del rappresentante speciale dell'UE per i diritti umani;</w:t>
      </w:r>
    </w:p>
    <w:p w:rsidR="00CE458F" w:rsidRPr="00FC6062" w:rsidP="00CE458F" w14:paraId="2F9C685C" w14:textId="77777777">
      <w:pPr>
        <w:pStyle w:val="NormalHanging12a"/>
        <w:ind w:left="1134"/>
      </w:pPr>
      <w:r w:rsidRPr="00FC6062">
        <w:t>t)</w:t>
      </w:r>
      <w:r w:rsidRPr="00FC6062">
        <w:tab/>
        <w:t xml:space="preserve">di rafforzare il ruolo del diritto internazionale e dei tribunali internazionali </w:t>
      </w:r>
      <w:r w:rsidRPr="00FC6062">
        <w:t>competenti e promuovere il dialogo, la mediazione e le soluzioni regionali quali strumenti primari per risolvere le controversie relative ai corpi idrici transnazionali, garantendo chiarezza e attribuzione di responsabilità per quanto riguarda gli obblighi giuridici di tutti gli Stati che si affacciano sulle acque interessate; di condannare sistematicamente l'uso dell'acqua come arma nei conflitti; di provvedere affinché i responsabili siano chiamati a rispondere delle loro azioni;</w:t>
      </w:r>
    </w:p>
    <w:p w:rsidR="00CE458F" w:rsidRPr="00FC6062" w:rsidP="00CE458F" w14:paraId="1E5C7082" w14:textId="77777777">
      <w:pPr>
        <w:pStyle w:val="NormalHanging12a"/>
        <w:ind w:left="1134"/>
      </w:pPr>
      <w:r w:rsidRPr="00FC6062">
        <w:t>u)</w:t>
      </w:r>
      <w:r w:rsidRPr="00FC6062">
        <w:tab/>
        <w:t>di sostenere le iniziative giuridiche volte a garantire giustizia e risarcimenti per gli attacchi e gli atti di distruzione deliberati nei confronti delle forniture e delle infrastrutture idriche;</w:t>
      </w:r>
    </w:p>
    <w:p w:rsidR="00E63DB9" w:rsidRPr="00FC6062" w:rsidP="00E63DB9" w14:paraId="5B54F1F5" w14:textId="63DC8D2B">
      <w:pPr>
        <w:pStyle w:val="NormalHanging12a"/>
      </w:pPr>
      <w:r w:rsidRPr="00FC6062">
        <w:t>2.</w:t>
      </w:r>
      <w:r w:rsidRPr="00FC6062">
        <w:tab/>
        <w:t>incarica la sua Presidente di trasmettere la presente raccomandazione al Consiglio, alla Commissione e alla vicepresidente della Commissione</w:t>
      </w:r>
      <w:r w:rsidRPr="00FC6062" w:rsidR="00F0578E">
        <w:t> </w:t>
      </w:r>
      <w:r w:rsidRPr="00FC6062">
        <w:t>/</w:t>
      </w:r>
      <w:r w:rsidRPr="00FC6062" w:rsidR="00F0578E">
        <w:t> </w:t>
      </w:r>
      <w:r w:rsidRPr="00FC6062">
        <w:t>alta rappresentante dell'Unione per gli affari esteri e la politica di sicurezza.</w:t>
      </w:r>
    </w:p>
    <w:p w:rsidR="00E365E1" w:rsidRPr="00FC6062" w:rsidP="0026145F" w14:paraId="700B0BAF" w14:textId="3F71EC04"/>
    <w:sectPr w:rsidSect="00E63D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3DB9" w14:paraId="30CC8AE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3DB9" w14:paraId="6A42E57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3DB9" w14:paraId="0085880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6145F" w:rsidRPr="00E63DB9" w14:paraId="3653D9FF" w14:textId="77777777">
      <w:r w:rsidRPr="00E63DB9">
        <w:separator/>
      </w:r>
    </w:p>
  </w:footnote>
  <w:footnote w:type="continuationSeparator" w:id="1">
    <w:p w:rsidR="0026145F" w:rsidRPr="00E63DB9" w14:paraId="02DA9BC1" w14:textId="77777777">
      <w:r w:rsidRPr="00E63DB9">
        <w:continuationSeparator/>
      </w:r>
    </w:p>
  </w:footnote>
  <w:footnote w:id="2">
    <w:p w:rsidR="00CE458F" w:rsidRPr="00F0578E" w:rsidP="00E63DB9" w14:paraId="14DE9A1B" w14:textId="5727C6ED">
      <w:pPr>
        <w:pStyle w:val="FootnoteText"/>
        <w:ind w:left="567" w:hanging="567"/>
        <w:rPr>
          <w:sz w:val="24"/>
          <w:lang w:val="fi-FI"/>
        </w:rPr>
      </w:pPr>
      <w:r w:rsidRPr="00E63DB9">
        <w:rPr>
          <w:rStyle w:val="FootnoteReference"/>
          <w:sz w:val="24"/>
          <w:lang w:val="it-IT"/>
        </w:rPr>
        <w:footnoteRef/>
      </w:r>
      <w:r w:rsidRPr="00F0578E" w:rsidR="00E63DB9">
        <w:rPr>
          <w:sz w:val="24"/>
          <w:lang w:val="fi-FI"/>
        </w:rPr>
        <w:t xml:space="preserve"> </w:t>
      </w:r>
      <w:r w:rsidRPr="00F0578E" w:rsidR="00E63DB9">
        <w:rPr>
          <w:sz w:val="24"/>
          <w:lang w:val="fi-FI"/>
        </w:rPr>
        <w:tab/>
      </w:r>
      <w:r w:rsidRPr="00F0578E">
        <w:rPr>
          <w:sz w:val="24"/>
          <w:lang w:val="fi-FI"/>
        </w:rPr>
        <w:t xml:space="preserve">GU C, C/2026/576, 24.2.2026, ELI: </w:t>
      </w:r>
      <w:hyperlink r:id="rId1" w:history="1">
        <w:r w:rsidRPr="00F0578E">
          <w:rPr>
            <w:rStyle w:val="Hyperlink"/>
            <w:sz w:val="24"/>
            <w:lang w:val="fi-FI"/>
          </w:rPr>
          <w:t>http://data.europa.eu/eli/C/2026/576/oj</w:t>
        </w:r>
      </w:hyperlink>
      <w:r w:rsidRPr="00F0578E">
        <w:rPr>
          <w:sz w:val="24"/>
          <w:lang w:val="fi-FI"/>
        </w:rPr>
        <w:t>.</w:t>
      </w:r>
    </w:p>
  </w:footnote>
  <w:footnote w:id="3">
    <w:p w:rsidR="00CE458F" w:rsidRPr="00E63DB9" w:rsidP="00E63DB9" w14:paraId="3ACAB93A" w14:textId="301B5ACC">
      <w:pPr>
        <w:pStyle w:val="FootnoteText"/>
        <w:ind w:left="567" w:hanging="567"/>
        <w:rPr>
          <w:sz w:val="24"/>
          <w:lang w:val="it-IT"/>
        </w:rPr>
      </w:pPr>
      <w:r w:rsidRPr="00E63DB9">
        <w:rPr>
          <w:rStyle w:val="FootnoteReference"/>
          <w:sz w:val="24"/>
          <w:lang w:val="it-IT"/>
        </w:rPr>
        <w:footnoteRef/>
      </w:r>
      <w:r w:rsidRPr="00E63DB9" w:rsidR="00E63DB9">
        <w:rPr>
          <w:sz w:val="24"/>
          <w:lang w:val="it-IT"/>
        </w:rPr>
        <w:t xml:space="preserve"> </w:t>
      </w:r>
      <w:r w:rsidRPr="00E63DB9" w:rsidR="00E63DB9">
        <w:rPr>
          <w:sz w:val="24"/>
          <w:lang w:val="it-IT"/>
        </w:rPr>
        <w:tab/>
      </w:r>
      <w:r w:rsidRPr="00E63DB9">
        <w:rPr>
          <w:sz w:val="24"/>
          <w:lang w:val="it-IT"/>
        </w:rPr>
        <w:t>GU C 132 del 14.4.2023, pag. 54.</w:t>
      </w:r>
    </w:p>
  </w:footnote>
  <w:footnote w:id="4">
    <w:p w:rsidR="00CE458F" w:rsidRPr="00FC6062" w:rsidP="00E63DB9" w14:paraId="0E30C17C" w14:textId="0990DBC5">
      <w:pPr>
        <w:pStyle w:val="FootnoteText"/>
        <w:ind w:left="567" w:hanging="567"/>
        <w:rPr>
          <w:sz w:val="24"/>
          <w:lang w:val="it-IT"/>
        </w:rPr>
      </w:pPr>
      <w:r w:rsidRPr="00E63DB9">
        <w:rPr>
          <w:rStyle w:val="FootnoteReference"/>
          <w:sz w:val="24"/>
          <w:lang w:val="it-IT"/>
        </w:rPr>
        <w:footnoteRef/>
      </w:r>
      <w:r w:rsidRPr="00FC6062" w:rsidR="00E63DB9">
        <w:rPr>
          <w:sz w:val="24"/>
          <w:lang w:val="it-IT"/>
        </w:rPr>
        <w:t xml:space="preserve"> </w:t>
      </w:r>
      <w:r w:rsidRPr="00FC6062" w:rsidR="00E63DB9">
        <w:rPr>
          <w:sz w:val="24"/>
          <w:lang w:val="it-IT"/>
        </w:rPr>
        <w:tab/>
      </w:r>
      <w:r w:rsidRPr="00FC6062">
        <w:rPr>
          <w:sz w:val="24"/>
          <w:lang w:val="it-IT"/>
        </w:rPr>
        <w:t xml:space="preserve">GU C, C/2025/4390, 9.9.2025, ELI: </w:t>
      </w:r>
      <w:hyperlink r:id="rId2" w:history="1">
        <w:r w:rsidRPr="00FC6062">
          <w:rPr>
            <w:rStyle w:val="Hyperlink"/>
            <w:sz w:val="24"/>
            <w:lang w:val="it-IT"/>
          </w:rPr>
          <w:t>http://data.europa.eu/eli/C/2025/4390/oj</w:t>
        </w:r>
      </w:hyperlink>
      <w:r w:rsidRPr="00FC6062">
        <w:rPr>
          <w:sz w:val="24"/>
          <w:lang w:val="it-IT"/>
        </w:rPr>
        <w:t>.</w:t>
      </w:r>
    </w:p>
  </w:footnote>
  <w:footnote w:id="5">
    <w:p w:rsidR="00CE458F" w:rsidRPr="00E63DB9" w:rsidP="00E63DB9" w14:paraId="7F7B7C99" w14:textId="1959E7BF">
      <w:pPr>
        <w:pStyle w:val="FootnoteText"/>
        <w:ind w:left="567" w:hanging="567"/>
        <w:rPr>
          <w:sz w:val="24"/>
          <w:lang w:val="it-IT"/>
        </w:rPr>
      </w:pPr>
      <w:r w:rsidRPr="00E63DB9">
        <w:rPr>
          <w:rStyle w:val="FootnoteReference"/>
          <w:sz w:val="24"/>
          <w:lang w:val="it-IT"/>
        </w:rPr>
        <w:footnoteRef/>
      </w:r>
      <w:r w:rsidRPr="00E63DB9" w:rsidR="00E63DB9">
        <w:rPr>
          <w:sz w:val="24"/>
          <w:lang w:val="it-IT"/>
        </w:rPr>
        <w:t xml:space="preserve"> </w:t>
      </w:r>
      <w:r w:rsidRPr="00E63DB9" w:rsidR="00E63DB9">
        <w:rPr>
          <w:sz w:val="24"/>
          <w:lang w:val="it-IT"/>
        </w:rPr>
        <w:tab/>
      </w:r>
      <w:r w:rsidRPr="00E63DB9">
        <w:rPr>
          <w:sz w:val="24"/>
          <w:lang w:val="it-IT"/>
        </w:rPr>
        <w:t>Testi approvati, P10_TA(2026)0014.</w:t>
      </w:r>
    </w:p>
  </w:footnote>
  <w:footnote w:id="6">
    <w:p w:rsidR="00CE458F" w:rsidRPr="006F326C" w:rsidP="00E63DB9" w14:paraId="3F67EF85" w14:textId="3C27B154">
      <w:pPr>
        <w:pStyle w:val="FootnoteText"/>
        <w:ind w:left="567" w:hanging="567"/>
        <w:rPr>
          <w:sz w:val="24"/>
          <w:lang w:val="fi-FI"/>
        </w:rPr>
      </w:pPr>
      <w:r w:rsidRPr="00E63DB9">
        <w:rPr>
          <w:rStyle w:val="FootnoteReference"/>
          <w:sz w:val="24"/>
          <w:lang w:val="it-IT"/>
        </w:rPr>
        <w:footnoteRef/>
      </w:r>
      <w:r w:rsidRPr="006F326C" w:rsidR="00E63DB9">
        <w:rPr>
          <w:sz w:val="24"/>
          <w:lang w:val="fi-FI"/>
        </w:rPr>
        <w:t xml:space="preserve"> </w:t>
      </w:r>
      <w:r w:rsidRPr="006F326C" w:rsidR="00E63DB9">
        <w:rPr>
          <w:sz w:val="24"/>
          <w:lang w:val="fi-FI"/>
        </w:rPr>
        <w:tab/>
      </w:r>
      <w:r w:rsidRPr="006F326C">
        <w:rPr>
          <w:sz w:val="24"/>
          <w:lang w:val="fi-FI"/>
        </w:rPr>
        <w:t xml:space="preserve">GU C, C/2025/769, 11.2.2025, ELI: </w:t>
      </w:r>
      <w:hyperlink r:id="rId3" w:history="1">
        <w:r w:rsidRPr="006F326C">
          <w:rPr>
            <w:rStyle w:val="Hyperlink"/>
            <w:sz w:val="24"/>
            <w:lang w:val="fi-FI"/>
          </w:rPr>
          <w:t>http://data.europa.eu/eli/C/2025/769/oj</w:t>
        </w:r>
      </w:hyperlink>
      <w:r w:rsidRPr="006F326C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3DB9" w14:paraId="51BE968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3DB9" w14:paraId="4485C5A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3DB9" w14:paraId="49401E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5679517">
    <w:abstractNumId w:val="9"/>
  </w:num>
  <w:num w:numId="2" w16cid:durableId="441457137">
    <w:abstractNumId w:val="9"/>
  </w:num>
  <w:num w:numId="3" w16cid:durableId="1366443471">
    <w:abstractNumId w:val="7"/>
  </w:num>
  <w:num w:numId="4" w16cid:durableId="1907910426">
    <w:abstractNumId w:val="7"/>
  </w:num>
  <w:num w:numId="5" w16cid:durableId="176701583">
    <w:abstractNumId w:val="6"/>
  </w:num>
  <w:num w:numId="6" w16cid:durableId="248927017">
    <w:abstractNumId w:val="6"/>
  </w:num>
  <w:num w:numId="7" w16cid:durableId="443698363">
    <w:abstractNumId w:val="5"/>
  </w:num>
  <w:num w:numId="8" w16cid:durableId="1790080995">
    <w:abstractNumId w:val="5"/>
  </w:num>
  <w:num w:numId="9" w16cid:durableId="119107848">
    <w:abstractNumId w:val="4"/>
  </w:num>
  <w:num w:numId="10" w16cid:durableId="498427027">
    <w:abstractNumId w:val="4"/>
  </w:num>
  <w:num w:numId="11" w16cid:durableId="6686369">
    <w:abstractNumId w:val="8"/>
  </w:num>
  <w:num w:numId="12" w16cid:durableId="1319186207">
    <w:abstractNumId w:val="8"/>
  </w:num>
  <w:num w:numId="13" w16cid:durableId="474491375">
    <w:abstractNumId w:val="3"/>
  </w:num>
  <w:num w:numId="14" w16cid:durableId="1952127078">
    <w:abstractNumId w:val="3"/>
  </w:num>
  <w:num w:numId="15" w16cid:durableId="1060787234">
    <w:abstractNumId w:val="2"/>
  </w:num>
  <w:num w:numId="16" w16cid:durableId="258562797">
    <w:abstractNumId w:val="2"/>
  </w:num>
  <w:num w:numId="17" w16cid:durableId="2049797110">
    <w:abstractNumId w:val="1"/>
  </w:num>
  <w:num w:numId="18" w16cid:durableId="653338200">
    <w:abstractNumId w:val="1"/>
  </w:num>
  <w:num w:numId="19" w16cid:durableId="1423645544">
    <w:abstractNumId w:val="0"/>
  </w:num>
  <w:num w:numId="20" w16cid:durableId="1079209402">
    <w:abstractNumId w:val="0"/>
  </w:num>
  <w:num w:numId="21" w16cid:durableId="1042360200">
    <w:abstractNumId w:val="9"/>
  </w:num>
  <w:num w:numId="22" w16cid:durableId="591087681">
    <w:abstractNumId w:val="7"/>
  </w:num>
  <w:num w:numId="23" w16cid:durableId="640690766">
    <w:abstractNumId w:val="6"/>
  </w:num>
  <w:num w:numId="24" w16cid:durableId="663553632">
    <w:abstractNumId w:val="5"/>
  </w:num>
  <w:num w:numId="25" w16cid:durableId="1466048133">
    <w:abstractNumId w:val="4"/>
  </w:num>
  <w:num w:numId="26" w16cid:durableId="1840924665">
    <w:abstractNumId w:val="8"/>
  </w:num>
  <w:num w:numId="27" w16cid:durableId="631251490">
    <w:abstractNumId w:val="3"/>
  </w:num>
  <w:num w:numId="28" w16cid:durableId="1623918064">
    <w:abstractNumId w:val="2"/>
  </w:num>
  <w:num w:numId="29" w16cid:durableId="928389302">
    <w:abstractNumId w:val="1"/>
  </w:num>
  <w:num w:numId="30" w16cid:durableId="832330352">
    <w:abstractNumId w:val="0"/>
  </w:num>
  <w:num w:numId="31" w16cid:durableId="1462266259">
    <w:abstractNumId w:val="9"/>
  </w:num>
  <w:num w:numId="32" w16cid:durableId="1914391150">
    <w:abstractNumId w:val="7"/>
  </w:num>
  <w:num w:numId="33" w16cid:durableId="110706528">
    <w:abstractNumId w:val="6"/>
  </w:num>
  <w:num w:numId="34" w16cid:durableId="1452700707">
    <w:abstractNumId w:val="5"/>
  </w:num>
  <w:num w:numId="35" w16cid:durableId="561260463">
    <w:abstractNumId w:val="4"/>
  </w:num>
  <w:num w:numId="36" w16cid:durableId="1635713337">
    <w:abstractNumId w:val="8"/>
  </w:num>
  <w:num w:numId="37" w16cid:durableId="417217536">
    <w:abstractNumId w:val="3"/>
  </w:num>
  <w:num w:numId="38" w16cid:durableId="791748924">
    <w:abstractNumId w:val="2"/>
  </w:num>
  <w:num w:numId="39" w16cid:durableId="605041434">
    <w:abstractNumId w:val="1"/>
  </w:num>
  <w:num w:numId="40" w16cid:durableId="1533835266">
    <w:abstractNumId w:val="0"/>
  </w:num>
  <w:num w:numId="41" w16cid:durableId="771820378">
    <w:abstractNumId w:val="10"/>
  </w:num>
  <w:num w:numId="42" w16cid:durableId="570312243">
    <w:abstractNumId w:val="10"/>
  </w:num>
  <w:num w:numId="43" w16cid:durableId="1549342176">
    <w:abstractNumId w:val="10"/>
  </w:num>
  <w:num w:numId="44" w16cid:durableId="1054432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5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45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C29"/>
    <w:rsid w:val="0050519A"/>
    <w:rsid w:val="005072A1"/>
    <w:rsid w:val="00514517"/>
    <w:rsid w:val="00517DEF"/>
    <w:rsid w:val="00545827"/>
    <w:rsid w:val="00560270"/>
    <w:rsid w:val="005C2568"/>
    <w:rsid w:val="005F1B17"/>
    <w:rsid w:val="006037C0"/>
    <w:rsid w:val="006631B6"/>
    <w:rsid w:val="00680577"/>
    <w:rsid w:val="006F326C"/>
    <w:rsid w:val="006F74FA"/>
    <w:rsid w:val="0072011E"/>
    <w:rsid w:val="00731ADD"/>
    <w:rsid w:val="00734777"/>
    <w:rsid w:val="00747932"/>
    <w:rsid w:val="00751A4A"/>
    <w:rsid w:val="00756632"/>
    <w:rsid w:val="00762C74"/>
    <w:rsid w:val="0078363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426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58F"/>
    <w:rsid w:val="00CF071A"/>
    <w:rsid w:val="00D058B8"/>
    <w:rsid w:val="00D56C11"/>
    <w:rsid w:val="00D834A0"/>
    <w:rsid w:val="00D872DF"/>
    <w:rsid w:val="00D91E21"/>
    <w:rsid w:val="00DA7FCD"/>
    <w:rsid w:val="00E365E1"/>
    <w:rsid w:val="00E63DB9"/>
    <w:rsid w:val="00E820A4"/>
    <w:rsid w:val="00EB006A"/>
    <w:rsid w:val="00EB4772"/>
    <w:rsid w:val="00ED169E"/>
    <w:rsid w:val="00ED4235"/>
    <w:rsid w:val="00F04346"/>
    <w:rsid w:val="00F0578E"/>
    <w:rsid w:val="00F075DC"/>
    <w:rsid w:val="00F149E9"/>
    <w:rsid w:val="00F5134D"/>
    <w:rsid w:val="00F74202"/>
    <w:rsid w:val="00F87713"/>
    <w:rsid w:val="00FB4360"/>
    <w:rsid w:val="00FC6062"/>
    <w:rsid w:val="00FD0C70"/>
  </w:rsids>
  <w:docVars>
    <w:docVar w:name="dvdocse" w:val="A10-0150/2026"/>
    <w:docVar w:name="dvlangue" w:val="IT"/>
    <w:docVar w:name="dvnumam" w:val="57"/>
    <w:docVar w:name="dvpe" w:val="779.681"/>
    <w:docVar w:name="dvrapporteur" w:val="Relatore: "/>
    <w:docVar w:name="dvtitre" w:val="Raccomandazione del Parlamento europeo al Consiglio europeo e al Consiglio sulla raccomandazione del Parlamento europeo al Consiglio, alla Commissione e alla vicepresidente della Commissione/alta rappresentante dell'Unione per gli affari esteri e la politica di sicurezza concernente la promozione della governance transnazionale delle risorse idriche nell'interesse della prevenzione dei conflitti e della pace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B8C912C"/>
  <w15:chartTrackingRefBased/>
  <w15:docId w15:val="{EA87F649-6ECE-49F2-BA38-0F7E5413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458F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E458F"/>
    <w:pPr>
      <w:spacing w:after="240"/>
      <w:ind w:left="567" w:hanging="567"/>
    </w:pPr>
  </w:style>
  <w:style w:type="character" w:styleId="Hyperlink">
    <w:name w:val="Hyperlink"/>
    <w:basedOn w:val="DefaultParagraphFont"/>
    <w:rsid w:val="00CE458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E458F"/>
    <w:rPr>
      <w:sz w:val="24"/>
      <w:lang w:val="it-IT"/>
    </w:rPr>
  </w:style>
  <w:style w:type="paragraph" w:styleId="Revision">
    <w:name w:val="Revision"/>
    <w:hidden/>
    <w:uiPriority w:val="99"/>
    <w:semiHidden/>
    <w:rsid w:val="00F0578E"/>
    <w:rPr>
      <w:sz w:val="24"/>
      <w:lang w:val="it-IT"/>
    </w:rPr>
  </w:style>
  <w:style w:type="character" w:styleId="CommentReference">
    <w:name w:val="annotation reference"/>
    <w:basedOn w:val="DefaultParagraphFont"/>
    <w:rsid w:val="00F057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57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578E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F057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578E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4335</Words>
  <Characters>26226</Characters>
  <Application>Microsoft Office Word</Application>
  <DocSecurity>0</DocSecurity>
  <Lines>444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2026-06-17T15:48:00Z</dcterms:created>
  <dcterms:modified xsi:type="dcterms:W3CDTF">2026-06-17T15:48:00Z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A10-0150/2026</vt:lpwstr>
  </property>
  <property fmtid="{D5CDD505-2E9C-101B-9397-08002B2CF9AE}" pid="4" name="&lt;Type&gt;">
    <vt:lpwstr>RR</vt:lpwstr>
  </property>
</Properties>
</file>