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EA4931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C1FBA" w:rsidP="0010095E" w14:paraId="619CC5F2" w14:textId="77777777">
            <w:pPr>
              <w:pStyle w:val="EPName"/>
            </w:pPr>
            <w:r w:rsidRPr="00AC1FBA">
              <w:t>Parlament Europejski</w:t>
            </w:r>
          </w:p>
          <w:p w:rsidR="00751A4A" w:rsidRPr="00AC1FBA" w:rsidP="005F1B17" w14:paraId="5662C7A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1FBA">
              <w:t>2024</w:t>
            </w:r>
            <w:r w:rsidRPr="00AC1FBA" w:rsidR="00817416">
              <w:t>-202</w:t>
            </w:r>
            <w:r w:rsidRPr="00AC1FB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C1FBA" w:rsidP="0010095E" w14:paraId="269148DA" w14:textId="77777777">
            <w:pPr>
              <w:pStyle w:val="EPLogo"/>
            </w:pPr>
            <w:r w:rsidRPr="00AC1FB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C1FBA" w:rsidP="004C5D52" w14:paraId="7AAC70AF" w14:textId="77777777">
      <w:pPr>
        <w:pStyle w:val="LineTop"/>
      </w:pPr>
    </w:p>
    <w:p w:rsidR="00680577" w:rsidRPr="00AC1FBA" w:rsidP="00680577" w14:paraId="446BEFC5" w14:textId="77777777">
      <w:pPr>
        <w:pStyle w:val="EPBodyTA1"/>
      </w:pPr>
      <w:r w:rsidRPr="00AC1FBA">
        <w:t>TEKSTY PRZYJĘTE</w:t>
      </w:r>
    </w:p>
    <w:p w:rsidR="00D058B8" w:rsidRPr="00AC1FBA" w:rsidP="00D058B8" w14:paraId="7BDA3EB1" w14:textId="77777777">
      <w:pPr>
        <w:pStyle w:val="LineBottom"/>
      </w:pPr>
    </w:p>
    <w:p w:rsidR="00F0158F" w:rsidRPr="00AC1FBA" w:rsidP="00F0158F" w14:paraId="7EA3FC3D" w14:textId="4B7C334D">
      <w:pPr>
        <w:pStyle w:val="ATHeading1"/>
      </w:pPr>
      <w:bookmarkStart w:id="0" w:name="TANumber"/>
      <w:r w:rsidRPr="00AC1FBA">
        <w:t>P10_TA(2026)0</w:t>
      </w:r>
      <w:bookmarkEnd w:id="0"/>
      <w:r w:rsidR="00677EB1">
        <w:t>221</w:t>
      </w:r>
    </w:p>
    <w:p w:rsidR="00F0158F" w:rsidRPr="00AC1FBA" w:rsidP="00F0158F" w14:paraId="7410BEBF" w14:textId="77777777">
      <w:pPr>
        <w:pStyle w:val="ATHeading2"/>
      </w:pPr>
      <w:bookmarkStart w:id="1" w:name="title"/>
      <w:r w:rsidRPr="00AC1FBA">
        <w:t>Zalecenie w sprawie promowania zarządzania transnarodowego zasobami wodnymi z myślą o pokoju i zapobieganiu konfliktom</w:t>
      </w:r>
      <w:bookmarkEnd w:id="1"/>
    </w:p>
    <w:p w:rsidR="00F0158F" w:rsidRPr="00AC1FBA" w:rsidP="00F0158F" w14:paraId="417298B4" w14:textId="77777777">
      <w:pPr>
        <w:rPr>
          <w:i/>
          <w:vanish/>
        </w:rPr>
      </w:pPr>
      <w:r>
        <w:rPr>
          <w:i/>
        </w:rPr>
        <w:fldChar w:fldCharType="begin"/>
      </w:r>
      <w:r w:rsidRPr="00AC1FBA">
        <w:rPr>
          <w:i/>
        </w:rPr>
        <w:instrText xml:space="preserve"> TC"(</w:instrText>
      </w:r>
      <w:bookmarkStart w:id="2" w:name="DocNumber"/>
      <w:r w:rsidRPr="00AC1FBA">
        <w:rPr>
          <w:i/>
        </w:rPr>
        <w:instrText>A10-0150/2026</w:instrText>
      </w:r>
      <w:bookmarkEnd w:id="2"/>
      <w:r w:rsidRPr="00AC1FBA">
        <w:rPr>
          <w:i/>
        </w:rPr>
        <w:instrText xml:space="preserve"> - Sprawozdawca: Leoluca Orlando)"\l3 \n&gt; \* MERGEFORMAT </w:instrText>
      </w:r>
      <w:r>
        <w:rPr>
          <w:i/>
        </w:rPr>
        <w:fldChar w:fldCharType="end"/>
      </w:r>
    </w:p>
    <w:p w:rsidR="00F0158F" w:rsidRPr="00AC1FBA" w:rsidP="00F0158F" w14:paraId="6458F9D8" w14:textId="77777777">
      <w:pPr>
        <w:rPr>
          <w:vanish/>
        </w:rPr>
      </w:pPr>
      <w:bookmarkStart w:id="3" w:name="Commission"/>
      <w:r w:rsidRPr="00AC1FBA">
        <w:rPr>
          <w:vanish/>
        </w:rPr>
        <w:t>Komisja Spraw Zagranicznych</w:t>
      </w:r>
      <w:bookmarkEnd w:id="3"/>
    </w:p>
    <w:p w:rsidR="00F0158F" w:rsidRPr="00AC1FBA" w:rsidP="00F0158F" w14:paraId="4475C61C" w14:textId="77777777">
      <w:pPr>
        <w:rPr>
          <w:vanish/>
        </w:rPr>
      </w:pPr>
      <w:bookmarkStart w:id="4" w:name="PE"/>
      <w:r w:rsidRPr="00AC1FBA">
        <w:rPr>
          <w:vanish/>
        </w:rPr>
        <w:t>PE779.681</w:t>
      </w:r>
      <w:bookmarkEnd w:id="4"/>
    </w:p>
    <w:p w:rsidR="00F0158F" w:rsidRPr="00AC1FBA" w:rsidP="00F0158F" w14:paraId="753DF690" w14:textId="24A5EE04">
      <w:pPr>
        <w:pStyle w:val="ATHeading3"/>
      </w:pPr>
      <w:bookmarkStart w:id="5" w:name="Sujet"/>
      <w:r w:rsidRPr="00AC1FBA">
        <w:t xml:space="preserve">Zalecenie Parlamentu Europejskiego </w:t>
      </w:r>
      <w:r w:rsidR="00763AA1">
        <w:t xml:space="preserve">z dnia 17 czerwca 2026 r. </w:t>
      </w:r>
      <w:r w:rsidRPr="00AC1FBA">
        <w:t>dla Rady , Komisji i wiceprzewodniczącej Komisji / wysokiej przedstawicielki Unii do spraw zagranicznych i polityki bezpieczeństwa w sprawie promowania zarządzania transnarodowego zasobami wodnymi z myślą o pokoju i zapobieganiu konfliktom</w:t>
      </w:r>
      <w:bookmarkEnd w:id="5"/>
      <w:r w:rsidRPr="00AC1FBA">
        <w:t xml:space="preserve"> </w:t>
      </w:r>
      <w:bookmarkStart w:id="6" w:name="References"/>
      <w:r w:rsidRPr="00AC1FBA">
        <w:t>(2025/2216(INI))</w:t>
      </w:r>
      <w:bookmarkEnd w:id="6"/>
    </w:p>
    <w:p w:rsidR="00F054B8" w:rsidRPr="00AC1FBA" w:rsidP="00F054B8" w14:paraId="7D320A2B" w14:textId="77777777">
      <w:pPr>
        <w:pStyle w:val="EPComma"/>
      </w:pPr>
      <w:r w:rsidRPr="00AC1FBA">
        <w:rPr>
          <w:i/>
        </w:rPr>
        <w:t>Parlament Europejski</w:t>
      </w:r>
      <w:r w:rsidRPr="00AC1FBA">
        <w:t>,</w:t>
      </w:r>
    </w:p>
    <w:p w:rsidR="00F054B8" w:rsidRPr="00AC1FBA" w:rsidP="00F054B8" w14:paraId="03BD188C" w14:textId="77777777">
      <w:pPr>
        <w:pStyle w:val="NormalHanging12a"/>
      </w:pPr>
      <w:r w:rsidRPr="00AC1FBA">
        <w:t>–</w:t>
      </w:r>
      <w:r w:rsidRPr="00AC1FBA">
        <w:tab/>
        <w:t>uwzględniając Konwencję ONZ o ochronie i użytkowaniu cieków transgranicznych i jezior międzynarodowych z 1992 r. (konwencję wodną),</w:t>
      </w:r>
    </w:p>
    <w:p w:rsidR="00F054B8" w:rsidRPr="00AC1FBA" w:rsidP="00F054B8" w14:paraId="08636F55" w14:textId="77777777">
      <w:pPr>
        <w:pStyle w:val="NormalHanging12a"/>
      </w:pPr>
      <w:r w:rsidRPr="00AC1FBA">
        <w:t>–</w:t>
      </w:r>
      <w:r w:rsidRPr="00AC1FBA">
        <w:tab/>
        <w:t>uwzględniając swoją rezolucję z 7 maja 2025 r. w sprawie europejskiej strategii odporności wodnej</w:t>
      </w:r>
      <w:r>
        <w:rPr>
          <w:rStyle w:val="FootnoteReference"/>
        </w:rPr>
        <w:footnoteReference w:id="2"/>
      </w:r>
      <w:r w:rsidRPr="00AC1FBA">
        <w:t>,</w:t>
      </w:r>
    </w:p>
    <w:p w:rsidR="00F054B8" w:rsidRPr="00AC1FBA" w:rsidP="00F054B8" w14:paraId="69B2B365" w14:textId="77777777">
      <w:pPr>
        <w:pStyle w:val="NormalHanging12a"/>
      </w:pPr>
      <w:r w:rsidRPr="00AC1FBA">
        <w:t>–</w:t>
      </w:r>
      <w:r w:rsidRPr="00AC1FBA">
        <w:tab/>
        <w:t>uwzględniając komunikat Komisji z 4 czerwca 2025 r. pt. „Europejska strategia odporności gospodarki wodnej” (COM(2025)0280),</w:t>
      </w:r>
    </w:p>
    <w:p w:rsidR="00F054B8" w:rsidRPr="00AC1FBA" w:rsidP="00F054B8" w14:paraId="07990748" w14:textId="77777777">
      <w:pPr>
        <w:pStyle w:val="NormalHanging12a"/>
      </w:pPr>
      <w:r w:rsidRPr="00AC1FBA">
        <w:t>–</w:t>
      </w:r>
      <w:r w:rsidRPr="00AC1FBA">
        <w:tab/>
        <w:t>uwzględniając swoją rezolucję z 5 października 2022 r. w sprawie dostępu do wody jako prawa człowieka – wymiar zewnętrzny</w:t>
      </w:r>
      <w:r>
        <w:rPr>
          <w:rStyle w:val="FootnoteReference"/>
        </w:rPr>
        <w:footnoteReference w:id="3"/>
      </w:r>
      <w:r w:rsidRPr="00AC1FBA">
        <w:t xml:space="preserve">, </w:t>
      </w:r>
    </w:p>
    <w:p w:rsidR="00F054B8" w:rsidRPr="00AC1FBA" w:rsidP="00F054B8" w14:paraId="14B9039D" w14:textId="77777777">
      <w:pPr>
        <w:pStyle w:val="NormalHanging12a"/>
      </w:pPr>
      <w:r w:rsidRPr="00AC1FBA">
        <w:t>–</w:t>
      </w:r>
      <w:r w:rsidRPr="00AC1FBA">
        <w:tab/>
        <w:t>uwzględniając Konferencję Wodną ONZ w 2023 r. i przyjętą Agendę działań na rzecz wody oraz zbliżającą się Konferencję Wodną ONZ w 2026 r.,</w:t>
      </w:r>
    </w:p>
    <w:p w:rsidR="00F054B8" w:rsidRPr="00AC1FBA" w:rsidP="00F054B8" w14:paraId="18CC6931" w14:textId="77777777">
      <w:pPr>
        <w:pStyle w:val="NormalHanging12a"/>
      </w:pPr>
      <w:r w:rsidRPr="00AC1FBA">
        <w:t>–</w:t>
      </w:r>
      <w:r w:rsidRPr="00AC1FBA">
        <w:tab/>
        <w:t>uwzględniając notę tematyczną opublikowaną w sierpniu 2010 r. przez Biuro Wysokiego Komisarza Narodów Zjednoczonych ds. Praw Człowieka pt. „Prawo do wody”,</w:t>
      </w:r>
    </w:p>
    <w:p w:rsidR="00F054B8" w:rsidRPr="00AC1FBA" w:rsidP="00F054B8" w14:paraId="74EC3764" w14:textId="77777777">
      <w:pPr>
        <w:pStyle w:val="NormalHanging12a"/>
      </w:pPr>
      <w:r w:rsidRPr="00AC1FBA">
        <w:t>–</w:t>
      </w:r>
      <w:r w:rsidRPr="00AC1FBA">
        <w:tab/>
        <w:t>uwzględniając sprawozdanie Instytutu ds. Wody, Środowiska i Zdrowia Uniwersytetu Narodów Zjednoczonych z 20 stycznia 2026 r. pt. „Global Water Bankruptcy – Living Beyond Our Hydrological Means in the Post-Crisis Era” [Globalne bankructwo wodne – życie ponad możliwości naszych zasobów wodnych w czasach po kryzysie],</w:t>
      </w:r>
    </w:p>
    <w:p w:rsidR="00F054B8" w:rsidRPr="00AC1FBA" w:rsidP="00F054B8" w14:paraId="2515F92E" w14:textId="77777777">
      <w:pPr>
        <w:pStyle w:val="NormalHanging12a"/>
      </w:pPr>
      <w:r w:rsidRPr="00AC1FBA">
        <w:t>–</w:t>
      </w:r>
      <w:r w:rsidRPr="00AC1FBA">
        <w:tab/>
        <w:t>uwzględniając konkluzje Rady z 19 listopada 2018 r. w sprawie dyplomacji wodnej,</w:t>
      </w:r>
    </w:p>
    <w:p w:rsidR="00F054B8" w:rsidRPr="00AC1FBA" w:rsidP="00F054B8" w14:paraId="57052B4F" w14:textId="77777777">
      <w:pPr>
        <w:pStyle w:val="NormalHanging12a"/>
      </w:pPr>
      <w:r w:rsidRPr="00AC1FBA">
        <w:t>–</w:t>
      </w:r>
      <w:r w:rsidRPr="00AC1FBA">
        <w:tab/>
        <w:t>uwzględniając konkluzje Rady z 19 listopada 2021 r. w sprawie wody w działaniach zewnętrznych UE,</w:t>
      </w:r>
    </w:p>
    <w:p w:rsidR="00F054B8" w:rsidRPr="00AC1FBA" w:rsidP="00F054B8" w14:paraId="7C5B481E" w14:textId="77777777">
      <w:pPr>
        <w:pStyle w:val="NormalHanging12a"/>
      </w:pPr>
      <w:r w:rsidRPr="00AC1FBA">
        <w:t>–</w:t>
      </w:r>
      <w:r w:rsidRPr="00AC1FBA">
        <w:tab/>
        <w:t>uwzględniając wytyczne UE z 17 czerwca 2019 r. w sprawie bezpiecznej wody pitnej i urządzeń sanitarnych,</w:t>
      </w:r>
    </w:p>
    <w:p w:rsidR="00F054B8" w:rsidRPr="00AC1FBA" w:rsidP="00F054B8" w14:paraId="54EA9F9B" w14:textId="77777777">
      <w:pPr>
        <w:pStyle w:val="NormalHanging12a"/>
      </w:pPr>
      <w:r w:rsidRPr="00AC1FBA">
        <w:t>–</w:t>
      </w:r>
      <w:r w:rsidRPr="00AC1FBA">
        <w:tab/>
        <w:t>uwzględniając art. 121 Regulaminu,</w:t>
      </w:r>
    </w:p>
    <w:p w:rsidR="00F054B8" w:rsidRPr="00AC1FBA" w:rsidP="00F054B8" w14:paraId="47F9EF20" w14:textId="77777777">
      <w:pPr>
        <w:pStyle w:val="NormalHanging12a"/>
      </w:pPr>
      <w:r w:rsidRPr="00AC1FBA">
        <w:t>–</w:t>
      </w:r>
      <w:r w:rsidRPr="00AC1FBA">
        <w:tab/>
        <w:t>uwzględniając swoją rezolucję z 2 kwietnia 2025 r. w sprawie praw człowieka i demokracji na świecie oraz polityki Unii Europejskiej w tym zakresie – sprawozdanie roczne za 2024 r.</w:t>
      </w:r>
      <w:r>
        <w:rPr>
          <w:rStyle w:val="FootnoteReference"/>
        </w:rPr>
        <w:footnoteReference w:id="4"/>
      </w:r>
      <w:r w:rsidRPr="00AC1FBA">
        <w:t>,</w:t>
      </w:r>
    </w:p>
    <w:p w:rsidR="00F054B8" w:rsidRPr="00AC1FBA" w:rsidP="00F054B8" w14:paraId="5A577517" w14:textId="77777777">
      <w:pPr>
        <w:pStyle w:val="NormalHanging12a"/>
      </w:pPr>
      <w:r w:rsidRPr="00AC1FBA">
        <w:t>–</w:t>
      </w:r>
      <w:r w:rsidRPr="00AC1FBA">
        <w:tab/>
        <w:t>uwzględniając swoją rezolucję z 21 stycznia 2026 r. w sprawie praw człowieka i demokracji na świecie oraz polityki Unii Europejskiej w tym zakresie – sprawozdanie roczne za 2025 r.</w:t>
      </w:r>
      <w:r>
        <w:rPr>
          <w:rStyle w:val="FootnoteReference"/>
        </w:rPr>
        <w:footnoteReference w:id="5"/>
      </w:r>
      <w:r w:rsidRPr="00AC1FBA">
        <w:t>,</w:t>
      </w:r>
    </w:p>
    <w:p w:rsidR="00F054B8" w:rsidRPr="00AC1FBA" w:rsidP="00F054B8" w14:paraId="6833E4B8" w14:textId="77777777">
      <w:pPr>
        <w:pStyle w:val="NormalHanging12a"/>
      </w:pPr>
      <w:r w:rsidRPr="00AC1FBA">
        <w:t>–</w:t>
      </w:r>
      <w:r w:rsidRPr="00AC1FBA">
        <w:tab/>
        <w:t>uwzględniając opinię Europejskiego Komitetu Ekonomiczno-Społecznego z 4 grudnia 2024 r. pt. „Polityka wodna – wzmacnianie pozycji młodzieży, kobiet, ludów tubylczych i społeczności lokalnych”</w:t>
      </w:r>
      <w:r>
        <w:rPr>
          <w:rStyle w:val="FootnoteReference"/>
        </w:rPr>
        <w:footnoteReference w:id="6"/>
      </w:r>
      <w:r w:rsidRPr="00AC1FBA">
        <w:t>,</w:t>
      </w:r>
    </w:p>
    <w:p w:rsidR="00F054B8" w:rsidRPr="00AC1FBA" w:rsidP="00F054B8" w14:paraId="29DA603B" w14:textId="77777777">
      <w:pPr>
        <w:pStyle w:val="NormalHanging12a"/>
      </w:pPr>
      <w:r w:rsidRPr="00AC1FBA">
        <w:t>–</w:t>
      </w:r>
      <w:r w:rsidRPr="00AC1FBA">
        <w:tab/>
        <w:t>uwzględniając sprawozdanie Komisji Spraw Zagranicznych (A10-0150/2026),</w:t>
      </w:r>
    </w:p>
    <w:p w:rsidR="00F054B8" w:rsidRPr="00AC1FBA" w:rsidP="00F054B8" w14:paraId="39AA74CD" w14:textId="77777777">
      <w:pPr>
        <w:pStyle w:val="NormalHanging12a"/>
      </w:pPr>
      <w:r w:rsidRPr="00AC1FBA">
        <w:t>A.</w:t>
      </w:r>
      <w:r w:rsidRPr="00AC1FBA">
        <w:tab/>
        <w:t>mając na uwadze, że woda ma zasadnicze znaczenie dla przetrwania ludzkości i wszelkiego życia na Ziemi, w związku z czym należy nią gospodarować w sposób zrównoważony i sprawiedliwy jako wspólnym dobrem publicznym i globalnym;</w:t>
      </w:r>
    </w:p>
    <w:p w:rsidR="00F054B8" w:rsidRPr="00AC1FBA" w:rsidP="00F054B8" w14:paraId="5B4FAD3E" w14:textId="77777777">
      <w:pPr>
        <w:pStyle w:val="NormalHanging12a"/>
      </w:pPr>
      <w:r w:rsidRPr="00AC1FBA">
        <w:t>B.</w:t>
      </w:r>
      <w:r w:rsidRPr="00AC1FBA">
        <w:tab/>
        <w:t>mając na uwadze, że dostęp do bezpiecznej wody pitnej oraz bezpiecznych warunków sanitarnych jest prawem człowieka niezbędnym dla zdrowia, stabilności, bezpieczeństwa i pokoju, a także do pełnego cieszenia się życiem i korzystania z wszystkich praw człowieka; mając na uwadze, że złe zarządzanie zasobami wodnymi, niedobór wody i nierówny dostęp do niej mogą przyczyniać się do niestabilności, konfliktów i przesiedleń; mając na uwadze, że około 2,2 mld osób nadal nie ma dostępu do bezpiecznie zarządzanej wody pitnej, 3,5 mld osób nie ma dostępu do bezpiecznie zarządzanej infrastruktury sanitarnej, a około 4 mld osób doświadcza poważnego niedoboru wody przez co najmniej miesiąc każdego roku;</w:t>
      </w:r>
    </w:p>
    <w:p w:rsidR="00F054B8" w:rsidRPr="00AC1FBA" w:rsidP="00F054B8" w14:paraId="1AB61C63" w14:textId="77777777">
      <w:pPr>
        <w:pStyle w:val="NormalHanging12a"/>
        <w:rPr>
          <w:bCs/>
          <w:iCs/>
        </w:rPr>
      </w:pPr>
      <w:r w:rsidRPr="00AC1FBA">
        <w:t>C.</w:t>
      </w:r>
      <w:r w:rsidRPr="00AC1FBA">
        <w:tab/>
        <w:t>mając na uwadze, że nieadekwatność usług wodnych, sanitarnych i higienicznych w znacznym stopniu przyczynia się do rozprzestrzeniania się możliwych do uniknięcia chorób zakaźnych, takich jak cholera, malaria i choroby przewodu pokarmowego;</w:t>
      </w:r>
    </w:p>
    <w:p w:rsidR="00F054B8" w:rsidRPr="00AC1FBA" w:rsidP="00F054B8" w14:paraId="576BB4EA" w14:textId="77777777">
      <w:pPr>
        <w:pStyle w:val="NormalHanging12a"/>
      </w:pPr>
      <w:r w:rsidRPr="00AC1FBA">
        <w:t>D.</w:t>
      </w:r>
      <w:r w:rsidRPr="00AC1FBA">
        <w:tab/>
        <w:t>mając na uwadze, że zmiana klimatu i niezrównoważona działalność człowieka stanowią poważne zagrożenie dla zasobów wodnych i pogłębiają deficyt wody; mając na uwadze, że rosnąca presja na zasoby wodne spowodowana szybko rosnącą liczbą ludności, rosnącym popytem oraz niezrównoważonym użytkowaniem wody i gruntów przyczynia się do niedoboru wody, głodu i konfliktów;</w:t>
      </w:r>
    </w:p>
    <w:p w:rsidR="00F054B8" w:rsidRPr="00AC1FBA" w:rsidP="00F054B8" w14:paraId="5A0862A0" w14:textId="77777777">
      <w:pPr>
        <w:pStyle w:val="NormalHanging12a"/>
      </w:pPr>
      <w:r w:rsidRPr="00AC1FBA">
        <w:t>E.</w:t>
      </w:r>
      <w:r w:rsidRPr="00AC1FBA">
        <w:tab/>
        <w:t>mając na uwadze, że tylko około jedna trzecia zlewni kontynentalnych znajdowała się w normalnych warunkach zrzutu wody w każdym z ostatnich sześciu lat; mając na uwadze, że 90 % wszystkich klęsk żywiołowych jest związanych z wodą; mając na uwadze, że ze względu za zmianę klimatu cykle hydrologiczne są coraz bardziej nieregularne i charakteryzują się gwałtownymi wahaniami między dotkliwymi suszami a niszczycielskimi powodziami; mając na uwadze, że we wszystkich regionach świata pokrytych lodowcami w ostatnich latach odnotowano topnienie lodu; mając na uwadze, że znaczna część zanieczyszczeń zasobów słodkiej wody na całym świecie jest spowodowana działalnością człowieka;</w:t>
      </w:r>
    </w:p>
    <w:p w:rsidR="00F054B8" w:rsidRPr="00AC1FBA" w:rsidP="00F054B8" w14:paraId="0EBC8A5D" w14:textId="77777777">
      <w:pPr>
        <w:pStyle w:val="NormalHanging12a"/>
        <w:rPr>
          <w:bCs/>
          <w:iCs/>
        </w:rPr>
      </w:pPr>
      <w:r w:rsidRPr="00AC1FBA">
        <w:t>F.</w:t>
      </w:r>
      <w:r w:rsidRPr="00AC1FBA">
        <w:tab/>
        <w:t>mając na uwadze, że ilość i jakość wody są równie ważne; mając na uwadze, że należyte zarządzanie ilością i jakością wody stwarza możliwości gospodarcze i społeczne;</w:t>
      </w:r>
    </w:p>
    <w:p w:rsidR="00F054B8" w:rsidRPr="00AC1FBA" w:rsidP="00F054B8" w14:paraId="7214DD63" w14:textId="77777777">
      <w:pPr>
        <w:pStyle w:val="NormalHanging12a"/>
      </w:pPr>
      <w:r w:rsidRPr="00AC1FBA">
        <w:t>G.</w:t>
      </w:r>
      <w:r w:rsidRPr="00AC1FBA">
        <w:tab/>
        <w:t xml:space="preserve">mając na uwadze, że 60 % światowych przepływów wody słodkiej stanowią transgraniczne warstwy wodonośne, jeziora i dorzecza wspólne dla co najmniej dwóch krajów; </w:t>
      </w:r>
    </w:p>
    <w:p w:rsidR="00F054B8" w:rsidRPr="00AC1FBA" w:rsidP="00F054B8" w14:paraId="257E035F" w14:textId="77777777">
      <w:pPr>
        <w:pStyle w:val="NormalHanging12a"/>
      </w:pPr>
      <w:r w:rsidRPr="00AC1FBA">
        <w:t>H.</w:t>
      </w:r>
      <w:r w:rsidRPr="00AC1FBA">
        <w:tab/>
        <w:t xml:space="preserve">mając na uwadze, że pomimo postępów transgraniczna współpraca w dziedzinie wody pozostaje niewystarczająca na całym świecie; mając na uwadze, że spośród 153 państw członkowskich ONZ, które dzielą transgraniczne wody, tylko 43 zawarły porozumienia operacyjne; mając na uwadze, że ponad 20 krajów nie ma takich porozumień, a szczególnie ograniczone postępy odnotowano w Azji i Ameryce Łacińskiej; </w:t>
      </w:r>
    </w:p>
    <w:p w:rsidR="00F054B8" w:rsidRPr="00AC1FBA" w:rsidP="00F054B8" w14:paraId="6E541645" w14:textId="77777777">
      <w:pPr>
        <w:pStyle w:val="NormalHanging12a"/>
        <w:rPr>
          <w:bCs/>
          <w:iCs/>
        </w:rPr>
      </w:pPr>
      <w:r w:rsidRPr="00AC1FBA">
        <w:t>I.</w:t>
      </w:r>
      <w:r w:rsidRPr="00AC1FBA">
        <w:tab/>
        <w:t>mając na uwadze, że dobre zarządzanie zasobami wodnymi, przejrzystość i monitorowanie w sektorze wodno-sanitarnym gwarantują, że wykorzystanie zasobów publicznych służy interesowi publicznemu i wspiera zrównoważony rozwój;</w:t>
      </w:r>
    </w:p>
    <w:p w:rsidR="00F054B8" w:rsidRPr="00AC1FBA" w:rsidP="00F054B8" w14:paraId="2AE74F33" w14:textId="77777777">
      <w:pPr>
        <w:pStyle w:val="NormalHanging12a"/>
      </w:pPr>
      <w:r w:rsidRPr="00AC1FBA">
        <w:t>J.</w:t>
      </w:r>
      <w:r w:rsidRPr="00AC1FBA">
        <w:tab/>
        <w:t>mając na uwadze, że deficyt wody i jednostronne działania państw na wodach transgranicznych, takie jak ich zanieczyszczanie, nadmierna eksploatacja lub budowa infrastruktury, mogą mieć konsekwencje dla wszystkich państw mających dostęp do tych wód; mając na uwadze, że spory dotyczące dostępu do wody prowadzą do szerszych konfliktów i załamania gospodarczego oraz mogą je podsycać, co ma poważne konsekwencje dla stabilności regionalnej i bezpieczeństwa ludzi;</w:t>
      </w:r>
    </w:p>
    <w:p w:rsidR="00F054B8" w:rsidRPr="00AC1FBA" w:rsidP="00F054B8" w14:paraId="06D6345E" w14:textId="77777777">
      <w:pPr>
        <w:pStyle w:val="NormalHanging12a"/>
      </w:pPr>
      <w:r w:rsidRPr="00AC1FBA">
        <w:t>K.</w:t>
      </w:r>
      <w:r w:rsidRPr="00AC1FBA">
        <w:tab/>
        <w:t>mając na uwadze, że w ostatnich latach konflikty dotyczące zasobów wodnych przeważyły nad współpracą; mając na uwadze, że pomimo poczynionych postępów w zapewnianiu wody pitnej i warunków sanitarnych w ciągu ostatniej dekady miliardy ludzi na całym świecie nadal nie mają dostępu do podstawowych usług wodnych, sanitarnych i higienicznych, co naraża ich na ryzyko chorób i głębszego wykluczenia społecznego; mając na uwadze, że niektóre grupy, w szczególności kobiety, dzieci, uchodźcy, ludy tubylcze, społeczności znajdujące się w niekorzystnej sytuacji, osoby z niepełnosprawnościami i inne grupy, są często pomijane lub spotykają się z dyskryminacją przy planowaniu i rozwijaniu infrastruktury wodno-sanitarnej; mając na uwadze, że degradacja środowiska i zagrożenia związane z klimatem mają zazwyczaj nieproporcjonalny wpływ na ubogie i zmarginalizowane społeczności; mając na uwadze, że siatki przestępcze, organizacje terrorystyczne i lokalne bojówki w coraz większym stopniu wykorzystują te warunki do wzmacniania swoich wpływów i realizacji swoich programów;</w:t>
      </w:r>
    </w:p>
    <w:p w:rsidR="00F054B8" w:rsidRPr="00AC1FBA" w:rsidP="00F054B8" w14:paraId="62A3AFA5" w14:textId="77777777">
      <w:pPr>
        <w:pStyle w:val="NormalHanging12a"/>
      </w:pPr>
      <w:r w:rsidRPr="00AC1FBA">
        <w:t>L.</w:t>
      </w:r>
      <w:r w:rsidRPr="00AC1FBA">
        <w:tab/>
        <w:t xml:space="preserve">mając na uwadze, że tylko sprawiedliwy i zrównoważony dostęp do zasobów wodnych </w:t>
      </w:r>
      <w:r w:rsidRPr="00AC1FBA">
        <w:t xml:space="preserve">może zagwarantować wszystkim długoterminową przewidywalność; mając na uwadze, że strategiczna współpraca transnarodowa w zakresie zasobów wodnych umożliwia zrównoważone zarządzanie działalnością człowieka oraz wspólne przygotowanie się na nieregularne cykle hydrologiczne z korzyścią dla wszystkich sąsiadów;  </w:t>
      </w:r>
    </w:p>
    <w:p w:rsidR="00F054B8" w:rsidRPr="00AC1FBA" w:rsidP="00F054B8" w14:paraId="3C96414E" w14:textId="77777777">
      <w:pPr>
        <w:pStyle w:val="NormalHanging12a"/>
      </w:pPr>
      <w:r w:rsidRPr="00AC1FBA">
        <w:t>M.</w:t>
      </w:r>
      <w:r w:rsidRPr="00AC1FBA">
        <w:tab/>
        <w:t>mając na uwadze, że Pakt na rzecz regionu śródziemnomorskiego stanowi ramy ściślejszej współpracy regionalnej; mając na uwadze, że dyplomację wodną powinno się włączyć do działań priorytetowych w ramach tego paktu, biorąc pod uwagę rosnącą presję na wspólne zasoby wodne w całym regionie Morza Śródziemnego, w tym w regionach takich jak wschodnia część regionu Morza Śródziemnego i Afryka Północna; mając na uwadze, że współpracę w zakresie gospodarki wodnej, wspólne projekty infrastrukturalne i dialog na temat zasobów transgranicznych należy uznać za ważne narzędzia zapobiegania konfliktom, wspierania odporności na zmianę klimatu i zrównoważonego rozwoju;</w:t>
      </w:r>
    </w:p>
    <w:p w:rsidR="00F054B8" w:rsidRPr="00AC1FBA" w:rsidP="00F054B8" w14:paraId="6B542A8B" w14:textId="77777777">
      <w:pPr>
        <w:pStyle w:val="NormalHanging12a"/>
      </w:pPr>
      <w:r w:rsidRPr="00AC1FBA">
        <w:t>N.</w:t>
      </w:r>
      <w:r w:rsidRPr="00AC1FBA">
        <w:tab/>
        <w:t>mając na uwadze, że konflikty zbrojne i okupacje znacznie zakłócają dostęp do wody i współpracę transnarodową w dziedzinie zasobów wodnych;</w:t>
      </w:r>
    </w:p>
    <w:p w:rsidR="00F054B8" w:rsidRPr="00AC1FBA" w:rsidP="00F054B8" w14:paraId="16F11534" w14:textId="77777777">
      <w:pPr>
        <w:pStyle w:val="NormalHanging12a"/>
      </w:pPr>
      <w:r w:rsidRPr="00AC1FBA">
        <w:t>O.</w:t>
      </w:r>
      <w:r w:rsidRPr="00AC1FBA">
        <w:tab/>
        <w:t>mając na uwadze, że zobowiązaniom politycznym na szczeblu globalnym w zakresie zrównoważonej gospodarki wodnej nie towarzyszą odpowiednie finansowanie ani działania w terenie;</w:t>
      </w:r>
    </w:p>
    <w:p w:rsidR="00F054B8" w:rsidRPr="00AC1FBA" w:rsidP="00F054B8" w14:paraId="39C7255D" w14:textId="77777777">
      <w:pPr>
        <w:pStyle w:val="NormalHanging12a"/>
      </w:pPr>
      <w:r w:rsidRPr="00AC1FBA">
        <w:t>P.</w:t>
      </w:r>
      <w:r w:rsidRPr="00AC1FBA">
        <w:tab/>
        <w:t>mając na uwadze, że międzynarodowe prawo humanitarne, w szczególności protokoły dodatkowe z 1977 r. do konwencji genewskich, zapewnia wyraźną ochronę zapór i innych „obiektów i urządzeń zawierających niebezpieczne siły”; mając na uwadze, że wykorzystywanie wody jako broni, w tym ataki na systemy wodne i infrastrukturę wodną lub spowodowane przez nie szkody w środowisku, stanowi poważne naruszenie praw człowieka i może stanowić zbrodnię przeciwko ludzkości oraz akt ekobójstwa;</w:t>
      </w:r>
    </w:p>
    <w:p w:rsidR="00F054B8" w:rsidRPr="00AC1FBA" w:rsidP="00F054B8" w14:paraId="27F1207A" w14:textId="77777777">
      <w:pPr>
        <w:pStyle w:val="NormalHanging12a"/>
      </w:pPr>
      <w:r w:rsidRPr="00AC1FBA">
        <w:t>Q.</w:t>
      </w:r>
      <w:r w:rsidRPr="00AC1FBA">
        <w:tab/>
        <w:t>mając na uwadze, że współczesne działania wojenne w coraz większym stopniu wiążą się z celowymi atakami na zasoby wodne i infrastrukturę wodną oraz wykorzystywaniem ich jako broni, czego przykładem są spowodowane niedawno przez Rosję olbrzymie zniszczenia zapory w Kachowce w Ukrainie w 2023 r.; mając na uwadze, że zniszczenie zapory w Kachowce doprowadziło do poważnej degradacji środowiska, w tym do powodzi, zanieczyszczenia zasobów wody słodkiej, utraty różnorodności biologicznej i długoterminowych szkód w ekosystemach, a także spowodowało ofiary śmiertelne i masowe przesiedlenia ludności cywilnej oraz pozbawiło tę ludność dostępu do bezpiecznej wody pitnej i źródeł utrzymania; mając na uwadze, że zniszczenie zapory stworzyło poważne zagrożenie dla bezpieczeństwa jądrowego w pobliskiej elektrowni jądrowej w Zaporożu; mając na uwadze, że w wyniku rosyjskiej wojny napastniczej przeciwko Ukrainie około 1,7 mln dzieci w Ukrainie nie ma obecnie niezawodnego dostępu do bezpiecznej wody;</w:t>
      </w:r>
    </w:p>
    <w:p w:rsidR="00F054B8" w:rsidRPr="00AC1FBA" w:rsidP="00F054B8" w14:paraId="6877AAEE" w14:textId="77777777">
      <w:pPr>
        <w:pStyle w:val="NormalHanging12a"/>
      </w:pPr>
      <w:r w:rsidRPr="00AC1FBA">
        <w:t>R.</w:t>
      </w:r>
      <w:r w:rsidRPr="00AC1FBA">
        <w:tab/>
        <w:t xml:space="preserve">mając na uwadze, że Parlament z całą stanowczością potępił celowe niszczenie przez Rosję infrastruktury wodnej, w tym zapór, i uznał je za narzędzie wojny; mając na uwadze, że zniszczenia spowodowały poważne szkody w środowisku, osłabiły bezpieczeństwo wodne i stanowiły zagrożenie dla ludności cywilnej; mając na uwadze, że takie działania stanowią naruszenie prawa międzynarodowego i wymagają pociągnięcia winnych do pełnej odpowiedzialności; mając na uwadze, że Komisja i państwa członkowskie UE nadal udzielają Ukrainie pomocy w prowadzeniu dochodzeń w sprawie sprawców, tak aby można było ich ścigać za zbrodnie wojenne i zbrodnie </w:t>
      </w:r>
      <w:r w:rsidRPr="00AC1FBA">
        <w:t>przeciwko ludzkości;</w:t>
      </w:r>
    </w:p>
    <w:p w:rsidR="00F054B8" w:rsidRPr="00AC1FBA" w:rsidP="00F054B8" w14:paraId="51E558A8" w14:textId="77777777">
      <w:pPr>
        <w:pStyle w:val="NormalHanging12a"/>
      </w:pPr>
      <w:r w:rsidRPr="00AC1FBA">
        <w:t>S.</w:t>
      </w:r>
      <w:r w:rsidRPr="00AC1FBA">
        <w:tab/>
        <w:t>mając na uwadze, że UE wspiera wspólne izraelsko-palestyńskie mechanizmy zarządzania zasobami wodnymi, w tym wznowienie istniejących ram, takich jak wspólny komitet wodny, aby promować sprawiedliwą dystrybucję wody, większą przejrzystość i skuteczny rozwój infrastruktury; mając na uwadze, że nierówny dostęp do wspólnych zasobów wodnych pozostaje strukturalną przyczyną niestabilności na Bliskim Wschodzie, zwłaszcza w dorzeczu Jordanu, gdzie historyczne i utrzymujące się nierówności w przydziale i kontroli dotykające społeczności palestyńskich pogłębiają dysproporcje społeczno-gospodarcze; mając na uwadze, że zgodnie z obowiązującymi ustaleniami władze izraelskie sprawują skuteczną kontrolę nad większością zasobów wodnych na Zachodnim Brzegu i pochodzących z niego;</w:t>
      </w:r>
    </w:p>
    <w:p w:rsidR="00F054B8" w:rsidRPr="00AC1FBA" w:rsidP="00F054B8" w14:paraId="668709F5" w14:textId="77777777">
      <w:pPr>
        <w:pStyle w:val="NormalHanging12a"/>
      </w:pPr>
      <w:r w:rsidRPr="00AC1FBA">
        <w:t>T.</w:t>
      </w:r>
      <w:r w:rsidRPr="00AC1FBA">
        <w:tab/>
        <w:t>mając na uwadze, że w wyniku konfliktu między Izraelem a Hamasem doszło do rozległych zniszczeń infrastruktury wodnej, sanitarnej i higienicznej w Strefie Gazy, w tym zakładów odsalania, oczyszczalni ścieków i sieci dystrybucyjnych, co sprawia, że znaczna część ludności nie ma niezawodnego dostępu do bezpiecznej wody pitnej, oraz potęguje potrzeby humanitarne; mając na uwadze, że w lipcu 2025 r. Biuro Wysokiego Komisarza Narodów Zjednoczonych ds. Praw Człowieka poinformowało, że 89 % infrastruktury wodno-sanitarnej Strefy Gazy zostało uszkodzone lub zniszczone, co oznacza, że 90 % gospodarstw domowych mierzy się z brakiem bezpieczeństwa wodnego; mając na uwadze, że szybkie i niezakłócone dostarczanie materiałów, paliwa i pomocy technicznej jest niezbędne do naprawy i odbudowy krytycznej infrastruktury wodnej, w tym rurociągów, zakładów odsalania i oczyszczalni ścieków;</w:t>
      </w:r>
    </w:p>
    <w:p w:rsidR="00F054B8" w:rsidRPr="00AC1FBA" w:rsidP="00F054B8" w14:paraId="6595EF8B" w14:textId="77777777">
      <w:pPr>
        <w:pStyle w:val="NormalHanging12a"/>
      </w:pPr>
      <w:r w:rsidRPr="00AC1FBA">
        <w:t>U.</w:t>
      </w:r>
      <w:r w:rsidRPr="00AC1FBA">
        <w:tab/>
        <w:t>mając na uwadze, że transgraniczne skutki wielkoskalowych projektów zapór wodnych realizowanych przez Turcję w ramach projektu dla południowo-wschodniej Anatolii (GAP), w tym zapory Ilisu, wpłynęły na przepływy wody w dolnym biegu rzek Tygrys i Eufrat oraz przyczyniły się do niedoborów wody, strat w rolnictwie i degradacji środowiska w Iraku i Syrii; mając na uwadze, że zainteresowane strony z Turcji, Iraku i Syrii potrzebują zorganizowanego i pluralistycznego dialogu obejmującego całe dorzecze na temat zarządzania systemem rzecznym Tygrys–Eufrat, w oparciu o zasady prawa międzynarodowego dotyczącego zasobów wodnych, w tym zasady sprawiedliwego i rozsądnego użytkowania oraz obowiązek niewyrządzania poważnych szkód;</w:t>
      </w:r>
    </w:p>
    <w:p w:rsidR="00F054B8" w:rsidRPr="00AC1FBA" w:rsidP="00F054B8" w14:paraId="441384C8" w14:textId="77777777">
      <w:pPr>
        <w:pStyle w:val="NormalHanging12a"/>
      </w:pPr>
      <w:r w:rsidRPr="00AC1FBA">
        <w:t>V.</w:t>
      </w:r>
      <w:r w:rsidRPr="00AC1FBA">
        <w:tab/>
        <w:t>mając na uwadze, że napięcia między Egiptem a Etiopią utrzymują się po ukończeniu i inauguracji w 2025 r. Wielkiej Tamy Etiopskiego Odrodzenia (GERD), co może znacznie wpłynąć na równowagę hydropolityczną w dorzeczu Nilu; mając na uwadze, że Rada Bezpieczeństwa ONZ wielokrotnie omawiała kwestię Wielkiej Tamy Etiopskiego Odrodzenia; mając na uwadze, że wszystkie zainteresowane strony powinny powstrzymać się od jednostronnych środków, które mogłyby zaostrzyć napięcia, oraz traktować priorytetowo działania na rzecz budowy zaufania, w tym przejrzystości w zakresie eksploatacji zapór i współpracy technicznej przy prognozowaniu przepływu wody;</w:t>
      </w:r>
    </w:p>
    <w:p w:rsidR="00F054B8" w:rsidRPr="00AC1FBA" w:rsidP="00F054B8" w14:paraId="3BD9CBF7" w14:textId="77777777">
      <w:pPr>
        <w:pStyle w:val="NormalHanging12a"/>
      </w:pPr>
      <w:r w:rsidRPr="00AC1FBA">
        <w:t>W.</w:t>
      </w:r>
      <w:r w:rsidRPr="00AC1FBA">
        <w:tab/>
        <w:t xml:space="preserve">mając na uwadze, że rzeka Aras ma zasadnicze znaczenie dla rolnictwa, rozwoju gospodarczego i zaopatrzenia w wodę pitną Armenii i Azerbejdżanu, a jakość i ilość wody w niej spada; mając na uwadze, że dzięki przyszłej umowie między Armenią a Azerbejdżanem dotyczącej dzielonych przez nie transgranicznych wód, obejmującej mechanizmy wymiany danych, wspólnego monitorowania, bezpieczeństwa zapór oraz </w:t>
      </w:r>
      <w:r w:rsidRPr="00AC1FBA">
        <w:t>sprawiedliwego i zrównoważonego przydziału wody do użytku rolniczego i cywilnego, rzeka ta stałaby się wspólnym zasobem, a nie źródłem niestabilności;</w:t>
      </w:r>
    </w:p>
    <w:p w:rsidR="00F054B8" w:rsidRPr="00AC1FBA" w:rsidP="00F054B8" w14:paraId="2D729E5F" w14:textId="77777777">
      <w:pPr>
        <w:pStyle w:val="NormalHanging12a"/>
      </w:pPr>
      <w:r w:rsidRPr="00AC1FBA">
        <w:t>X.</w:t>
      </w:r>
      <w:r w:rsidRPr="00AC1FBA">
        <w:tab/>
        <w:t>mając na uwadze, że zanieczyszczenia i odpady przenoszone przez rzeki i prądy morskie mogą gromadzić się na wybrzeżach innych państw i powodować szkody środowiskowe, gospodarcze i społeczne, m.in. w turystyce i rybołówstwie;</w:t>
      </w:r>
    </w:p>
    <w:p w:rsidR="00F054B8" w:rsidRPr="00AC1FBA" w:rsidP="00F054B8" w14:paraId="21325B9C" w14:textId="77777777">
      <w:pPr>
        <w:pStyle w:val="NormalHanging12a"/>
      </w:pPr>
      <w:r w:rsidRPr="00AC1FBA">
        <w:t xml:space="preserve">Y. </w:t>
      </w:r>
      <w:r w:rsidRPr="00AC1FBA">
        <w:tab/>
        <w:t>mając na uwadze, że niedobór wody i degradacja zasobów wodnych mogą również prowadzić do masowych przesiedleń ludności i przymusowej migracji, pogłębiając brak bezpieczeństwa żywnościowego, ubóstwo i niestabilność w regionach znajdujących się w najtrudniejszej sytuacji; mając na uwadze, że jednym ze sposobów wyeliminowania pierwotnych przyczyn migracji jest poprawa gospodarki wodnej w państwach trzecich;</w:t>
      </w:r>
    </w:p>
    <w:p w:rsidR="00F054B8" w:rsidRPr="00AC1FBA" w:rsidP="00F054B8" w14:paraId="23F132E2" w14:textId="77777777">
      <w:pPr>
        <w:pStyle w:val="NormalHanging12a"/>
      </w:pPr>
      <w:r w:rsidRPr="00AC1FBA">
        <w:t>Z.</w:t>
      </w:r>
      <w:r w:rsidRPr="00AC1FBA">
        <w:tab/>
        <w:t>mając na uwadze, że państwowe i niepaństwowe grupy zbrojne na obszarach dotkniętych konfliktami wykorzystują osłabioną ludność jako sposób na uzyskanie legitymacji przez kontrolowanie zasobów wodnych; mając na uwadze, że dostęp do infrastruktury wodnej i kontrola nad nią są wykorzystywane w coraz większym stopniu jako narzędzia presji politycznej, przymusu lub wojny;</w:t>
      </w:r>
    </w:p>
    <w:p w:rsidR="00F054B8" w:rsidRPr="00AC1FBA" w:rsidP="00F054B8" w14:paraId="7739DF51" w14:textId="77777777">
      <w:pPr>
        <w:pStyle w:val="NormalHanging12a"/>
      </w:pPr>
      <w:r w:rsidRPr="00AC1FBA">
        <w:t>AA.</w:t>
      </w:r>
      <w:r w:rsidRPr="00AC1FBA">
        <w:tab/>
        <w:t>mając na uwadze, że partnerstwa publiczno-prywatne powinny promować lepszy i bardziej przystępny cenowo dostęp do wody, warunków sanitarnych i higieny dla wszystkich, w szczególności w zakresie tworzenia i skutecznego oraz zrównoważonego utrzymywania infrastruktury wodnej i zarządzania nią; mając na uwadze, że publiczne inwestycje i strategie polityczne powinny zachęcać i motywować sektor prywatny do inwestowania w technologie i praktyki zarządzania, które zwiększają zrównoważoną działalność gospodarczą;</w:t>
      </w:r>
    </w:p>
    <w:p w:rsidR="00F054B8" w:rsidRPr="00AC1FBA" w:rsidP="00F054B8" w14:paraId="023910C1" w14:textId="77777777">
      <w:pPr>
        <w:pStyle w:val="NormalHanging12a"/>
      </w:pPr>
      <w:r w:rsidRPr="00AC1FBA">
        <w:t>1.</w:t>
      </w:r>
      <w:r w:rsidRPr="00AC1FBA">
        <w:tab/>
        <w:t>zaleca Radzie, Komisji i wiceprzewodniczącej Komisji / wysokiej przedstawicielce Unii do spraw zagranicznych i polityki bezpieczeństwa:</w:t>
      </w:r>
    </w:p>
    <w:p w:rsidR="00F054B8" w:rsidRPr="00AC1FBA" w:rsidP="00F054B8" w14:paraId="624465FF" w14:textId="77777777">
      <w:pPr>
        <w:pStyle w:val="NormalHanging12a"/>
        <w:ind w:left="1134"/>
      </w:pPr>
      <w:r w:rsidRPr="00AC1FBA">
        <w:t>a)</w:t>
      </w:r>
      <w:r w:rsidRPr="00AC1FBA">
        <w:tab/>
        <w:t>zwiększyć rolę transgranicznego zarządzania zasobami wodnymi w działaniach zewnętrznych UE, tak by służyło ono jako istotne narzędzie zapobiegania konfliktom, rozwiązywania ich i budowania zaufania na szczeblu regionalnym, krajowym i międzynarodowym, w szczególności na obszarach narażonych na skutki zmiany klimatu i tam, gdzie już brakuje wody, zwłaszcza w regionach o strategicznym znaczeniu; wyraźnie uznać deficyt wody za jeden z głównych czynników zagrożeń dla bezpieczeństwa oraz zagrożeń geopolitycznych i humanitarnych oraz w pełni włączyć zapobieganie konfliktom związanym z wodą do polityki zagranicznej, bezpieczeństwa i rozwoju Unii Europejskiej;</w:t>
      </w:r>
    </w:p>
    <w:p w:rsidR="00F054B8" w:rsidRPr="00AC1FBA" w:rsidP="00F054B8" w14:paraId="7509D615" w14:textId="77777777">
      <w:pPr>
        <w:pStyle w:val="NormalHanging12a"/>
        <w:ind w:left="1134"/>
      </w:pPr>
      <w:r w:rsidRPr="00AC1FBA">
        <w:t>b)</w:t>
      </w:r>
      <w:r w:rsidRPr="00AC1FBA">
        <w:tab/>
        <w:t>rozwiązać problem braku porozumień operacyjnych między rządami dzielącymi transgraniczne dorzecza oraz udostępnić całą niezbędną wiedzę fachową UE, a także pomoc techniczną i finansową w celu wsparcia rządów w ustanawianiu i wdrażaniu takich porozumień, a także w tworzeniu organizacji zajmujących się dorzeczami, przy pełnym poszanowaniu suwerenności krajów partnerskich i ich głównej odpowiedzialności za zarządzanie zasobami wodnymi, aby zmniejszyć ryzyko napięć lub konfliktów, wspierać współpracę oraz poprawić zrównoważone zarządzanie zasobami naturalnymi; konsekwentnie poruszać kwestie związane z transgranicznym zarządzaniem zasobami wodnymi w dwustronnych dialogach UE z krajami partnerskimi;</w:t>
      </w:r>
    </w:p>
    <w:p w:rsidR="00F054B8" w:rsidRPr="00AC1FBA" w:rsidP="00F054B8" w14:paraId="1566CA6F" w14:textId="77777777">
      <w:pPr>
        <w:pStyle w:val="NormalHanging12a"/>
        <w:ind w:left="1134"/>
      </w:pPr>
      <w:r w:rsidRPr="00AC1FBA">
        <w:t>c)</w:t>
      </w:r>
      <w:r w:rsidRPr="00AC1FBA">
        <w:tab/>
        <w:t xml:space="preserve">wspierać wysiłki krajów partnerskich na rzecz stworzenia otoczenia prawnego i prowadzenia polityki sprzyjającej współpracy w zakresie gospodarki wodnej, a także wzmocnić rolę transnarodowego zarządzania zasobami wodnymi w działaniach zewnętrznych i dyplomacji UE; zapewnić Europejskiej Służbie Działań Zewnętrznych (ESDZ) i delegaturom UE na całym świecie odpowiednie zasoby finansowe i ludzkie, aby wspierać transgraniczne zarządzanie zasobami wodnymi w terenie, zarówno w krajach partnerskich, jak i między nimi, oraz pomagać w rozwijaniu i prowadzeniu niebieskiej dyplomacji; </w:t>
      </w:r>
    </w:p>
    <w:p w:rsidR="00F054B8" w:rsidRPr="00AC1FBA" w:rsidP="00F054B8" w14:paraId="2370BFE5" w14:textId="77777777">
      <w:pPr>
        <w:pStyle w:val="NormalHanging12a"/>
        <w:ind w:left="1134"/>
      </w:pPr>
      <w:r w:rsidRPr="00AC1FBA">
        <w:t>d)</w:t>
      </w:r>
      <w:r w:rsidRPr="00AC1FBA">
        <w:tab/>
        <w:t xml:space="preserve">zapewnić odpowiednie i skuteczne finansowanie transgranicznego zarządzania zasobami wodnymi w UE w ramach działań zewnętrznych UE w kolejnych wieloletnich ramach finansowych za pośrednictwem instrumentu „Globalny wymiar Europy” i strategii Global Gateway; lepiej dostosować inwestycje zewnętrzne UE w zakresie dostępu do wody i urządzeń sanitarnych na obszarach niestabilnych i dotkniętych konfliktami, aby wspierać pokój i odporność, w tym przez zwiększenie finansowania na rzecz globalnego dostępu do odpornej na zmianę klimatu i zrównoważonej infrastruktury gospodarki wodnej oraz infrastruktury sanitarnej; zagwarantować, że projekty infrastrukturalne i energetyczne finansowane w ramach unijnych instrumentów współpracy na rzecz rozwoju i polityki zewnętrznej, w tym Europejskiego Banku Inwestycyjnego, nadal są w pełni zgodne z prawem międzynarodowym, nie osłabiają transgranicznych stosunków wodnych, równego dostępu i zrównoważonego zarządzania oraz umożliwiają ludziom, w szczególności ludom tubylczym, dostęp do ich ziemi; dostosować finansowanie do globalnych sztandarowych działań pierwszej europejskiej strategii odporności gospodarki wodnej; </w:t>
      </w:r>
    </w:p>
    <w:p w:rsidR="00F054B8" w:rsidRPr="00AC1FBA" w:rsidP="00F054B8" w14:paraId="377E772E" w14:textId="77777777">
      <w:pPr>
        <w:pStyle w:val="NormalHanging12a"/>
        <w:ind w:left="1134"/>
      </w:pPr>
      <w:r w:rsidRPr="00AC1FBA">
        <w:t>e)</w:t>
      </w:r>
      <w:r w:rsidRPr="00AC1FBA">
        <w:tab/>
        <w:t>uznać kluczową pracę obrońców praw środowiskowych i organizacji społeczeństwa obywatelskiego na rzecz ochrony wody, równego dostępu i transgranicznego zarządzania zasobami wodnymi oraz zwiększyć wsparcie dla tej pracy; ściśle angażować lokalnych obrońców praw środowiskowych i organizacje społeczeństwa obywatelskiego we wsparcie UE na rzecz transgranicznego zarządzania zasobami wodnymi w państwach trzecich oraz wspierać ich bezpieczeństwo i swobodę działania w warunkach wolnych od przemocy i zastraszania; zwiększyć wsparcie finansowe dla organizacji pozarządowych działających w dziedzinie dyplomacji wodnej, zapobiegania konfliktom i transgranicznej współpracy w dziedzinie wody, zwłaszcza w regionach niestabilnych i dotkniętych konfliktami, uznając ich ważną rolę w ułatwianiu dialogu na szczeblu lokalnym i regionalnym, wspieraniu gospodarki wodnej opartej na społeczności, promowaniu budowania zaufania i przyczynianiu się do inicjatyw w zakresie zrównoważonego zarządzania wodą sprzyjającego włączeniu społecznemu;</w:t>
      </w:r>
    </w:p>
    <w:p w:rsidR="00F054B8" w:rsidRPr="00AC1FBA" w:rsidP="00F054B8" w14:paraId="09AEE207" w14:textId="77777777">
      <w:pPr>
        <w:pStyle w:val="NormalHanging12a"/>
        <w:ind w:left="1134"/>
      </w:pPr>
      <w:r w:rsidRPr="00AC1FBA">
        <w:t>f)</w:t>
      </w:r>
      <w:r w:rsidRPr="00AC1FBA">
        <w:tab/>
      </w:r>
      <w:bookmarkStart w:id="7" w:name="_Hlk231546271"/>
      <w:r w:rsidRPr="00AC1FBA">
        <w:t>rozszerzyć zakres geograficzny unijnych projektów transgranicznego zarządzania zasobami wodnymi w ramach podejścia „Drużyna Europy” poza niektóre części Afryki i Azji Środkowej na Amerykę Północną i Południową, Bliski Wschód i Afrykę Północną oraz Azję Wschodnią i Południową</w:t>
      </w:r>
      <w:bookmarkEnd w:id="7"/>
      <w:r w:rsidRPr="00AC1FBA">
        <w:t>, zwłaszcza na obszary, w których brak bezpieczeństwa wodnego może przyczyniać się do niestabilności lub przesiedleń;</w:t>
      </w:r>
    </w:p>
    <w:p w:rsidR="00F054B8" w:rsidRPr="00AC1FBA" w:rsidP="00F054B8" w14:paraId="1521D081" w14:textId="77777777">
      <w:pPr>
        <w:pStyle w:val="NormalHanging12a"/>
        <w:ind w:left="1134"/>
      </w:pPr>
      <w:r w:rsidRPr="00AC1FBA">
        <w:t>g)</w:t>
      </w:r>
      <w:r w:rsidRPr="00AC1FBA">
        <w:tab/>
        <w:t xml:space="preserve">wzmocnić zrównoważoną gospodarkę wodną i ściekową przez systematyczne włączanie współpracy w zakresie infrastruktury, technologii i wiedzy fachowej do </w:t>
      </w:r>
      <w:r w:rsidRPr="00AC1FBA">
        <w:t>partnerstw i programów rozwoju; wspierać budowanie zdolności i wzmocnienie instytucji w krajach partnerskich, co usprawni planowanie usług wodnych i sanitarnych, zarządzanie nimi oraz pomoże utrzymać ich świadczenie, w tym przez partnerstwa z władzami lokalnymi, służbami publicznymi, społeczeństwem obywatelskim i organizacjami społeczności lokalnych; dostosować inwestycje infrastrukturalne do kontekstu lokalnego i historycznego w celu przekształcenia wody w instrument pokoju i stabilności;</w:t>
      </w:r>
    </w:p>
    <w:p w:rsidR="00F054B8" w:rsidRPr="00AC1FBA" w:rsidP="00F054B8" w14:paraId="4D48B3EA" w14:textId="77777777">
      <w:pPr>
        <w:pStyle w:val="NormalHanging12a"/>
        <w:ind w:left="1134"/>
      </w:pPr>
      <w:r w:rsidRPr="00AC1FBA">
        <w:t>h)</w:t>
      </w:r>
      <w:r w:rsidRPr="00AC1FBA">
        <w:tab/>
        <w:t>wzmocnić wielostronną współpracę w dziedzinie wody, w szczególności w ramach ONZ, przez kontynuowanie i intensyfikację globalizacji konwencji wodnej ONZ oraz wspieranie realizacji celów zrównoważonego rozwoju, w szczególności celu nr 6 dotyczącego czystej wody i warunków sanitarnych, a także zająć się problemem znaczących nierówności w dostępie do nich między krajami i w ich obrębie; zapewnić dalszą realizację zobowiązań UE wynikających z Konferencji Wodnej ONZ w 2023 r., przy jednoczesnym zachowaniu tych ambicji i działań w ramach przygotowań do konferencji w 2026 r.; zintensyfikować wielopoziomowe dialogi z krajami basenów podatnych na konflikty, w tym przez organizację szczytów i podejmowanie wspólnych inicjatyw, a także formaty długoterminowej współpracy;</w:t>
      </w:r>
    </w:p>
    <w:p w:rsidR="00F054B8" w:rsidRPr="00AC1FBA" w:rsidP="00F054B8" w14:paraId="792AE3AF" w14:textId="77777777">
      <w:pPr>
        <w:pStyle w:val="NormalHanging12a"/>
        <w:ind w:left="1134"/>
      </w:pPr>
      <w:r w:rsidRPr="00AC1FBA">
        <w:t>i)</w:t>
      </w:r>
      <w:r w:rsidRPr="00AC1FBA">
        <w:tab/>
        <w:t>podkreślić, że skuteczne transgraniczne zarządzanie zasobami wodnymi zależy od ochrony różnorodności biologicznej oraz od klimatu, i w związku z tym domagać się, aby gospodarka wodna odpowiadała przede wszystkim interesom środowiskowym – ponieważ dostęp do wody stanowi podstawową potrzebę roślin, zwierząt i ludzi – oraz opierała się na logice wynikającej z interesu publicznego, ponieważ woda stanowi wspólne dobro publiczne i globalne;</w:t>
      </w:r>
    </w:p>
    <w:p w:rsidR="00F054B8" w:rsidRPr="00AC1FBA" w:rsidP="00F054B8" w14:paraId="7D6D9BF1" w14:textId="77777777">
      <w:pPr>
        <w:pStyle w:val="NormalHanging12a"/>
        <w:ind w:left="1134"/>
      </w:pPr>
      <w:r w:rsidRPr="00AC1FBA">
        <w:t>j)</w:t>
      </w:r>
      <w:r w:rsidRPr="00AC1FBA">
        <w:tab/>
        <w:t>wzmocnić globalną odporność wodną jako środek wspierania stabilności przez skuteczne wdrożenie europejskiej strategii odporności gospodarki wodnej, w szczególności jej globalnych działań mających na celu wspieranie dostępu do wody i warunków sanitarnych dla co najmniej 70 mln osób oraz wzmocnienie globalnego zarządzania zasobami wodnymi i zaangażowania na forach wielostronnych, takich jak forum grupy G-7 i grupy G-20 oraz dialog z Baku na temat wody na rzecz działań klimatycznych;</w:t>
      </w:r>
    </w:p>
    <w:p w:rsidR="00F054B8" w:rsidRPr="00AC1FBA" w:rsidP="00F054B8" w14:paraId="710477FD" w14:textId="77777777">
      <w:pPr>
        <w:pStyle w:val="NormalHanging12a"/>
        <w:ind w:left="1134"/>
      </w:pPr>
      <w:r w:rsidRPr="00AC1FBA">
        <w:t>k)</w:t>
      </w:r>
      <w:r w:rsidRPr="00AC1FBA">
        <w:tab/>
        <w:t>inwestować w bardziej przejrzysty przegląd całego bieżącego wsparcia UE na rzecz promowania transgranicznego zarządzania zasobami wodnymi na szczeblu międzynarodowym oraz zapewnić spójność i usprawnienie prac i finansowania we wszystkich właściwych dyrekcjach generalnych oraz między ESDZ a Komisją, a także dopilnować, by różne programy wzajemnie się uzupełniały, a nie pokrywały; wzmocnić komunikację na temat wysiłków i osiągnięć UE w dziedzinie transgranicznej współpracy wodnej, aby zwiększyć widoczność tego istotnego narzędzia i podkreślić wiodącą rolę UE w jego wdrażaniu;</w:t>
      </w:r>
    </w:p>
    <w:p w:rsidR="00F054B8" w:rsidRPr="00AC1FBA" w:rsidP="00F054B8" w14:paraId="537C2676" w14:textId="77777777">
      <w:pPr>
        <w:pStyle w:val="NormalHanging12a"/>
        <w:ind w:left="1134"/>
      </w:pPr>
      <w:r w:rsidRPr="00AC1FBA">
        <w:t>l)</w:t>
      </w:r>
      <w:r w:rsidRPr="00AC1FBA">
        <w:tab/>
        <w:t xml:space="preserve">wspierać ściślejszą współpracę międzynarodową, m.in. na poziomie organizacji zajmujących się dorzeczami, aby znaleźć rozwiązanie dla coraz poważniejszego kryzysu wodnego; zapewnić czystą wodę wysokiej jakości i warunki sanitarne oraz poprawić do nich dostęp; promować zrównoważone zarządzanie zasobami wodnymi, zwiększyć ponowne wykorzystanie wody, rozwiązać problem jej zanieczyszczenia, nadmiernego wykorzystania i marnotrawienia oraz wdrażać różne innowacyjne technologie wodne, w tym rozwiązania oparte na zasobach </w:t>
      </w:r>
      <w:r w:rsidRPr="00AC1FBA">
        <w:t xml:space="preserve">przyrody;  </w:t>
      </w:r>
    </w:p>
    <w:p w:rsidR="00F054B8" w:rsidRPr="00AC1FBA" w:rsidP="00F054B8" w14:paraId="5CDC58F4" w14:textId="77777777">
      <w:pPr>
        <w:pStyle w:val="NormalHanging12a"/>
        <w:ind w:left="1134"/>
      </w:pPr>
      <w:r w:rsidRPr="00AC1FBA">
        <w:t>m)</w:t>
      </w:r>
      <w:r w:rsidRPr="00AC1FBA">
        <w:tab/>
        <w:t>zagwarantować, że inicjatywy UE dotyczące wody na całym świecie rozwiążą problem utrzymujących się luk w danych i braku ich wymiany między rządami przez wyposażenie krajów partnerskich w zasoby techniczne i fizyczne w celu skutecznego monitorowania poziomu wody i jakości transgranicznych dorzeczy oraz przez wymianę danych i promowanie wspólnych standardów gromadzenia danych między krajami partnerskimi w celu zwiększenia kompatybilności; pełnić rolę wiarygodnego i zaufanego podmiotu ułatwiającego wymianę wiarygodnych informacji na temat wody między rządami, zainteresowanymi stronami i społeczeństwem w warunkach niedoboru wody i wysokiego napięcia, w tym w sytuacjach, w których wymiana informacji ma wrażliwy charakter ze względu na kwestie bezpieczeństwa; opierać się na odpowiednich doświadczeniach, programach, praktykach i strategiach UE w celu wzmocnienia wymiany najlepszych praktyk między podmiotami regionalnymi i krajowymi, w oparciu o odpowiednie programy, praktyki i strategie UE;</w:t>
      </w:r>
    </w:p>
    <w:p w:rsidR="00F054B8" w:rsidRPr="00AC1FBA" w:rsidP="00F054B8" w14:paraId="0C4D6B8D" w14:textId="6F22C590">
      <w:pPr>
        <w:pStyle w:val="NormalHanging12a"/>
        <w:ind w:left="1134"/>
      </w:pPr>
      <w:r w:rsidRPr="00AC1FBA">
        <w:t>n)</w:t>
      </w:r>
      <w:r w:rsidRPr="00AC1FBA">
        <w:tab/>
        <w:t>wspierać instrumenty współpracy międzyrządowej i regionalnej w zakresie zarządzania zasobami wodnymi, ze szczególnym naciskiem na zapewnienie sprawiedliwej dystrybucji wody, oraz wspierać struktury zarządzania na szczeblu lokalnym i wspólnotowym; rozważyć wsparcie dla partnerstw publiczno-prywatnych, jeżeli przyczyniają się one do wydajnej gospodarki wodnej i bardziej przystępnego cenowo dostępu do wody, warunków sanitarnych i higieny dla wszystkich; zachęcać do inwestycji w technologie i praktyki zarządzania, które zwiększają stosowanie zrównoważonych praktyk rolniczych do produkcji roślin uprawnych oraz hodowli zwierząt gospodarskich i ryb zarówno przez drobnych producentów rolnych, jak i większe przedsiębiorstwa;</w:t>
      </w:r>
    </w:p>
    <w:p w:rsidR="00F054B8" w:rsidRPr="00AC1FBA" w:rsidP="00F054B8" w14:paraId="1123AAB6" w14:textId="77777777">
      <w:pPr>
        <w:pStyle w:val="NormalHanging12a"/>
        <w:ind w:left="1134"/>
      </w:pPr>
      <w:r w:rsidRPr="00AC1FBA">
        <w:t>o)</w:t>
      </w:r>
      <w:r w:rsidRPr="00AC1FBA">
        <w:tab/>
        <w:t>podkreślić zasadę spójności polityki na rzecz rozwoju oraz zasadę dostosowania polityki UE do priorytetów rozwojowych krajów partnerskich w oparciu o oceny wpływu na zasoby lokalne, aby wspólnie nie dopuścić do wyczerpania się zasobów wodnych lub do ich zanieczyszczenia w krajach spoza UE;</w:t>
      </w:r>
    </w:p>
    <w:p w:rsidR="00F054B8" w:rsidRPr="00AC1FBA" w:rsidP="00F054B8" w14:paraId="2058BB38" w14:textId="77777777">
      <w:pPr>
        <w:pStyle w:val="NormalHanging12a"/>
        <w:ind w:left="1134"/>
      </w:pPr>
      <w:r w:rsidRPr="00AC1FBA">
        <w:t>p)</w:t>
      </w:r>
      <w:r w:rsidRPr="00AC1FBA">
        <w:tab/>
        <w:t>wzmocnić wdrażanie zintegrowanego zarządzania zasobami wodnymi jako podstawowego narzędzia promującego skoordynowany rozwój i zrównoważone gospodarowanie wodą, gruntami i powiązanymi zasobami, również w wymiarze transgranicznym, zgodnie ze wskaźnikiem celu zrównoważonego rozwoju nr 6.5.2, z obopólną korzyścią dla państw nadbrzeżnych, a także podkreślić znaczenie powiązania między wodą, energią, żywnością i ekosystemem w rozwiązywaniu kwestii synergii i kompromisów dotyczących wody w ramach działań zewnętrznych UE;</w:t>
      </w:r>
    </w:p>
    <w:p w:rsidR="00F054B8" w:rsidRPr="00AC1FBA" w:rsidP="00F054B8" w14:paraId="0713288B" w14:textId="77777777">
      <w:pPr>
        <w:pStyle w:val="NormalHanging12a"/>
        <w:ind w:left="1134"/>
      </w:pPr>
      <w:r w:rsidRPr="00AC1FBA">
        <w:t>q)</w:t>
      </w:r>
      <w:r w:rsidRPr="00AC1FBA">
        <w:tab/>
        <w:t xml:space="preserve">wzmocnić zdolności UE w zakresie monitorowania i wczesnego ostrzegania przez cyfryzację i nowoczesne technologie, w tym nadzór satelitarny i śledzenie zanieczyszczeń w czasie rzeczywistym, gdyż jest to niezbędne do zapobiegania zanieczyszczeniom transgranicznym i ich zwalczania, a także do wspierania zmniejszania ryzyka związanego z klęskami żywiołowymi; </w:t>
      </w:r>
      <w:bookmarkStart w:id="8" w:name="_Hlk231546757"/>
      <w:r w:rsidRPr="00AC1FBA">
        <w:t>wzmocnić monitorowanie niedoborów wody i ryzyka konfliktów związanych z wodą na całym świecie, np. wykorzystywania wody i infrastruktury wodnej jako broni oraz celowego pozbawiania dostępu do wody, i włączyć to monitorowanie do systemów zapobiegania konfliktom w Centrum Reagowania Kryzysowego ESDZ;</w:t>
      </w:r>
      <w:bookmarkEnd w:id="8"/>
    </w:p>
    <w:p w:rsidR="00F054B8" w:rsidRPr="00AC1FBA" w:rsidP="00F054B8" w14:paraId="0506FDC5" w14:textId="77777777">
      <w:pPr>
        <w:pStyle w:val="NormalHanging12a"/>
        <w:ind w:left="1134"/>
      </w:pPr>
      <w:r w:rsidRPr="00AC1FBA">
        <w:t>r)</w:t>
      </w:r>
      <w:r w:rsidRPr="00AC1FBA">
        <w:tab/>
        <w:t>wspierać i finansować badania nad zrównoważonym transgranicznym zarządzaniem zasobami wodnymi, współdzieleniem tych zasobów, współpracą i innowacjami, w tym za pośrednictwem programu „Horyzont Europa”, oraz zbadać pojawiające się wyzwania, takie jak działania mające na celu zmianę pogody;</w:t>
      </w:r>
    </w:p>
    <w:p w:rsidR="00F054B8" w:rsidRPr="00AC1FBA" w:rsidP="00F054B8" w14:paraId="7842148D" w14:textId="77777777">
      <w:pPr>
        <w:pStyle w:val="NormalHanging12a"/>
        <w:ind w:left="1134"/>
      </w:pPr>
      <w:r w:rsidRPr="00AC1FBA">
        <w:t>s)</w:t>
      </w:r>
      <w:r w:rsidRPr="00AC1FBA">
        <w:tab/>
        <w:t>rozważyć powierzenie Specjalnemu Przedstawicielowi UE ds. Praw Człowieka zadania polegającego na zapobieganiu konfliktom związanym z wodą i ich rozwiązywaniu, promowaniu współpracy w dziedzinie zasobów wodnych i praworządności oraz ochronie źródeł i systemów wodnych, w tym podczas konfliktów zbrojnych i w kontekście transgranicznym, a także kierowaniu, w imieniu UE, międzynarodowymi wysiłkami na rzecz ochrony i odbudowy ekosystemów wodnych zgodnie z celem zrównoważonego rozwoju nr 6, ponieważ odporność wodna ma kluczowe znaczenie dla reagowania na obecne i przyszłe kryzysy zdrowotne, żywnościowe, energetyczne i związane z bezpieczeństwem; skonsultować się z Parlamentem w sprawie mandatu i zasobów Specjalnego Przedstawiciela UE ds. Praw Człowieka oraz uzgodnień dotyczących współpracy wspierających jego pracę;</w:t>
      </w:r>
    </w:p>
    <w:p w:rsidR="00F054B8" w:rsidRPr="00AC1FBA" w:rsidP="00F054B8" w14:paraId="1A1B68F3" w14:textId="77777777">
      <w:pPr>
        <w:pStyle w:val="NormalHanging12a"/>
        <w:ind w:left="1134"/>
      </w:pPr>
      <w:r w:rsidRPr="00AC1FBA">
        <w:t>t)</w:t>
      </w:r>
      <w:r w:rsidRPr="00AC1FBA">
        <w:tab/>
        <w:t>wzmocnić rolę prawa międzynarodowego i właściwych sądów międzynarodowych, promować dialog, mediację i rozwiązania regionalne jako podstawowe narzędzia rozstrzygania sporów dotyczących transnarodowych części wód oraz zapewnić jasność i rozliczalność w odniesieniu do zobowiązań prawnych dla wszystkich państw mających dostęp do tych części wód; systematycznie potępiać wykorzystywanie wody jako broni w konfliktach; zagwarantować, że sprawcy zostaną pociągnięci do odpowiedzialności;</w:t>
      </w:r>
    </w:p>
    <w:p w:rsidR="00F054B8" w:rsidRPr="00AC1FBA" w:rsidP="00F054B8" w14:paraId="2895F258" w14:textId="77777777">
      <w:pPr>
        <w:pStyle w:val="NormalHanging12a"/>
        <w:ind w:left="1134"/>
      </w:pPr>
      <w:r w:rsidRPr="00AC1FBA">
        <w:t>u)</w:t>
      </w:r>
      <w:r w:rsidRPr="00AC1FBA">
        <w:tab/>
        <w:t>wspierać inicjatywy prawne, które pozwolą zapewnić sprawiedliwość i odszkodowania za celowe ataki na zasoby wodne i infrastrukturę wodną oraz ich niszczenie;</w:t>
      </w:r>
    </w:p>
    <w:p w:rsidR="00AC1FBA" w:rsidRPr="00AC1FBA" w:rsidP="00AC1FBA" w14:paraId="1B7ED910" w14:textId="6D108569">
      <w:pPr>
        <w:pStyle w:val="NormalHanging12a"/>
      </w:pPr>
      <w:r w:rsidRPr="00AC1FBA">
        <w:t>2.</w:t>
      </w:r>
      <w:r w:rsidRPr="00AC1FBA">
        <w:tab/>
        <w:t>zobowiązuje swoją przewodniczącą do przekazania niniejszego zalecenia Radzie, Komisji oraz wiceprzewodniczącej Komisji / wysokiej przedstawicielce Unii do spraw zagranicznych i polityki bezpieczeństwa.</w:t>
      </w:r>
    </w:p>
    <w:p w:rsidR="00E365E1" w:rsidRPr="00AC1FBA" w:rsidP="00F0158F" w14:paraId="28780C55" w14:textId="280AA6B0"/>
    <w:sectPr w:rsidSect="00AC1F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1FBA" w14:paraId="4579487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1FBA" w14:paraId="7981333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1FBA" w14:paraId="1E589E88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0158F" w:rsidRPr="00AC1FBA" w14:paraId="7FAAB450" w14:textId="77777777">
      <w:r w:rsidRPr="00AC1FBA">
        <w:separator/>
      </w:r>
    </w:p>
  </w:footnote>
  <w:footnote w:type="continuationSeparator" w:id="1">
    <w:p w:rsidR="00F0158F" w:rsidRPr="00AC1FBA" w14:paraId="39D211CC" w14:textId="77777777">
      <w:r w:rsidRPr="00AC1FBA">
        <w:continuationSeparator/>
      </w:r>
    </w:p>
  </w:footnote>
  <w:footnote w:id="2">
    <w:p w:rsidR="00F054B8" w:rsidRPr="00677EB1" w:rsidP="00AC1FBA" w14:paraId="50C1226F" w14:textId="7994DED3">
      <w:pPr>
        <w:pStyle w:val="FootnoteText"/>
        <w:ind w:left="567" w:hanging="567"/>
        <w:rPr>
          <w:sz w:val="24"/>
          <w:lang w:val="fi-FI"/>
        </w:rPr>
      </w:pPr>
      <w:r w:rsidRPr="00AC1FBA">
        <w:rPr>
          <w:rStyle w:val="FootnoteReference"/>
          <w:sz w:val="24"/>
          <w:lang w:val="pl-PL"/>
        </w:rPr>
        <w:footnoteRef/>
      </w:r>
      <w:r w:rsidRPr="00677EB1" w:rsidR="00AC1FBA">
        <w:rPr>
          <w:sz w:val="24"/>
          <w:lang w:val="fi-FI"/>
        </w:rPr>
        <w:t xml:space="preserve"> </w:t>
      </w:r>
      <w:r w:rsidRPr="00677EB1" w:rsidR="00AC1FBA">
        <w:rPr>
          <w:sz w:val="24"/>
          <w:lang w:val="fi-FI"/>
        </w:rPr>
        <w:tab/>
      </w:r>
      <w:r w:rsidRPr="00677EB1">
        <w:rPr>
          <w:sz w:val="24"/>
          <w:lang w:val="fi-FI"/>
        </w:rPr>
        <w:t xml:space="preserve">Dz.U. C, C/2026/576, 24.2.2026, ELI: </w:t>
      </w:r>
      <w:hyperlink r:id="rId1" w:history="1">
        <w:r w:rsidRPr="00677EB1">
          <w:rPr>
            <w:rStyle w:val="Hyperlink"/>
            <w:sz w:val="24"/>
            <w:lang w:val="fi-FI"/>
          </w:rPr>
          <w:t>http://data.europa.eu/eli/C/2026/576/oj</w:t>
        </w:r>
      </w:hyperlink>
      <w:r w:rsidRPr="00677EB1">
        <w:rPr>
          <w:sz w:val="24"/>
          <w:lang w:val="fi-FI"/>
        </w:rPr>
        <w:t>.</w:t>
      </w:r>
    </w:p>
  </w:footnote>
  <w:footnote w:id="3">
    <w:p w:rsidR="00F054B8" w:rsidRPr="00AC1FBA" w:rsidP="00AC1FBA" w14:paraId="1C52DE42" w14:textId="1A688E41">
      <w:pPr>
        <w:pStyle w:val="FootnoteText"/>
        <w:ind w:left="567" w:hanging="567"/>
        <w:rPr>
          <w:sz w:val="24"/>
          <w:lang w:val="pl-PL"/>
        </w:rPr>
      </w:pPr>
      <w:r w:rsidRPr="00AC1FBA">
        <w:rPr>
          <w:rStyle w:val="FootnoteReference"/>
          <w:sz w:val="24"/>
          <w:lang w:val="pl-PL"/>
        </w:rPr>
        <w:footnoteRef/>
      </w:r>
      <w:r w:rsidRPr="00AC1FBA" w:rsidR="00AC1FBA">
        <w:rPr>
          <w:sz w:val="24"/>
          <w:lang w:val="pl-PL"/>
        </w:rPr>
        <w:t xml:space="preserve"> </w:t>
      </w:r>
      <w:r w:rsidRPr="00AC1FBA" w:rsidR="00AC1FBA">
        <w:rPr>
          <w:sz w:val="24"/>
          <w:lang w:val="pl-PL"/>
        </w:rPr>
        <w:tab/>
      </w:r>
      <w:r w:rsidRPr="00AC1FBA">
        <w:rPr>
          <w:sz w:val="24"/>
          <w:lang w:val="pl-PL"/>
        </w:rPr>
        <w:t>Dz.U. C 132 z 14.4.2023, s. 54.</w:t>
      </w:r>
    </w:p>
  </w:footnote>
  <w:footnote w:id="4">
    <w:p w:rsidR="00F054B8" w:rsidRPr="00260EBB" w:rsidP="00AC1FBA" w14:paraId="32254CF7" w14:textId="29A803F7">
      <w:pPr>
        <w:pStyle w:val="FootnoteText"/>
        <w:ind w:left="567" w:hanging="567"/>
        <w:rPr>
          <w:sz w:val="24"/>
          <w:lang w:val="pl-PL"/>
        </w:rPr>
      </w:pPr>
      <w:r w:rsidRPr="00AC1FBA">
        <w:rPr>
          <w:rStyle w:val="FootnoteReference"/>
          <w:sz w:val="24"/>
          <w:lang w:val="pl-PL"/>
        </w:rPr>
        <w:footnoteRef/>
      </w:r>
      <w:r w:rsidRPr="00260EBB" w:rsidR="00AC1FBA">
        <w:rPr>
          <w:sz w:val="24"/>
          <w:lang w:val="pl-PL"/>
        </w:rPr>
        <w:t xml:space="preserve"> </w:t>
      </w:r>
      <w:r w:rsidRPr="00260EBB" w:rsidR="00AC1FBA">
        <w:rPr>
          <w:sz w:val="24"/>
          <w:lang w:val="pl-PL"/>
        </w:rPr>
        <w:tab/>
      </w:r>
      <w:r w:rsidRPr="00260EBB">
        <w:rPr>
          <w:sz w:val="24"/>
          <w:lang w:val="pl-PL"/>
        </w:rPr>
        <w:t xml:space="preserve">Dz.U. C, C/2025/4390, 9.9.2025, ELI: </w:t>
      </w:r>
      <w:hyperlink r:id="rId2" w:history="1">
        <w:r w:rsidRPr="00260EBB">
          <w:rPr>
            <w:rStyle w:val="Hyperlink"/>
            <w:sz w:val="24"/>
            <w:lang w:val="pl-PL"/>
          </w:rPr>
          <w:t>http://data.europa.eu/eli/C/2025/4390/oj</w:t>
        </w:r>
      </w:hyperlink>
      <w:r w:rsidRPr="00260EBB">
        <w:rPr>
          <w:sz w:val="24"/>
          <w:lang w:val="pl-PL"/>
        </w:rPr>
        <w:t>.</w:t>
      </w:r>
    </w:p>
  </w:footnote>
  <w:footnote w:id="5">
    <w:p w:rsidR="00F054B8" w:rsidRPr="00AC1FBA" w:rsidP="00AC1FBA" w14:paraId="5C06620A" w14:textId="5AAEAA92">
      <w:pPr>
        <w:pStyle w:val="FootnoteText"/>
        <w:ind w:left="567" w:hanging="567"/>
        <w:rPr>
          <w:sz w:val="24"/>
          <w:lang w:val="pl-PL"/>
        </w:rPr>
      </w:pPr>
      <w:r w:rsidRPr="00AC1FBA">
        <w:rPr>
          <w:rStyle w:val="FootnoteReference"/>
          <w:sz w:val="24"/>
          <w:lang w:val="pl-PL"/>
        </w:rPr>
        <w:footnoteRef/>
      </w:r>
      <w:r w:rsidRPr="00AC1FBA" w:rsidR="00AC1FBA">
        <w:rPr>
          <w:sz w:val="24"/>
          <w:lang w:val="pl-PL"/>
        </w:rPr>
        <w:t xml:space="preserve"> </w:t>
      </w:r>
      <w:r w:rsidRPr="00AC1FBA" w:rsidR="00AC1FBA">
        <w:rPr>
          <w:sz w:val="24"/>
          <w:lang w:val="pl-PL"/>
        </w:rPr>
        <w:tab/>
      </w:r>
      <w:r w:rsidRPr="00AC1FBA">
        <w:rPr>
          <w:sz w:val="24"/>
          <w:lang w:val="pl-PL"/>
        </w:rPr>
        <w:t>Teksty przyjęte, P10_TA(2026)0014.</w:t>
      </w:r>
    </w:p>
  </w:footnote>
  <w:footnote w:id="6">
    <w:p w:rsidR="00F054B8" w:rsidRPr="00260EBB" w:rsidP="00AC1FBA" w14:paraId="7BEC1051" w14:textId="1B6C7125">
      <w:pPr>
        <w:pStyle w:val="FootnoteText"/>
        <w:ind w:left="567" w:hanging="567"/>
        <w:rPr>
          <w:sz w:val="24"/>
          <w:lang w:val="pl-PL"/>
        </w:rPr>
      </w:pPr>
      <w:r w:rsidRPr="00AC1FBA">
        <w:rPr>
          <w:rStyle w:val="FootnoteReference"/>
          <w:sz w:val="24"/>
          <w:lang w:val="pl-PL"/>
        </w:rPr>
        <w:footnoteRef/>
      </w:r>
      <w:r w:rsidRPr="00260EBB" w:rsidR="00AC1FBA">
        <w:rPr>
          <w:sz w:val="24"/>
          <w:lang w:val="pl-PL"/>
        </w:rPr>
        <w:t xml:space="preserve"> </w:t>
      </w:r>
      <w:r w:rsidRPr="00260EBB" w:rsidR="00AC1FBA">
        <w:rPr>
          <w:sz w:val="24"/>
          <w:lang w:val="pl-PL"/>
        </w:rPr>
        <w:tab/>
      </w:r>
      <w:r w:rsidRPr="00260EBB">
        <w:rPr>
          <w:sz w:val="24"/>
          <w:lang w:val="pl-PL"/>
        </w:rPr>
        <w:t xml:space="preserve">Dz.U. C, C/2025/769, 11.2.2025, ELI: </w:t>
      </w:r>
      <w:hyperlink r:id="rId3" w:history="1">
        <w:r w:rsidRPr="00260EBB">
          <w:rPr>
            <w:rStyle w:val="Hyperlink"/>
            <w:sz w:val="24"/>
            <w:lang w:val="pl-PL"/>
          </w:rPr>
          <w:t>http://data.europa.eu/eli/C/2025/769/oj</w:t>
        </w:r>
      </w:hyperlink>
      <w:r w:rsidRPr="00260EBB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1FBA" w14:paraId="7ECE10E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1FBA" w14:paraId="33A510C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1FBA" w14:paraId="51B4E05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45857641">
    <w:abstractNumId w:val="9"/>
  </w:num>
  <w:num w:numId="2" w16cid:durableId="2001078322">
    <w:abstractNumId w:val="9"/>
  </w:num>
  <w:num w:numId="3" w16cid:durableId="1369840248">
    <w:abstractNumId w:val="7"/>
  </w:num>
  <w:num w:numId="4" w16cid:durableId="1605461297">
    <w:abstractNumId w:val="7"/>
  </w:num>
  <w:num w:numId="5" w16cid:durableId="1078749381">
    <w:abstractNumId w:val="6"/>
  </w:num>
  <w:num w:numId="6" w16cid:durableId="902716915">
    <w:abstractNumId w:val="6"/>
  </w:num>
  <w:num w:numId="7" w16cid:durableId="37632052">
    <w:abstractNumId w:val="5"/>
  </w:num>
  <w:num w:numId="8" w16cid:durableId="1296792461">
    <w:abstractNumId w:val="5"/>
  </w:num>
  <w:num w:numId="9" w16cid:durableId="2111467526">
    <w:abstractNumId w:val="4"/>
  </w:num>
  <w:num w:numId="10" w16cid:durableId="2077361015">
    <w:abstractNumId w:val="4"/>
  </w:num>
  <w:num w:numId="11" w16cid:durableId="62875797">
    <w:abstractNumId w:val="8"/>
  </w:num>
  <w:num w:numId="12" w16cid:durableId="1472360648">
    <w:abstractNumId w:val="8"/>
  </w:num>
  <w:num w:numId="13" w16cid:durableId="1313175804">
    <w:abstractNumId w:val="3"/>
  </w:num>
  <w:num w:numId="14" w16cid:durableId="738141238">
    <w:abstractNumId w:val="3"/>
  </w:num>
  <w:num w:numId="15" w16cid:durableId="1151411275">
    <w:abstractNumId w:val="2"/>
  </w:num>
  <w:num w:numId="16" w16cid:durableId="1511486131">
    <w:abstractNumId w:val="2"/>
  </w:num>
  <w:num w:numId="17" w16cid:durableId="1434327219">
    <w:abstractNumId w:val="1"/>
  </w:num>
  <w:num w:numId="18" w16cid:durableId="1803574975">
    <w:abstractNumId w:val="1"/>
  </w:num>
  <w:num w:numId="19" w16cid:durableId="315376193">
    <w:abstractNumId w:val="0"/>
  </w:num>
  <w:num w:numId="20" w16cid:durableId="131757812">
    <w:abstractNumId w:val="0"/>
  </w:num>
  <w:num w:numId="21" w16cid:durableId="2052604665">
    <w:abstractNumId w:val="9"/>
  </w:num>
  <w:num w:numId="22" w16cid:durableId="43796417">
    <w:abstractNumId w:val="7"/>
  </w:num>
  <w:num w:numId="23" w16cid:durableId="408230261">
    <w:abstractNumId w:val="6"/>
  </w:num>
  <w:num w:numId="24" w16cid:durableId="1509100413">
    <w:abstractNumId w:val="5"/>
  </w:num>
  <w:num w:numId="25" w16cid:durableId="459111575">
    <w:abstractNumId w:val="4"/>
  </w:num>
  <w:num w:numId="26" w16cid:durableId="1171405251">
    <w:abstractNumId w:val="8"/>
  </w:num>
  <w:num w:numId="27" w16cid:durableId="537664545">
    <w:abstractNumId w:val="3"/>
  </w:num>
  <w:num w:numId="28" w16cid:durableId="151065624">
    <w:abstractNumId w:val="2"/>
  </w:num>
  <w:num w:numId="29" w16cid:durableId="2118018664">
    <w:abstractNumId w:val="1"/>
  </w:num>
  <w:num w:numId="30" w16cid:durableId="1764229961">
    <w:abstractNumId w:val="0"/>
  </w:num>
  <w:num w:numId="31" w16cid:durableId="811141456">
    <w:abstractNumId w:val="9"/>
  </w:num>
  <w:num w:numId="32" w16cid:durableId="1762406190">
    <w:abstractNumId w:val="7"/>
  </w:num>
  <w:num w:numId="33" w16cid:durableId="1850412080">
    <w:abstractNumId w:val="6"/>
  </w:num>
  <w:num w:numId="34" w16cid:durableId="1770004981">
    <w:abstractNumId w:val="5"/>
  </w:num>
  <w:num w:numId="35" w16cid:durableId="1774548795">
    <w:abstractNumId w:val="4"/>
  </w:num>
  <w:num w:numId="36" w16cid:durableId="1967739367">
    <w:abstractNumId w:val="8"/>
  </w:num>
  <w:num w:numId="37" w16cid:durableId="828054659">
    <w:abstractNumId w:val="3"/>
  </w:num>
  <w:num w:numId="38" w16cid:durableId="902568202">
    <w:abstractNumId w:val="2"/>
  </w:num>
  <w:num w:numId="39" w16cid:durableId="598172723">
    <w:abstractNumId w:val="1"/>
  </w:num>
  <w:num w:numId="40" w16cid:durableId="932740085">
    <w:abstractNumId w:val="0"/>
  </w:num>
  <w:num w:numId="41" w16cid:durableId="2065987487">
    <w:abstractNumId w:val="10"/>
  </w:num>
  <w:num w:numId="42" w16cid:durableId="899247744">
    <w:abstractNumId w:val="10"/>
  </w:num>
  <w:num w:numId="43" w16cid:durableId="2127894224">
    <w:abstractNumId w:val="10"/>
  </w:num>
  <w:num w:numId="44" w16cid:durableId="1530301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58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0EB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7EB1"/>
    <w:rsid w:val="00680577"/>
    <w:rsid w:val="006F74FA"/>
    <w:rsid w:val="00731ADD"/>
    <w:rsid w:val="00734777"/>
    <w:rsid w:val="00747932"/>
    <w:rsid w:val="00751A4A"/>
    <w:rsid w:val="00756632"/>
    <w:rsid w:val="00762C74"/>
    <w:rsid w:val="00763AA1"/>
    <w:rsid w:val="00786EC0"/>
    <w:rsid w:val="007D1690"/>
    <w:rsid w:val="007E22AD"/>
    <w:rsid w:val="0080106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1FBA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519F"/>
    <w:rsid w:val="00EB006A"/>
    <w:rsid w:val="00EB4772"/>
    <w:rsid w:val="00ED169E"/>
    <w:rsid w:val="00ED4235"/>
    <w:rsid w:val="00F0158F"/>
    <w:rsid w:val="00F04346"/>
    <w:rsid w:val="00F054B8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0/2026"/>
    <w:docVar w:name="dvlangue" w:val="PL"/>
    <w:docVar w:name="dvnumam" w:val="57"/>
    <w:docVar w:name="dvpe" w:val="779.681"/>
    <w:docVar w:name="dvrapporteur" w:val="Sprawozdawca: "/>
    <w:docVar w:name="dvtitre" w:val="Zalecenie Parlamentu Europejskiego dla Rady w sprawie zalecenia Parlamentu Europejskiego dla Rady, Komisji i wiceprzewodniczącej Komisji / wysokiej przedstawicielki Unii do spraw zagranicznych i polityki bezpieczeństwa w sprawie promowania zarządzania transnarodowego zasobami wodnymi z myślą o pokoju i zapobieganiu konfliktom(2025/2216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11E6411"/>
  <w15:chartTrackingRefBased/>
  <w15:docId w15:val="{223CA01C-C939-430A-A4FD-07E402181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054B8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F054B8"/>
    <w:pPr>
      <w:spacing w:after="240"/>
      <w:ind w:left="567" w:hanging="567"/>
    </w:pPr>
  </w:style>
  <w:style w:type="character" w:styleId="Hyperlink">
    <w:name w:val="Hyperlink"/>
    <w:basedOn w:val="DefaultParagraphFont"/>
    <w:rsid w:val="00F054B8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F054B8"/>
    <w:rPr>
      <w:sz w:val="24"/>
      <w:lang w:val="pl-PL"/>
    </w:rPr>
  </w:style>
  <w:style w:type="paragraph" w:styleId="Revision">
    <w:name w:val="Revision"/>
    <w:hidden/>
    <w:uiPriority w:val="99"/>
    <w:semiHidden/>
    <w:rsid w:val="00E8519F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576/oj" TargetMode="External" /><Relationship Id="rId2" Type="http://schemas.openxmlformats.org/officeDocument/2006/relationships/hyperlink" Target="http://data.europa.eu/eli/C/2025/4390/oj" TargetMode="External" /><Relationship Id="rId3" Type="http://schemas.openxmlformats.org/officeDocument/2006/relationships/hyperlink" Target="http://data.europa.eu/eli/C/2025/7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3862</Words>
  <Characters>25540</Characters>
  <Application>Microsoft Office Word</Application>
  <DocSecurity>0</DocSecurity>
  <Lines>212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2026-06-17T14:19:00Z</dcterms:created>
  <dcterms:modified xsi:type="dcterms:W3CDTF">2026-06-17T14:19:00Z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A10-0150/2026</vt:lpwstr>
  </property>
  <property fmtid="{D5CDD505-2E9C-101B-9397-08002B2CF9AE}" pid="4" name="&lt;Type&gt;">
    <vt:lpwstr>RR</vt:lpwstr>
  </property>
</Properties>
</file>