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A615AD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2E4C" w:rsidP="0010095E" w14:paraId="512EF511" w14:textId="77777777">
            <w:pPr>
              <w:pStyle w:val="EPName"/>
            </w:pPr>
            <w:r w:rsidRPr="00392E4C">
              <w:t xml:space="preserve">Parlamento </w:t>
            </w:r>
            <w:r w:rsidRPr="00392E4C">
              <w:t>Europeu</w:t>
            </w:r>
          </w:p>
          <w:p w:rsidR="00751A4A" w:rsidRPr="00392E4C" w:rsidP="005F1B17" w14:paraId="117C763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2E4C">
              <w:t>2024</w:t>
            </w:r>
            <w:r w:rsidRPr="00392E4C" w:rsidR="00817416">
              <w:t>-202</w:t>
            </w:r>
            <w:r w:rsidRPr="00392E4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2E4C" w:rsidP="0010095E" w14:paraId="6ED05BDF" w14:textId="77777777">
            <w:pPr>
              <w:pStyle w:val="EPLogo"/>
            </w:pPr>
            <w:r w:rsidRPr="00392E4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2E4C" w:rsidP="004C5D52" w14:paraId="13E5F7D8" w14:textId="77777777">
      <w:pPr>
        <w:pStyle w:val="LineTop"/>
      </w:pPr>
    </w:p>
    <w:p w:rsidR="00680577" w:rsidRPr="00392E4C" w:rsidP="00680577" w14:paraId="7861CCDE" w14:textId="77777777">
      <w:pPr>
        <w:pStyle w:val="EPBodyTA1"/>
      </w:pPr>
      <w:r w:rsidRPr="00392E4C">
        <w:t>TEXTOS APROVADOS</w:t>
      </w:r>
    </w:p>
    <w:p w:rsidR="00D058B8" w:rsidRPr="00392E4C" w:rsidP="00D058B8" w14:paraId="5AFD51B7" w14:textId="77777777">
      <w:pPr>
        <w:pStyle w:val="LineBottom"/>
      </w:pPr>
    </w:p>
    <w:p w:rsidR="002F1A9E" w:rsidRPr="00392E4C" w:rsidP="002F1A9E" w14:paraId="4334B711" w14:textId="1585E138">
      <w:pPr>
        <w:pStyle w:val="ATHeading1"/>
      </w:pPr>
      <w:bookmarkStart w:id="0" w:name="TANumber"/>
      <w:r w:rsidRPr="00392E4C">
        <w:t>P10_</w:t>
      </w:r>
      <w:r w:rsidRPr="00392E4C">
        <w:t>TA(</w:t>
      </w:r>
      <w:r w:rsidRPr="00392E4C">
        <w:t>2026)</w:t>
      </w:r>
      <w:bookmarkEnd w:id="0"/>
      <w:r w:rsidRPr="00392E4C" w:rsidR="00C318A9">
        <w:t>0221</w:t>
      </w:r>
    </w:p>
    <w:p w:rsidR="002F1A9E" w:rsidRPr="00392E4C" w:rsidP="002F1A9E" w14:paraId="585FDBFE" w14:textId="77777777">
      <w:pPr>
        <w:pStyle w:val="ATHeading2"/>
      </w:pPr>
      <w:bookmarkStart w:id="1" w:name="title"/>
      <w:r w:rsidRPr="00392E4C">
        <w:t>Recomendação referente à promoção da governação transnacional da água no interesse da prevenção de conflitos e da paz</w:t>
      </w:r>
      <w:bookmarkEnd w:id="1"/>
    </w:p>
    <w:p w:rsidR="002F1A9E" w:rsidRPr="00392E4C" w:rsidP="002F1A9E" w14:paraId="708790CA" w14:textId="77777777">
      <w:pPr>
        <w:rPr>
          <w:i/>
          <w:vanish/>
        </w:rPr>
      </w:pPr>
      <w:r>
        <w:rPr>
          <w:i/>
        </w:rPr>
        <w:fldChar w:fldCharType="begin"/>
      </w:r>
      <w:r w:rsidRPr="00392E4C">
        <w:rPr>
          <w:i/>
        </w:rPr>
        <w:instrText xml:space="preserve"> TC"(</w:instrText>
      </w:r>
      <w:bookmarkStart w:id="2" w:name="DocNumber"/>
      <w:r w:rsidRPr="00392E4C">
        <w:rPr>
          <w:i/>
        </w:rPr>
        <w:instrText>A10-0150/2026</w:instrText>
      </w:r>
      <w:bookmarkEnd w:id="2"/>
      <w:r w:rsidRPr="00392E4C">
        <w:rPr>
          <w:i/>
        </w:rPr>
        <w:instrText xml:space="preserve"> - Relator: Leoluca Orlando)"\l3 \n&gt; \* MERGEFORMAT </w:instrText>
      </w:r>
      <w:r>
        <w:rPr>
          <w:i/>
        </w:rPr>
        <w:fldChar w:fldCharType="end"/>
      </w:r>
    </w:p>
    <w:p w:rsidR="002F1A9E" w:rsidRPr="00392E4C" w:rsidP="002F1A9E" w14:paraId="1BCA7658" w14:textId="77777777">
      <w:pPr>
        <w:rPr>
          <w:vanish/>
        </w:rPr>
      </w:pPr>
      <w:bookmarkStart w:id="3" w:name="Commission"/>
      <w:r w:rsidRPr="00392E4C">
        <w:rPr>
          <w:vanish/>
        </w:rPr>
        <w:t>Comissão dos Assuntos Externos</w:t>
      </w:r>
      <w:bookmarkEnd w:id="3"/>
    </w:p>
    <w:p w:rsidR="002F1A9E" w:rsidRPr="00392E4C" w:rsidP="002F1A9E" w14:paraId="412AC33E" w14:textId="77777777">
      <w:pPr>
        <w:rPr>
          <w:vanish/>
        </w:rPr>
      </w:pPr>
      <w:bookmarkStart w:id="4" w:name="PE"/>
      <w:r w:rsidRPr="00392E4C">
        <w:rPr>
          <w:vanish/>
        </w:rPr>
        <w:t>PE779.681</w:t>
      </w:r>
      <w:bookmarkEnd w:id="4"/>
    </w:p>
    <w:p w:rsidR="002F1A9E" w:rsidRPr="00392E4C" w:rsidP="002F1A9E" w14:paraId="75DF86C1" w14:textId="2C50D0E9">
      <w:pPr>
        <w:pStyle w:val="ATHeading3"/>
      </w:pPr>
      <w:bookmarkStart w:id="5" w:name="Sujet"/>
      <w:r>
        <w:t>Recomendação</w:t>
      </w:r>
      <w:r w:rsidRPr="00392E4C">
        <w:t xml:space="preserve"> do Parlamento Europeu, de </w:t>
      </w:r>
      <w:r w:rsidRPr="00392E4C" w:rsidR="00FE1DD9">
        <w:t xml:space="preserve">17 </w:t>
      </w:r>
      <w:r w:rsidRPr="00392E4C">
        <w:t xml:space="preserve">de </w:t>
      </w:r>
      <w:r w:rsidRPr="00392E4C" w:rsidR="00FE1DD9">
        <w:t xml:space="preserve">junho </w:t>
      </w:r>
      <w:r w:rsidRPr="00392E4C">
        <w:t>de 2026, sobre a recomendação do Parlamento Europeu ao Conselho, à Comissão e à vice-presidente da Comissão/alta representante da União para os Negócios Estrangeiros e a Política de Segurança referente à promoção da governação transnacional da água no interesse da prevenção de conflitos e da paz</w:t>
      </w:r>
      <w:bookmarkEnd w:id="5"/>
      <w:r w:rsidRPr="00392E4C">
        <w:t xml:space="preserve"> </w:t>
      </w:r>
      <w:bookmarkStart w:id="6" w:name="References"/>
      <w:r w:rsidRPr="00392E4C">
        <w:t>(2025/2216(INI))</w:t>
      </w:r>
      <w:bookmarkEnd w:id="6"/>
    </w:p>
    <w:p w:rsidR="00094099" w:rsidRPr="00392E4C" w:rsidP="00094099" w14:paraId="64BD7C0A" w14:textId="77777777">
      <w:pPr>
        <w:pStyle w:val="EPComma"/>
      </w:pPr>
      <w:r w:rsidRPr="00392E4C">
        <w:rPr>
          <w:i/>
        </w:rPr>
        <w:t>O Parlamento Europeu</w:t>
      </w:r>
      <w:r w:rsidRPr="00392E4C">
        <w:t>,</w:t>
      </w:r>
    </w:p>
    <w:p w:rsidR="00094099" w:rsidRPr="00392E4C" w:rsidP="00094099" w14:paraId="544C6878" w14:textId="77777777">
      <w:pPr>
        <w:pStyle w:val="NormalHanging12a"/>
      </w:pPr>
      <w:r w:rsidRPr="00392E4C">
        <w:t>–</w:t>
      </w:r>
      <w:r w:rsidRPr="00392E4C">
        <w:tab/>
        <w:t>Tendo em conta a Convenção das Nações Unidas sobre a Proteção e a Utilização dos Cursos de Água Transfronteiriços e dos Lagos Internacionais (Convenção sobre a Água) de 1992,</w:t>
      </w:r>
    </w:p>
    <w:p w:rsidR="00094099" w:rsidRPr="00392E4C" w:rsidP="00094099" w14:paraId="12509F75" w14:textId="77777777">
      <w:pPr>
        <w:pStyle w:val="NormalHanging12a"/>
      </w:pPr>
      <w:r w:rsidRPr="00392E4C">
        <w:t>–</w:t>
      </w:r>
      <w:r w:rsidRPr="00392E4C">
        <w:tab/>
        <w:t>Tendo em conta a sua Resolução, de 7 de maio de 2025, sobre a Estratégia Europeia de Resiliência Hídrica</w:t>
      </w:r>
      <w:r>
        <w:rPr>
          <w:rStyle w:val="FootnoteReference"/>
        </w:rPr>
        <w:footnoteReference w:id="2"/>
      </w:r>
      <w:r w:rsidRPr="00392E4C">
        <w:t>,</w:t>
      </w:r>
    </w:p>
    <w:p w:rsidR="00094099" w:rsidRPr="00392E4C" w:rsidP="00094099" w14:paraId="3A021981" w14:textId="77777777">
      <w:pPr>
        <w:pStyle w:val="NormalHanging12a"/>
      </w:pPr>
      <w:r w:rsidRPr="00392E4C">
        <w:t>–</w:t>
      </w:r>
      <w:r w:rsidRPr="00392E4C">
        <w:tab/>
        <w:t>Tendo em conta a Comunicação da Comissão, de 4 de junho de 2025, intitulada «Estratégia Europeia de Segurança Hídrica» (</w:t>
      </w:r>
      <w:r w:rsidRPr="00392E4C">
        <w:t>COM(</w:t>
      </w:r>
      <w:r w:rsidRPr="00392E4C">
        <w:t>2025)0280),</w:t>
      </w:r>
    </w:p>
    <w:p w:rsidR="00094099" w:rsidRPr="00392E4C" w:rsidP="00094099" w14:paraId="7D994712" w14:textId="77777777">
      <w:pPr>
        <w:pStyle w:val="NormalHanging12a"/>
      </w:pPr>
      <w:r w:rsidRPr="00392E4C">
        <w:t>–</w:t>
      </w:r>
      <w:r w:rsidRPr="00392E4C">
        <w:tab/>
        <w:t>Tendo em conta a sua Resolução, de 5 de outubro de 2022, sobre o acesso à água como um direito humano — a dimensão externa</w:t>
      </w:r>
      <w:r>
        <w:rPr>
          <w:rStyle w:val="FootnoteReference"/>
        </w:rPr>
        <w:footnoteReference w:id="3"/>
      </w:r>
      <w:r w:rsidRPr="00392E4C">
        <w:t xml:space="preserve">, </w:t>
      </w:r>
    </w:p>
    <w:p w:rsidR="00094099" w:rsidRPr="00392E4C" w:rsidP="00094099" w14:paraId="7C487C3D" w14:textId="77777777">
      <w:pPr>
        <w:pStyle w:val="NormalHanging12a"/>
      </w:pPr>
      <w:r w:rsidRPr="00392E4C">
        <w:t>–</w:t>
      </w:r>
      <w:r w:rsidRPr="00392E4C">
        <w:tab/>
        <w:t>Tendo em conta a Conferência das Nações Unidas sobre a Água de 2023 e a Agenda de Ação para a Água adotada, bem como a próxima Conferência das Nações Unidas sobre a Água de 2026,</w:t>
      </w:r>
    </w:p>
    <w:p w:rsidR="00094099" w:rsidRPr="00392E4C" w:rsidP="00094099" w14:paraId="03D3365C" w14:textId="77777777">
      <w:pPr>
        <w:pStyle w:val="NormalHanging12a"/>
      </w:pPr>
      <w:r w:rsidRPr="00392E4C">
        <w:t>–</w:t>
      </w:r>
      <w:r w:rsidRPr="00392E4C">
        <w:tab/>
        <w:t>Tendo em conta a ficha informativa do Alto</w:t>
      </w:r>
      <w:r w:rsidRPr="00392E4C">
        <w:noBreakHyphen/>
        <w:t>Comissariado das Nações Unidas para os Direitos Humanos, intitulada «</w:t>
      </w:r>
      <w:r w:rsidRPr="00392E4C">
        <w:t>The</w:t>
      </w:r>
      <w:r w:rsidRPr="00392E4C">
        <w:t xml:space="preserve"> </w:t>
      </w:r>
      <w:r w:rsidRPr="00392E4C">
        <w:t>Right</w:t>
      </w:r>
      <w:r w:rsidRPr="00392E4C">
        <w:t xml:space="preserve"> to </w:t>
      </w:r>
      <w:r w:rsidRPr="00392E4C">
        <w:t>Water</w:t>
      </w:r>
      <w:r w:rsidRPr="00392E4C">
        <w:t>» [O direito à água], publicada em agosto de 2010,</w:t>
      </w:r>
    </w:p>
    <w:p w:rsidR="00094099" w:rsidRPr="00392E4C" w:rsidP="00094099" w14:paraId="58D9272F" w14:textId="77777777">
      <w:pPr>
        <w:pStyle w:val="NormalHanging12a"/>
      </w:pPr>
      <w:r w:rsidRPr="00392E4C">
        <w:t>–</w:t>
      </w:r>
      <w:r w:rsidRPr="00392E4C">
        <w:tab/>
        <w:t xml:space="preserve">Tendo em conta o relatório do Instituto para a Água, o Meio Ambiente e a Saúde da Universidade das Nações Unidas, de 20 de janeiro de 2026, intitulado «Global </w:t>
      </w:r>
      <w:r w:rsidRPr="00392E4C">
        <w:t>Water</w:t>
      </w:r>
      <w:r w:rsidRPr="00392E4C">
        <w:t xml:space="preserve"> </w:t>
      </w:r>
      <w:r w:rsidRPr="00392E4C">
        <w:t>Bankrupcy</w:t>
      </w:r>
      <w:r w:rsidRPr="00392E4C">
        <w:t xml:space="preserve"> — </w:t>
      </w:r>
      <w:r w:rsidRPr="00392E4C">
        <w:t>Living</w:t>
      </w:r>
      <w:r w:rsidRPr="00392E4C">
        <w:t xml:space="preserve"> </w:t>
      </w:r>
      <w:r w:rsidRPr="00392E4C">
        <w:t>Beyond</w:t>
      </w:r>
      <w:r w:rsidRPr="00392E4C">
        <w:t xml:space="preserve"> </w:t>
      </w:r>
      <w:r w:rsidRPr="00392E4C">
        <w:t>Our</w:t>
      </w:r>
      <w:r w:rsidRPr="00392E4C">
        <w:t xml:space="preserve"> </w:t>
      </w:r>
      <w:r w:rsidRPr="00392E4C">
        <w:t>Hydrological</w:t>
      </w:r>
      <w:r w:rsidRPr="00392E4C">
        <w:t xml:space="preserve"> </w:t>
      </w:r>
      <w:r w:rsidRPr="00392E4C">
        <w:t>Means</w:t>
      </w:r>
      <w:r w:rsidRPr="00392E4C">
        <w:t xml:space="preserve"> in </w:t>
      </w:r>
      <w:r w:rsidRPr="00392E4C">
        <w:t>the</w:t>
      </w:r>
      <w:r w:rsidRPr="00392E4C">
        <w:t xml:space="preserve"> </w:t>
      </w:r>
      <w:r w:rsidRPr="00392E4C">
        <w:t>Post</w:t>
      </w:r>
      <w:r w:rsidRPr="00392E4C">
        <w:noBreakHyphen/>
        <w:t>Crisis Era» [Falência hídrica global: viver além dos nossos recursos hídricos na era pós</w:t>
      </w:r>
      <w:r w:rsidRPr="00392E4C">
        <w:noBreakHyphen/>
        <w:t>crise],</w:t>
      </w:r>
    </w:p>
    <w:p w:rsidR="00094099" w:rsidRPr="00392E4C" w:rsidP="00094099" w14:paraId="1DC12605" w14:textId="77777777">
      <w:pPr>
        <w:pStyle w:val="NormalHanging12a"/>
      </w:pPr>
      <w:r w:rsidRPr="00392E4C">
        <w:t>–</w:t>
      </w:r>
      <w:r w:rsidRPr="00392E4C">
        <w:tab/>
        <w:t>Tendo em conta as Conclusões do Conselho, de 19 de novembro de 2018, sobre a diplomacia da água,</w:t>
      </w:r>
    </w:p>
    <w:p w:rsidR="00094099" w:rsidRPr="00392E4C" w:rsidP="00094099" w14:paraId="15DC4F88" w14:textId="77777777">
      <w:pPr>
        <w:pStyle w:val="NormalHanging12a"/>
      </w:pPr>
      <w:r w:rsidRPr="00392E4C">
        <w:t>–</w:t>
      </w:r>
      <w:r w:rsidRPr="00392E4C">
        <w:tab/>
        <w:t>Tendo em conta as Conclusões do Conselho, de 19 de novembro de 2021, sobre a água na ação externa da UE,</w:t>
      </w:r>
    </w:p>
    <w:p w:rsidR="00094099" w:rsidRPr="00392E4C" w:rsidP="00094099" w14:paraId="3FE3D359" w14:textId="77777777">
      <w:pPr>
        <w:pStyle w:val="NormalHanging12a"/>
      </w:pPr>
      <w:r w:rsidRPr="00392E4C">
        <w:t>–</w:t>
      </w:r>
      <w:r w:rsidRPr="00392E4C">
        <w:tab/>
        <w:t>Tendo em conta as diretrizes da UE, de 17 de junho de 2019, relativas à água potável e ao saneamento,</w:t>
      </w:r>
    </w:p>
    <w:p w:rsidR="00094099" w:rsidRPr="00392E4C" w:rsidP="00094099" w14:paraId="222FC6FD" w14:textId="77777777">
      <w:pPr>
        <w:pStyle w:val="NormalHanging12a"/>
      </w:pPr>
      <w:r w:rsidRPr="00392E4C">
        <w:t>–</w:t>
      </w:r>
      <w:r w:rsidRPr="00392E4C">
        <w:tab/>
        <w:t>Tendo em conta o artigo 121.º do seu Regimento,</w:t>
      </w:r>
    </w:p>
    <w:p w:rsidR="00094099" w:rsidRPr="00392E4C" w:rsidP="00094099" w14:paraId="1DF1A098" w14:textId="2CBA4C7C">
      <w:pPr>
        <w:pStyle w:val="NormalHanging12a"/>
      </w:pPr>
      <w:r w:rsidRPr="00392E4C">
        <w:t>–</w:t>
      </w:r>
      <w:r w:rsidRPr="00392E4C">
        <w:tab/>
        <w:t>Tendo em conta a sua Resolução, de 2 de abril de 2025, sobre os direitos humanos e a democracia no mundo e a política da União Europeia nesta matéria — relatório anual de</w:t>
      </w:r>
      <w:r w:rsidRPr="00392E4C" w:rsidR="00FE1DD9">
        <w:t> </w:t>
      </w:r>
      <w:r w:rsidRPr="00392E4C">
        <w:t>2024</w:t>
      </w:r>
      <w:r>
        <w:rPr>
          <w:rStyle w:val="FootnoteReference"/>
        </w:rPr>
        <w:footnoteReference w:id="4"/>
      </w:r>
      <w:r w:rsidRPr="00392E4C">
        <w:t>,</w:t>
      </w:r>
    </w:p>
    <w:p w:rsidR="00094099" w:rsidRPr="00392E4C" w:rsidP="00094099" w14:paraId="59AAA209" w14:textId="77777777">
      <w:pPr>
        <w:pStyle w:val="NormalHanging12a"/>
      </w:pPr>
      <w:r w:rsidRPr="00392E4C">
        <w:t>–</w:t>
      </w:r>
      <w:r w:rsidRPr="00392E4C">
        <w:tab/>
        <w:t>Tendo em conta a sua Resolução, de 21 de janeiro de 2026, sobre os direitos humanos e a democracia no mundo e a política da União Europeia nesta matéria — relatório anual de 2025</w:t>
      </w:r>
      <w:r>
        <w:rPr>
          <w:rStyle w:val="FootnoteReference"/>
        </w:rPr>
        <w:footnoteReference w:id="5"/>
      </w:r>
      <w:r w:rsidRPr="00392E4C">
        <w:t>,</w:t>
      </w:r>
    </w:p>
    <w:p w:rsidR="00094099" w:rsidRPr="00392E4C" w:rsidP="00094099" w14:paraId="021723AB" w14:textId="7B584341">
      <w:pPr>
        <w:pStyle w:val="NormalHanging12a"/>
      </w:pPr>
      <w:r w:rsidRPr="00392E4C">
        <w:t>–</w:t>
      </w:r>
      <w:r w:rsidRPr="00392E4C">
        <w:tab/>
        <w:t>Tendo em conta o parecer do Comité Económico e Social Europeu de 4 de dezembro de</w:t>
      </w:r>
      <w:r w:rsidRPr="00392E4C" w:rsidR="00FE1DD9">
        <w:t> </w:t>
      </w:r>
      <w:r w:rsidRPr="00392E4C">
        <w:t>2024, intitulado «Política da água: capacitar os jovens, as mulheres e as comunidades indígenas e locais»</w:t>
      </w:r>
      <w:r>
        <w:rPr>
          <w:rStyle w:val="FootnoteReference"/>
        </w:rPr>
        <w:footnoteReference w:id="6"/>
      </w:r>
      <w:r w:rsidRPr="00392E4C">
        <w:t>,</w:t>
      </w:r>
    </w:p>
    <w:p w:rsidR="00094099" w:rsidRPr="00392E4C" w:rsidP="00094099" w14:paraId="4CBFF5EB" w14:textId="77777777">
      <w:pPr>
        <w:pStyle w:val="NormalHanging12a"/>
      </w:pPr>
      <w:r w:rsidRPr="00392E4C">
        <w:t>–</w:t>
      </w:r>
      <w:r w:rsidRPr="00392E4C">
        <w:tab/>
        <w:t>Tendo em conta o relatório da Comissão dos Assuntos Externos (A10</w:t>
      </w:r>
      <w:r w:rsidRPr="00392E4C">
        <w:noBreakHyphen/>
        <w:t>0150/2026),</w:t>
      </w:r>
    </w:p>
    <w:p w:rsidR="00094099" w:rsidRPr="00392E4C" w:rsidP="00094099" w14:paraId="7B4A04F2" w14:textId="77777777">
      <w:pPr>
        <w:pStyle w:val="NormalHanging12a"/>
      </w:pPr>
      <w:r w:rsidRPr="00392E4C">
        <w:t>A.</w:t>
      </w:r>
      <w:r w:rsidRPr="00392E4C">
        <w:tab/>
        <w:t>Considerando que a água é essencial para a sobrevivência da humanidade e de toda a vida na Terra e que, por conseguinte, deve ser gerida de forma sustentável e justa como um bem público comum e global;</w:t>
      </w:r>
    </w:p>
    <w:p w:rsidR="00094099" w:rsidRPr="00392E4C" w:rsidP="00094099" w14:paraId="61ACC12E" w14:textId="013D4687">
      <w:pPr>
        <w:pStyle w:val="NormalHanging12a"/>
      </w:pPr>
      <w:r w:rsidRPr="00392E4C">
        <w:t>B.</w:t>
      </w:r>
      <w:r w:rsidRPr="00392E4C">
        <w:tab/>
        <w:t>Considerando que o acesso à água potável e ao saneamento é um direito humano e uma condição prévia para a saúde, a estabilidade, a segurança e a paz, assim como para o pleno gozo da vida e de todos os direitos humanos</w:t>
      </w:r>
      <w:r w:rsidRPr="00392E4C" w:rsidR="002467CD">
        <w:t>; considerando que</w:t>
      </w:r>
      <w:r w:rsidRPr="00392E4C">
        <w:t xml:space="preserve"> a má governação dos recursos hídricos, a escassez de água e a desigualdade de acesso podem contribuir para a instabilidade, os conflitos e as deslocações</w:t>
      </w:r>
      <w:r w:rsidRPr="00392E4C" w:rsidR="002467CD">
        <w:t>; considerando que</w:t>
      </w:r>
      <w:r w:rsidRPr="00392E4C">
        <w:t xml:space="preserve"> cerca de 2,2 mil milhões de pessoas ainda não têm acesso a água potável gerida de forma segura, 3,5 mil milhões carecem de saneamento gerido de forma segura e cerca de 4 mil milhões sofrem de grave escassez de água durante, pelo menos, um mês por ano;</w:t>
      </w:r>
    </w:p>
    <w:p w:rsidR="00094099" w:rsidRPr="00392E4C" w:rsidP="00094099" w14:paraId="3B7BF8EC" w14:textId="77777777">
      <w:pPr>
        <w:pStyle w:val="NormalHanging12a"/>
        <w:rPr>
          <w:bCs/>
          <w:iCs/>
        </w:rPr>
      </w:pPr>
      <w:r w:rsidRPr="00392E4C">
        <w:t>C.</w:t>
      </w:r>
      <w:r w:rsidRPr="00392E4C">
        <w:tab/>
        <w:t>Considerando que serviços de água e saneamento inadequados contribuem de forma considerável para a propagação de doenças infeciosas evitáveis como a cólera, a malária e doenças gastrointestinais;</w:t>
      </w:r>
    </w:p>
    <w:p w:rsidR="00094099" w:rsidRPr="00392E4C" w:rsidP="00094099" w14:paraId="1E094F33" w14:textId="26C75E9E">
      <w:pPr>
        <w:pStyle w:val="NormalHanging12a"/>
      </w:pPr>
      <w:r w:rsidRPr="00392E4C">
        <w:t>D.</w:t>
      </w:r>
      <w:r w:rsidRPr="00392E4C">
        <w:tab/>
        <w:t>Considerando que as alterações climáticas e a atividade humana insustentável representam uma ameaça importante para os recursos hídricos, agravando o stress hídrico</w:t>
      </w:r>
      <w:r w:rsidRPr="00392E4C" w:rsidR="002467CD">
        <w:t>; considerando que</w:t>
      </w:r>
      <w:r w:rsidRPr="00392E4C">
        <w:t xml:space="preserve"> uma pressão crescente sobre os recursos hídricos, causada pelo rápido crescimento das populações, pelo aumento da procura e pela utilização insustentável da água e dos solos, contribui para a escassez de água, a fome e os </w:t>
      </w:r>
      <w:r w:rsidRPr="00392E4C">
        <w:t>conflitos;</w:t>
      </w:r>
    </w:p>
    <w:p w:rsidR="00094099" w:rsidRPr="00392E4C" w:rsidP="00094099" w14:paraId="66302CB8" w14:textId="2341D6C4">
      <w:pPr>
        <w:pStyle w:val="NormalHanging12a"/>
      </w:pPr>
      <w:r w:rsidRPr="00392E4C">
        <w:t>E.</w:t>
      </w:r>
      <w:r w:rsidRPr="00392E4C">
        <w:tab/>
        <w:t>Considerando que apenas cerca de um terço da bacia hidrográfica continental se encontrava em condições normais de descarga de água durante cada um dos últimos seis anos</w:t>
      </w:r>
      <w:r w:rsidRPr="00392E4C" w:rsidR="002467CD">
        <w:t>; considerando que</w:t>
      </w:r>
      <w:r w:rsidRPr="00392E4C">
        <w:t xml:space="preserve"> 90 % de todas as catástrofes naturais estão relacionadas com a água</w:t>
      </w:r>
      <w:r w:rsidRPr="00392E4C" w:rsidR="002467CD">
        <w:t>; considerando que</w:t>
      </w:r>
      <w:r w:rsidRPr="00392E4C">
        <w:t xml:space="preserve"> os ciclos hidrológicos se estão a tornar cada vez mais erráticos e se caracterizam por oscilações violentas entre episódios de secas graves e inundações devastadoras, provocados pelas alterações climáticas</w:t>
      </w:r>
      <w:r w:rsidRPr="00392E4C" w:rsidR="002467CD">
        <w:t>; considerando que</w:t>
      </w:r>
      <w:r w:rsidRPr="00392E4C">
        <w:t xml:space="preserve"> todas as regiões glaciares do mundo registaram perdas de gelo nos últimos anos</w:t>
      </w:r>
      <w:r w:rsidRPr="00392E4C" w:rsidR="002467CD">
        <w:t>; considerando que</w:t>
      </w:r>
      <w:r w:rsidRPr="00392E4C">
        <w:t xml:space="preserve"> as atividades humanas são responsáveis por uma parte significativa da poluição dos recursos de água doce em todo o mundo;</w:t>
      </w:r>
    </w:p>
    <w:p w:rsidR="00094099" w:rsidRPr="00392E4C" w:rsidP="00094099" w14:paraId="61307CD6" w14:textId="2FD8E596">
      <w:pPr>
        <w:pStyle w:val="NormalHanging12a"/>
        <w:rPr>
          <w:bCs/>
          <w:iCs/>
        </w:rPr>
      </w:pPr>
      <w:r w:rsidRPr="00392E4C">
        <w:t>F.</w:t>
      </w:r>
      <w:r w:rsidRPr="00392E4C">
        <w:tab/>
        <w:t>Considerando que a quantidade e a qualidade da água são igualmente importantes</w:t>
      </w:r>
      <w:r w:rsidRPr="00392E4C" w:rsidR="002467CD">
        <w:t>; considerando que</w:t>
      </w:r>
      <w:r w:rsidRPr="00392E4C">
        <w:t xml:space="preserve"> a gestão adequada de ambas cria oportunidades económicas e sociais;</w:t>
      </w:r>
    </w:p>
    <w:p w:rsidR="00094099" w:rsidRPr="00392E4C" w:rsidP="00094099" w14:paraId="1C321076" w14:textId="77777777">
      <w:pPr>
        <w:pStyle w:val="NormalHanging12a"/>
      </w:pPr>
      <w:r w:rsidRPr="00392E4C">
        <w:t>G.</w:t>
      </w:r>
      <w:r w:rsidRPr="00392E4C">
        <w:tab/>
        <w:t xml:space="preserve">Considerando que 60 % dos fluxos de água doce no mundo são aquíferos, lagos e bacias hidrográficas transfronteiriços partilhados por dois ou mais países; </w:t>
      </w:r>
    </w:p>
    <w:p w:rsidR="00094099" w:rsidRPr="00392E4C" w:rsidP="00094099" w14:paraId="47AE35DD" w14:textId="3FB042FD">
      <w:pPr>
        <w:pStyle w:val="NormalHanging12a"/>
      </w:pPr>
      <w:r w:rsidRPr="00392E4C">
        <w:t>H.</w:t>
      </w:r>
      <w:r w:rsidRPr="00392E4C">
        <w:tab/>
        <w:t xml:space="preserve">Considerando que, apesar dos progressos realizados, a </w:t>
      </w:r>
      <w:r w:rsidRPr="00392E4C">
        <w:t>cooperação transfronteiras</w:t>
      </w:r>
      <w:r w:rsidRPr="00392E4C">
        <w:t xml:space="preserve"> no domínio da água continua a ser insuficiente a nível mundial</w:t>
      </w:r>
      <w:r w:rsidRPr="00392E4C" w:rsidR="002467CD">
        <w:t>; considerando que</w:t>
      </w:r>
      <w:r w:rsidRPr="00392E4C">
        <w:t>, dos 153 Estados membros das Nações Unidas que partilham águas transfronteiriças, apenas 43 têm acordos operacionais em vigor</w:t>
      </w:r>
      <w:r w:rsidRPr="00392E4C" w:rsidR="002467CD">
        <w:t>; considerando que</w:t>
      </w:r>
      <w:r w:rsidRPr="00392E4C">
        <w:t xml:space="preserve"> mais de 20 países não dispõem de tais acordos, tendo</w:t>
      </w:r>
      <w:r w:rsidRPr="00392E4C">
        <w:noBreakHyphen/>
        <w:t xml:space="preserve">se registado progressos particularmente limitados na Ásia e na América Latina; </w:t>
      </w:r>
    </w:p>
    <w:p w:rsidR="00094099" w:rsidRPr="00392E4C" w:rsidP="00094099" w14:paraId="01554591" w14:textId="77777777">
      <w:pPr>
        <w:pStyle w:val="NormalHanging12a"/>
        <w:rPr>
          <w:bCs/>
          <w:iCs/>
        </w:rPr>
      </w:pPr>
      <w:r w:rsidRPr="00392E4C">
        <w:t>I.</w:t>
      </w:r>
      <w:r w:rsidRPr="00392E4C">
        <w:tab/>
        <w:t>Considerando que uma governação sólida no domínio da água, a transparência e o controlo no setor da água e do saneamento garantem que a utilização dos recursos financeiros sirva o interesse público e apoie o desenvolvimento sustentável;</w:t>
      </w:r>
    </w:p>
    <w:p w:rsidR="00094099" w:rsidRPr="00392E4C" w:rsidP="00094099" w14:paraId="3F5A7CD4" w14:textId="6806A791">
      <w:pPr>
        <w:pStyle w:val="NormalHanging12a"/>
      </w:pPr>
      <w:r w:rsidRPr="00392E4C">
        <w:t>J.</w:t>
      </w:r>
      <w:r w:rsidRPr="00392E4C">
        <w:tab/>
        <w:t>Considerando que a pressão sobre os recursos hídricos e as ações unilaterais por parte de alguns países em águas transfronteiriças, como a poluição ou a sobre</w:t>
      </w:r>
      <w:r w:rsidRPr="00392E4C">
        <w:noBreakHyphen/>
        <w:t>exploração, ou ainda a construção de infraestruturas, podem ter implicações para todos os Estados ribeirinhos dessas águas</w:t>
      </w:r>
      <w:r w:rsidRPr="00392E4C" w:rsidR="002467CD">
        <w:t>; considerando que</w:t>
      </w:r>
      <w:r w:rsidRPr="00392E4C">
        <w:t xml:space="preserve"> os litígios relativos ao acesso à água alimentam e podem exacerbar conflitos mais vastos, assim como o colapso económico, com graves consequências para a estabilidade regional e a segurança humana;</w:t>
      </w:r>
    </w:p>
    <w:p w:rsidR="00094099" w:rsidRPr="00392E4C" w:rsidP="00094099" w14:paraId="0D73B0DA" w14:textId="3234733A">
      <w:pPr>
        <w:pStyle w:val="NormalHanging12a"/>
      </w:pPr>
      <w:r w:rsidRPr="00392E4C">
        <w:t>K.</w:t>
      </w:r>
      <w:r w:rsidRPr="00392E4C">
        <w:tab/>
        <w:t>Considerando que, nos últimos anos, a água se tem vindo a tornar mais uma fonte de conflito do que de cooperação</w:t>
      </w:r>
      <w:r w:rsidRPr="00392E4C" w:rsidR="002467CD">
        <w:t>; considerando que</w:t>
      </w:r>
      <w:r w:rsidRPr="00392E4C">
        <w:t>, apesar dos progressos no fornecimento de água potável e saneamento ao longo da última década, milhares de milhões de pessoas em todo o mundo ainda não têm acesso a água, saneamento e serviços de higiene essenciais, o que as coloca em risco de doença e de exclusão social mais profunda</w:t>
      </w:r>
      <w:r w:rsidRPr="00392E4C" w:rsidR="002467CD">
        <w:t>; considerando que</w:t>
      </w:r>
      <w:r w:rsidRPr="00392E4C">
        <w:t xml:space="preserve"> determinados grupos, nomeadamente as mulheres, as crianças, os refugiados, os povos indígenas, as comunidades desfavorecidas, as pessoas com deficiência e outros grupos, são frequentemente ignorados ou sofrem discriminação no planeamento e desenvolvimento de infraestruturas de água e saneamento</w:t>
      </w:r>
      <w:r w:rsidRPr="00392E4C" w:rsidR="002467CD">
        <w:t>; considerando que</w:t>
      </w:r>
      <w:r w:rsidRPr="00392E4C">
        <w:t xml:space="preserve"> a degradação ambiental e os riscos relacionados com o clima tendem a afetar de forma desproporcionada as comunidades pobres e marginalizadas</w:t>
      </w:r>
      <w:r w:rsidRPr="00392E4C" w:rsidR="002467CD">
        <w:t>; considerando que</w:t>
      </w:r>
      <w:r w:rsidRPr="00392E4C">
        <w:t xml:space="preserve"> estas condições são cada vez mais exploradas por redes criminosas, organizações terroristas e milícias locais para reforçar a sua influência e fazer avançar as suas agendas;</w:t>
      </w:r>
    </w:p>
    <w:p w:rsidR="00094099" w:rsidRPr="00392E4C" w:rsidP="00094099" w14:paraId="2A54665A" w14:textId="21354373">
      <w:pPr>
        <w:pStyle w:val="NormalHanging12a"/>
      </w:pPr>
      <w:r w:rsidRPr="00392E4C">
        <w:t>L.</w:t>
      </w:r>
      <w:r w:rsidRPr="00392E4C">
        <w:tab/>
        <w:t>Considerando que só o acesso equitativo e sustentável aos recursos hídricos pode garantir previsibilidade a longo prazo para todos</w:t>
      </w:r>
      <w:r w:rsidRPr="00392E4C" w:rsidR="002467CD">
        <w:t>; considerando que</w:t>
      </w:r>
      <w:r w:rsidRPr="00392E4C">
        <w:t xml:space="preserve"> a cooperação estratégica transnacional em matéria de recursos hídricos permite gerir de forma sustentável as atividades humanas e preparar</w:t>
      </w:r>
      <w:r w:rsidRPr="00392E4C">
        <w:noBreakHyphen/>
        <w:t xml:space="preserve">se em conjunto para ciclos hidrológicos irregulares, em benefício de todos os países vizinhos;  </w:t>
      </w:r>
    </w:p>
    <w:p w:rsidR="00094099" w:rsidRPr="00392E4C" w:rsidP="00094099" w14:paraId="02E7454B" w14:textId="4CEC0CEB">
      <w:pPr>
        <w:pStyle w:val="NormalHanging12a"/>
      </w:pPr>
      <w:r w:rsidRPr="00392E4C">
        <w:t>M.</w:t>
      </w:r>
      <w:r w:rsidRPr="00392E4C">
        <w:tab/>
        <w:t>Considerando que o Pacto para o Mediterrâneo constitui um quadro para o reforço da cooperação regional</w:t>
      </w:r>
      <w:r w:rsidRPr="00392E4C" w:rsidR="002467CD">
        <w:t>; considerando que</w:t>
      </w:r>
      <w:r w:rsidRPr="00392E4C">
        <w:t xml:space="preserve"> a diplomacia da água deve integrar as suas ações prioritárias, dada a pressão crescente sobre os recursos hídricos partilhados em todo o Mediterrâneo, nomeadamente em regiões como o Mediterrâneo Oriental e o Norte de África</w:t>
      </w:r>
      <w:r w:rsidRPr="00392E4C" w:rsidR="002467CD">
        <w:t>; considerando que</w:t>
      </w:r>
      <w:r w:rsidRPr="00392E4C">
        <w:t xml:space="preserve"> a gestão cooperativa dos recursos hídricos, os projetos conjuntos de infraestruturas e o diálogo sobre os recursos transfronteiriços devem ser reconhecidos como instrumentos importantes para a prevenção de conflitos, a resiliência climática e o desenvolvimento sustentável;</w:t>
      </w:r>
    </w:p>
    <w:p w:rsidR="00094099" w:rsidRPr="00392E4C" w:rsidP="00094099" w14:paraId="7D5A035E" w14:textId="77777777">
      <w:pPr>
        <w:pStyle w:val="NormalHanging12a"/>
      </w:pPr>
      <w:r w:rsidRPr="00392E4C">
        <w:t>N.</w:t>
      </w:r>
      <w:r w:rsidRPr="00392E4C">
        <w:tab/>
        <w:t>Considerando que os conflitos armados e a ocupação perturbam significativamente a acessibilidade da água e a cooperação transnacional no domínio da água;</w:t>
      </w:r>
    </w:p>
    <w:p w:rsidR="00094099" w:rsidRPr="00392E4C" w:rsidP="00094099" w14:paraId="0140250A" w14:textId="77777777">
      <w:pPr>
        <w:pStyle w:val="NormalHanging12a"/>
      </w:pPr>
      <w:r w:rsidRPr="00392E4C">
        <w:t>O.</w:t>
      </w:r>
      <w:r w:rsidRPr="00392E4C">
        <w:tab/>
        <w:t>Considerando que os compromissos políticos a nível mundial em matéria de gestão sustentável dos recursos hídricos não foram acompanhados do financiamento ou da ação necessários no terreno;</w:t>
      </w:r>
    </w:p>
    <w:p w:rsidR="00094099" w:rsidRPr="00392E4C" w:rsidP="00094099" w14:paraId="14D9ACCE" w14:textId="16B86605">
      <w:pPr>
        <w:pStyle w:val="NormalHanging12a"/>
      </w:pPr>
      <w:r w:rsidRPr="00392E4C">
        <w:t>P.</w:t>
      </w:r>
      <w:r w:rsidRPr="00392E4C">
        <w:tab/>
        <w:t>Considerando que o direito internacional humanitário, especificamente os Protocolos Adicionais de 1977 às Convenções de Genebra, prevê proteções explícitas para barragens e outras «instalações que contenham forças perigosas»</w:t>
      </w:r>
      <w:r w:rsidRPr="00392E4C" w:rsidR="002467CD">
        <w:t>; considerando que</w:t>
      </w:r>
      <w:r w:rsidRPr="00392E4C">
        <w:t xml:space="preserve"> a instrumentalização da água, nomeadamente o ataque a sistemas e instalações de abastecimento de água ou os danos ambientais daí resultantes, constitui uma grave violação dos direitos humanos e pode constituir crime contra a humanidade e </w:t>
      </w:r>
      <w:r w:rsidRPr="00392E4C">
        <w:t>ecocídio</w:t>
      </w:r>
      <w:r w:rsidRPr="00392E4C">
        <w:t>;</w:t>
      </w:r>
    </w:p>
    <w:p w:rsidR="00094099" w:rsidRPr="00392E4C" w:rsidP="00094099" w14:paraId="7DC708D7" w14:textId="2BFD7A31">
      <w:pPr>
        <w:pStyle w:val="NormalHanging12a"/>
      </w:pPr>
      <w:r w:rsidRPr="00392E4C">
        <w:t>Q.</w:t>
      </w:r>
      <w:r w:rsidRPr="00392E4C">
        <w:tab/>
        <w:t xml:space="preserve">Considerando que a guerra contemporânea implica cada vez mais o ataque deliberado e a instrumentalização do abastecimento de água e das infraestruturas hídricas, como demonstrado mais recentemente pela destruição devastadora da barragem de </w:t>
      </w:r>
      <w:r w:rsidRPr="00392E4C">
        <w:t>Kakhovka</w:t>
      </w:r>
      <w:r w:rsidRPr="00392E4C">
        <w:t xml:space="preserve"> na Ucrânia pela Rússia em 2023</w:t>
      </w:r>
      <w:r w:rsidRPr="00392E4C" w:rsidR="002467CD">
        <w:t>; considerando que</w:t>
      </w:r>
      <w:r w:rsidRPr="00392E4C">
        <w:t xml:space="preserve"> a destruição da barragem de </w:t>
      </w:r>
      <w:r w:rsidRPr="00392E4C">
        <w:t>Kakhovka</w:t>
      </w:r>
      <w:r w:rsidRPr="00392E4C">
        <w:t xml:space="preserve"> causou graves danos ambientais, nomeadamente inundações, poluição dos recursos de água doce, perda de biodiversidade e danos a longo prazo nos ecossistemas, assim como mortes e deslocações em massa da população civil, privando</w:t>
      </w:r>
      <w:r w:rsidRPr="00392E4C">
        <w:noBreakHyphen/>
        <w:t>a do acesso a água potável e a meios de subsistência</w:t>
      </w:r>
      <w:r w:rsidRPr="00392E4C" w:rsidR="002467CD">
        <w:t>; considerando que</w:t>
      </w:r>
      <w:r w:rsidRPr="00392E4C">
        <w:t xml:space="preserve"> a destruição da barragem criou sérios riscos para a segurança nuclear na central nuclear vizinha de </w:t>
      </w:r>
      <w:r w:rsidRPr="00392E4C">
        <w:t>Zaporíjia</w:t>
      </w:r>
      <w:r w:rsidRPr="00392E4C" w:rsidR="002467CD">
        <w:t>; considerando que</w:t>
      </w:r>
      <w:r w:rsidRPr="00392E4C">
        <w:t>, em resultado da guerra de agressão travada pela Rússia contra a Ucrânia, cerca de 1,7 milhões de crianças na Ucrânia carecem atualmente de acesso fiável a água potável;</w:t>
      </w:r>
    </w:p>
    <w:p w:rsidR="00094099" w:rsidRPr="00392E4C" w:rsidP="00094099" w14:paraId="57AB19AD" w14:textId="59D783B1">
      <w:pPr>
        <w:pStyle w:val="NormalHanging12a"/>
      </w:pPr>
      <w:r w:rsidRPr="00392E4C">
        <w:t>R.</w:t>
      </w:r>
      <w:r w:rsidRPr="00392E4C">
        <w:tab/>
        <w:t>Considerando que o Parlamento condenou com a maior veemência o facto de a Rússia utilizar deliberadamente a destruição de infraestruturas hídricas, incluindo barragens, como arma de guerra</w:t>
      </w:r>
      <w:r w:rsidRPr="00392E4C" w:rsidR="002467CD">
        <w:t>; considerando que</w:t>
      </w:r>
      <w:r w:rsidRPr="00392E4C">
        <w:t xml:space="preserve"> a destruição causou graves danos ambientais, comprometeu a segurança dos recursos hídricos e ameaçou as populações civis</w:t>
      </w:r>
      <w:r w:rsidRPr="00392E4C" w:rsidR="002467CD">
        <w:t>; considerando que</w:t>
      </w:r>
      <w:r w:rsidRPr="00392E4C">
        <w:t xml:space="preserve"> tais atos constituem violações do direito internacional e exigem a plena responsabilização dos culpados</w:t>
      </w:r>
      <w:r w:rsidRPr="00392E4C" w:rsidR="002467CD">
        <w:t>; considerando que</w:t>
      </w:r>
      <w:r w:rsidRPr="00392E4C">
        <w:t xml:space="preserve"> a Comissão e os Estados</w:t>
      </w:r>
      <w:r w:rsidRPr="00392E4C">
        <w:noBreakHyphen/>
        <w:t>Membros da UE continuam a prestar assistência à Ucrânia na investigação dos responsáveis, para que estes possam ser julgados por crimes de guerra e crimes contra a humanidade;</w:t>
      </w:r>
    </w:p>
    <w:p w:rsidR="00094099" w:rsidRPr="00392E4C" w:rsidP="00094099" w14:paraId="5A04E3ED" w14:textId="331CD6CB">
      <w:pPr>
        <w:pStyle w:val="NormalHanging12a"/>
      </w:pPr>
      <w:r w:rsidRPr="00392E4C">
        <w:t>S.</w:t>
      </w:r>
      <w:r w:rsidRPr="00392E4C">
        <w:tab/>
        <w:t>Considerando que a UE apoia os mecanismos conjuntos de gestão dos recursos hídricos entre Israel e a Palestina, inclusivamente o relançamento de quadros existentes, como o Comité Conjunto da Água, com vista a promover uma distribuição equitativa da água, uma maior transparência e o desenvolvimento eficaz de infraestruturas</w:t>
      </w:r>
      <w:r w:rsidRPr="00392E4C" w:rsidR="002467CD">
        <w:t>; considerando que</w:t>
      </w:r>
      <w:r w:rsidRPr="00392E4C">
        <w:t xml:space="preserve"> o acesso desigual aos recursos hídricos partilhados continua a ser um fator estrutural de instabilidade no Médio Oriente, especialmente na bacia do rio Jordão, onde os desequilíbrios históricos e atuais na distribuição e no controlo agravam as disparidades socioeconómicas</w:t>
      </w:r>
      <w:r w:rsidRPr="00392E4C" w:rsidR="002467CD">
        <w:t>; considerando que</w:t>
      </w:r>
      <w:r w:rsidRPr="00392E4C">
        <w:t>, ao abrigo das disposições atuais, as autoridades israelitas controlam, na prática, a maioria dos recursos hídricos na Cisjordânia e que daí provêm;</w:t>
      </w:r>
    </w:p>
    <w:p w:rsidR="00094099" w:rsidRPr="00392E4C" w:rsidP="00094099" w14:paraId="08A8F263" w14:textId="7CC0F764">
      <w:pPr>
        <w:pStyle w:val="NormalHanging12a"/>
      </w:pPr>
      <w:r w:rsidRPr="00392E4C">
        <w:t>T.</w:t>
      </w:r>
      <w:r w:rsidRPr="00392E4C">
        <w:tab/>
        <w:t>Considerando que, em resultado do conflito entre Israel e o Hamas, se verificou uma destruição generalizada das infraestruturas hídricas, de saneamento e de higiene na Faixa de Gaza, nomeadamente estações de dessalinização, instalações de tratamento de águas residuais e redes de distribuição, o que deixa grande parte da população sem acesso fiável a água potável e agrava as necessidades humanitárias</w:t>
      </w:r>
      <w:r w:rsidRPr="00392E4C" w:rsidR="002467CD">
        <w:t>; considerando que</w:t>
      </w:r>
      <w:r w:rsidRPr="00392E4C">
        <w:t xml:space="preserve"> o Alto</w:t>
      </w:r>
      <w:r w:rsidRPr="00392E4C">
        <w:noBreakHyphen/>
        <w:t>Comissariado das Nações Unidas para os Direitos Humanos informou, em julho de 2025, que 89 % das infraestruturas hídricas e de saneamento de Gaza tinham sido danificadas ou destruídas pelas forças israelitas, deixando mais de 90 % dos agregados familiares sem acesso seguro à água</w:t>
      </w:r>
      <w:r w:rsidRPr="00392E4C" w:rsidR="002467CD">
        <w:t>; considerando que</w:t>
      </w:r>
      <w:r w:rsidRPr="00392E4C">
        <w:t xml:space="preserve"> a entrega rápida e sem obstáculos de materiais, combustível e assistência técnica é necessária para a reparação e reconstrução de infraestruturas hídricas essenciais, designadamente condutas, unidades de dessalinização e estações de tratamento de águas residuais;</w:t>
      </w:r>
    </w:p>
    <w:p w:rsidR="00094099" w:rsidRPr="00392E4C" w:rsidP="00094099" w14:paraId="54677A09" w14:textId="11DFBFC7">
      <w:pPr>
        <w:pStyle w:val="NormalHanging12a"/>
      </w:pPr>
      <w:r w:rsidRPr="00392E4C">
        <w:t>U.</w:t>
      </w:r>
      <w:r w:rsidRPr="00392E4C">
        <w:tab/>
        <w:t xml:space="preserve">Considerando que os impactos transfronteiriços dos projetos de barragens de grande escala levados a cabo pela Turquia no âmbito do Projeto da Grande Anatólia (GAP), incluindo a barragem de </w:t>
      </w:r>
      <w:r w:rsidRPr="00392E4C">
        <w:t>Ilısu</w:t>
      </w:r>
      <w:r w:rsidRPr="00392E4C">
        <w:t>, afetaram os caudais a jusante dos rios Tigre e Eufrates e contribuíram para a escassez de água, perdas agrícolas e degradação ambiental no Iraque e na Síria</w:t>
      </w:r>
      <w:r w:rsidRPr="00392E4C" w:rsidR="002467CD">
        <w:t>; considerando que</w:t>
      </w:r>
      <w:r w:rsidRPr="00392E4C">
        <w:t xml:space="preserve"> as partes interessadas turcas, iraquianas e sírias necessitam de um diálogo estruturado e inclusivo a nível de toda a bacia sobre a gestão do sistema fluvial Tigre</w:t>
      </w:r>
      <w:r w:rsidRPr="00392E4C">
        <w:noBreakHyphen/>
        <w:t>Eufrates, com base nos princípios do direito internacional da água, contemplando a utilização equitativa e razoável e a obrigação de não causar danos significativos;</w:t>
      </w:r>
    </w:p>
    <w:p w:rsidR="00094099" w:rsidRPr="00392E4C" w:rsidP="00094099" w14:paraId="20C17C58" w14:textId="7516F173">
      <w:pPr>
        <w:pStyle w:val="NormalHanging12a"/>
      </w:pPr>
      <w:r w:rsidRPr="00392E4C">
        <w:t>V.</w:t>
      </w:r>
      <w:r w:rsidRPr="00392E4C">
        <w:tab/>
        <w:t xml:space="preserve">Considerando que as tensões entre o Egito e a Etiópia persistem, na sequência da conclusão e inauguração da Grande Barragem do Renascimento Etíope (GERD) </w:t>
      </w:r>
      <w:r w:rsidRPr="00392E4C" w:rsidR="002467CD">
        <w:t>em </w:t>
      </w:r>
      <w:r w:rsidRPr="00392E4C">
        <w:t xml:space="preserve">2025, o que poderá afetar significativamente o equilíbrio </w:t>
      </w:r>
      <w:r w:rsidRPr="00392E4C">
        <w:t>hidropolítico</w:t>
      </w:r>
      <w:r w:rsidRPr="00392E4C">
        <w:t xml:space="preserve"> na Bacia do Nilo</w:t>
      </w:r>
      <w:r w:rsidRPr="00392E4C" w:rsidR="002467CD">
        <w:t>; considerando que</w:t>
      </w:r>
      <w:r w:rsidRPr="00392E4C">
        <w:t xml:space="preserve"> a Grande Barragem do Renascimento Etíope foi, em repetidas ocasiões, objeto de debate no Conselho de Segurança das Nações Unidas</w:t>
      </w:r>
      <w:r w:rsidRPr="00392E4C" w:rsidR="002467CD">
        <w:t>; considerando que</w:t>
      </w:r>
      <w:r w:rsidRPr="00392E4C">
        <w:t xml:space="preserve"> todas as partes envolvidas devem abster</w:t>
      </w:r>
      <w:r w:rsidRPr="00392E4C">
        <w:noBreakHyphen/>
        <w:t>se de tomar medidas unilaterais que possam agravar as tensões e devem dar prioridade a medidas de reforço da confiança, nomeadamente a transparência na gestão das barragens e a cooperação técnica em matéria de previsão do caudal;</w:t>
      </w:r>
    </w:p>
    <w:p w:rsidR="00094099" w:rsidRPr="00392E4C" w:rsidP="00094099" w14:paraId="39CC03FA" w14:textId="0C39B787">
      <w:pPr>
        <w:pStyle w:val="NormalHanging12a"/>
      </w:pPr>
      <w:r w:rsidRPr="00392E4C">
        <w:t>W.</w:t>
      </w:r>
      <w:r w:rsidRPr="00392E4C">
        <w:tab/>
        <w:t>Considerando que o rio Aras é vital para a Arménia e o Azerbaijão em termos de agricultura, desenvolvimento económico e abastecimento de água potável, embora a qualidade e a quantidade da água do rio Aras se encontrem sob pressão</w:t>
      </w:r>
      <w:r w:rsidRPr="00392E4C" w:rsidR="002467CD">
        <w:t>; considerando que</w:t>
      </w:r>
      <w:r w:rsidRPr="00392E4C">
        <w:t xml:space="preserve"> um futuro acordo entre a Arménia e o Azerbaijão relativo ao seu curso de água transfronteiriço comum, incluindo mecanismos de partilha de dados, monitorização conjunta, segurança das barragens e repartição equitativa e sustentável da água para uso agrícola e civil, permitiria que o rio se tornasse um recurso partilhado, em vez de uma </w:t>
      </w:r>
      <w:r w:rsidRPr="00392E4C">
        <w:t>fonte de instabilidade;</w:t>
      </w:r>
    </w:p>
    <w:p w:rsidR="00094099" w:rsidRPr="00392E4C" w:rsidP="00094099" w14:paraId="62C156A6" w14:textId="77777777">
      <w:pPr>
        <w:pStyle w:val="NormalHanging12a"/>
      </w:pPr>
      <w:r w:rsidRPr="00392E4C">
        <w:t>X.</w:t>
      </w:r>
      <w:r w:rsidRPr="00392E4C">
        <w:tab/>
        <w:t>Considerando que a poluição e os resíduos transportados pelos rios e pelas correntes marítimas podem acumular</w:t>
      </w:r>
      <w:r w:rsidRPr="00392E4C">
        <w:noBreakHyphen/>
        <w:t>se nas costas de outros Estados, causando danos ambientais, económicos e sociais, nomeadamente ao turismo e às pescas;</w:t>
      </w:r>
    </w:p>
    <w:p w:rsidR="00094099" w:rsidRPr="00392E4C" w:rsidP="00094099" w14:paraId="2E260D6D" w14:textId="1D426C12">
      <w:pPr>
        <w:pStyle w:val="NormalHanging12a"/>
      </w:pPr>
      <w:r w:rsidRPr="00392E4C">
        <w:t xml:space="preserve">Y. </w:t>
      </w:r>
      <w:r w:rsidRPr="00392E4C">
        <w:tab/>
        <w:t>Considerando a escassez de água e a degradação dos recursos hídricos podem também conduzir a deslocações em massa da população e à migração forçada, agravando a insegurança alimentar, a pobreza e a instabilidade nas regiões mais vulneráveis</w:t>
      </w:r>
      <w:r w:rsidRPr="00392E4C" w:rsidR="002467CD">
        <w:t>; considerando que</w:t>
      </w:r>
      <w:r w:rsidRPr="00392E4C">
        <w:t xml:space="preserve"> um dos meios para combater as causas profundas da migração consiste em melhorar a gestão dos recursos hídricos em países terceiros;</w:t>
      </w:r>
    </w:p>
    <w:p w:rsidR="00094099" w:rsidRPr="00392E4C" w:rsidP="00094099" w14:paraId="04DDD063" w14:textId="1838A098">
      <w:pPr>
        <w:pStyle w:val="NormalHanging12a"/>
      </w:pPr>
      <w:r w:rsidRPr="00392E4C">
        <w:t>Z.</w:t>
      </w:r>
      <w:r w:rsidRPr="00392E4C">
        <w:tab/>
        <w:t>Considerando que os intervenientes armados, estatais e não estatais, em zonas afetadas por conflitos utilizam as populações vulneráveis como meio de ganhar legitimidade através do controlo dos recursos hídricos</w:t>
      </w:r>
      <w:r w:rsidRPr="00392E4C" w:rsidR="002467CD">
        <w:t>; considerando que</w:t>
      </w:r>
      <w:r w:rsidRPr="00392E4C">
        <w:t xml:space="preserve"> o acesso às infraestruturas hídricas e o controlo destas são cada vez mais utilizados como instrumentos de pressão política, coação ou guerra;</w:t>
      </w:r>
    </w:p>
    <w:p w:rsidR="00094099" w:rsidRPr="00392E4C" w:rsidP="00094099" w14:paraId="4C902BDF" w14:textId="4F75A795">
      <w:pPr>
        <w:pStyle w:val="NormalHanging12a"/>
      </w:pPr>
      <w:r w:rsidRPr="00392E4C">
        <w:t>AA.</w:t>
      </w:r>
      <w:r w:rsidRPr="00392E4C">
        <w:tab/>
        <w:t xml:space="preserve">Considerando que as </w:t>
      </w:r>
      <w:r w:rsidRPr="00392E4C">
        <w:t>parcerias público</w:t>
      </w:r>
      <w:r w:rsidRPr="00392E4C">
        <w:noBreakHyphen/>
        <w:t>privadas devem promover um acesso melhor e mais económico ao saneamento e à higiene para todos, em particular no que se refere à criação, manutenção e gestão eficientes e sustentáveis das infraestruturas hídricas</w:t>
      </w:r>
      <w:r w:rsidRPr="00392E4C" w:rsidR="002467CD">
        <w:t>; considerando que</w:t>
      </w:r>
      <w:r w:rsidRPr="00392E4C">
        <w:t xml:space="preserve"> as políticas e os investimentos públicos devem encorajar e incentivar o setor privado a investir em tecnologias e práticas de gestão que promovam uma atividade económica sustentável;</w:t>
      </w:r>
    </w:p>
    <w:p w:rsidR="00094099" w:rsidRPr="00392E4C" w:rsidP="00094099" w14:paraId="51EFF5E8" w14:textId="77777777">
      <w:pPr>
        <w:pStyle w:val="NormalHanging12a"/>
      </w:pPr>
      <w:r w:rsidRPr="00392E4C">
        <w:t>1.</w:t>
      </w:r>
      <w:r w:rsidRPr="00392E4C">
        <w:tab/>
        <w:t>Recomenda ao Conselho, à Comissão e à vice</w:t>
      </w:r>
      <w:r w:rsidRPr="00392E4C">
        <w:noBreakHyphen/>
        <w:t>presidente da Comissão/alta representante da União para os Negócios Estrangeiros e a Política de Segurança que:</w:t>
      </w:r>
    </w:p>
    <w:p w:rsidR="00094099" w:rsidRPr="00392E4C" w:rsidP="00094099" w14:paraId="7DB9B4B2" w14:textId="77777777">
      <w:pPr>
        <w:pStyle w:val="NormalHanging12a"/>
        <w:ind w:left="1134"/>
      </w:pPr>
      <w:r w:rsidRPr="00392E4C">
        <w:t>a)</w:t>
      </w:r>
      <w:r w:rsidRPr="00392E4C">
        <w:tab/>
        <w:t>Reforcem o papel da governação transfronteiriça dos recursos hídricos na ação externa da UE, de modo que funcione como um instrumento importante de prevenção e resolução de conflitos, assim como de reforço da confiança a nível regional, nacional e internacional, sobretudo em zonas vulneráveis aos efeitos das alterações climáticas e onde a água já é escassa, particularmente em regiões de importância estratégica; reconheçam explicitamente o stress hídrico como um fator importante nos riscos de segurança, geopolíticos e humanitários e integrem plenamente a prevenção de conflitos relacionados com os recursos hídricos na política externa, de segurança e de desenvolvimento da UE;</w:t>
      </w:r>
    </w:p>
    <w:p w:rsidR="00094099" w:rsidRPr="00392E4C" w:rsidP="00094099" w14:paraId="585614B0" w14:textId="77777777">
      <w:pPr>
        <w:pStyle w:val="NormalHanging12a"/>
        <w:ind w:left="1134"/>
      </w:pPr>
      <w:r w:rsidRPr="00392E4C">
        <w:t>b)</w:t>
      </w:r>
      <w:r w:rsidRPr="00392E4C">
        <w:tab/>
        <w:t>Abordem a falta de acordos operacionais entre os governos que partilham bacias hidrográficas transfronteiriças e disponibilizem toda a experiência e assistência técnica e financeira da UE necessárias para apoiar os governos na criação e aplicação de tais acordos, bem como as organizações das bacias hidrográficas, no pleno respeito da soberania dos países parceiros e da sua responsabilidade primária pela gestão dos recursos hídricos, visando reduzir o risco de tensões ou conflitos, promover a cooperação e reforçar a gestão sustentável dos recursos naturais; abordem sistematicamente assuntos relacionados com a governação transnacional da água nos seus diálogos bilaterais com os países parceiros;</w:t>
      </w:r>
    </w:p>
    <w:p w:rsidR="00094099" w:rsidRPr="00392E4C" w:rsidP="00094099" w14:paraId="79647FDF" w14:textId="77777777">
      <w:pPr>
        <w:pStyle w:val="NormalHanging12a"/>
        <w:ind w:left="1134"/>
      </w:pPr>
      <w:r w:rsidRPr="00392E4C">
        <w:t>c)</w:t>
      </w:r>
      <w:r w:rsidRPr="00392E4C">
        <w:tab/>
        <w:t xml:space="preserve">Apoiem os esforços dos países parceiros no sentido de criar um quadro jurídico e políticas propícias à gestão colaborativa dos recursos hídricos e reforcem o papel da governação transnacional da água na ação externa e na diplomacia da UE; </w:t>
      </w:r>
      <w:r w:rsidRPr="00392E4C">
        <w:t xml:space="preserve">dotem, para o efeito, o Serviço Europeu para a Ação Externa (SEAE) e as delegações da UE em todo o mundo dos recursos financeiros e humanos adequados para apoiar a gestão transfronteiriça dos recursos hídricos no terreno, nos países parceiros e entre estes, e promover o desenvolvimento e a aplicação da diplomacia azul; </w:t>
      </w:r>
    </w:p>
    <w:p w:rsidR="00094099" w:rsidRPr="00392E4C" w:rsidP="00094099" w14:paraId="1F8A8959" w14:textId="77777777">
      <w:pPr>
        <w:pStyle w:val="NormalHanging12a"/>
        <w:ind w:left="1134"/>
      </w:pPr>
      <w:r w:rsidRPr="00392E4C">
        <w:t>d)</w:t>
      </w:r>
      <w:r w:rsidRPr="00392E4C">
        <w:tab/>
        <w:t xml:space="preserve">Garantam, no próximo quadro financeiro plurianual, um financiamento adequado e eficiente da gestão transfronteiriça dos recursos hídricos da UE no âmbito da ação externa da UE, nomeadamente através dos instrumentos Europa Global e Global Gateway; reforcem a adaptação dos investimentos externos da UE no acesso à água e ao saneamento a contextos instáveis e afetados por conflitos, com o objetivo de apoiar a paz e a resiliência, nomeadamente através de um aumento do financiamento destinado ao acesso global a uma gestão dos recursos hídricos e a infraestruturas de saneamento resilientes às alterações climáticas e sustentáveis; assegurem que os projetos de infraestruturas e energia financiados pelos instrumentos de cooperação para o desenvolvimento e de política externa da UE, incluindo o Banco Europeu de Investimento, se mantenham em plena conformidade com o direito internacional, não prejudiquem as relações transfronteiriças em matéria de recursos hídricos, o acesso equitativo e a gestão sustentável, e facilitem o acesso das pessoas às suas terras, nomeadamente os povos indígenas; alinhem o financiamento com as ações emblemáticas globais da primeira Estratégia de Resiliência Hídrica da UE; </w:t>
      </w:r>
    </w:p>
    <w:p w:rsidR="00094099" w:rsidRPr="00392E4C" w:rsidP="00094099" w14:paraId="20C3CE36" w14:textId="77777777">
      <w:pPr>
        <w:pStyle w:val="NormalHanging12a"/>
        <w:ind w:left="1134"/>
      </w:pPr>
      <w:r w:rsidRPr="00392E4C">
        <w:t>e)</w:t>
      </w:r>
      <w:r w:rsidRPr="00392E4C">
        <w:tab/>
        <w:t>Reconheçam e reforcem o apoio ao trabalho crucial realizado pelos defensores dos direitos ambientais e pelas organizações da sociedade civil em prol da preservação, da igualdade de acesso e da governação transfronteiriça dos recursos hídricos; envolvam estreitamente os defensores dos direitos ambientais e as organizações da sociedade civil locais no apoio da UE à governação transnacional da água em países terceiros e promovam a sua segurança e liberdade de atuar sem violência nem intimidação; aumentem o apoio às organizações não governamentais ativas nos domínios da diplomacia da água, da prevenção de conflitos e da cooperação transfronteiriça em matéria de recursos hídricos, especialmente em regiões frágeis e afetadas por conflitos, reconhecendo o seu importante papel na facilitação do diálogo a nível local e regional, no apoio à gestão comunitária dos recursos hídricos, na promoção da construção de relações de confiança e na contribuição para iniciativas de governação sustentável e inclusiva dos recursos hídricos;</w:t>
      </w:r>
    </w:p>
    <w:p w:rsidR="00094099" w:rsidRPr="00392E4C" w:rsidP="00094099" w14:paraId="12CAADE9" w14:textId="77777777">
      <w:pPr>
        <w:pStyle w:val="NormalHanging12a"/>
        <w:ind w:left="1134"/>
      </w:pPr>
      <w:r w:rsidRPr="00392E4C">
        <w:t>f)</w:t>
      </w:r>
      <w:r w:rsidRPr="00392E4C">
        <w:tab/>
      </w:r>
      <w:bookmarkStart w:id="7" w:name="_Hlk231546271"/>
      <w:r w:rsidRPr="00392E4C">
        <w:t xml:space="preserve">Alarguem o âmbito geográfico dos projetos da UE em matéria de governação transfronteiriça dos recursos hídricos, para além de certas regiões de África e da Ásia Central, às Américas, ao Médio Oriente e Norte de África, bem como à Ásia Oriental e Meridional, </w:t>
      </w:r>
      <w:bookmarkEnd w:id="7"/>
      <w:r w:rsidRPr="00392E4C">
        <w:t>através de uma abordagem Equipa Europa, em especial nos casos em que a insegurança hídrica possa contribuir para a instabilidade e as deslocações;</w:t>
      </w:r>
    </w:p>
    <w:p w:rsidR="00094099" w:rsidRPr="00392E4C" w:rsidP="00094099" w14:paraId="047E7148" w14:textId="77777777">
      <w:pPr>
        <w:pStyle w:val="NormalHanging12a"/>
        <w:ind w:left="1134"/>
      </w:pPr>
      <w:r w:rsidRPr="00392E4C">
        <w:t>g)</w:t>
      </w:r>
      <w:r w:rsidRPr="00392E4C">
        <w:tab/>
        <w:t xml:space="preserve">Melhorem a gestão sustentável dos recursos hídricos e das águas residuais, integrando sistematicamente a cooperação em matéria de infraestruturas, tecnologias e conhecimentos especializados nas parcerias e nos programas de desenvolvimento; apoiem o reforço das capacidades e das instituições nos países parceiros, a fim de melhorar o planeamento, a governação e a manutenção dos serviços de abastecimento de água e de saneamento, nomeadamente através de </w:t>
      </w:r>
      <w:r w:rsidRPr="00392E4C">
        <w:t>parcerias com as autoridades locais, os serviços públicos, a sociedade civil e as organizações de base comunitária; adaptem os investimentos em infraestruturas aos contextos locais e históricos, no intuito de transformar a água num instrumento de paz e estabilidade;</w:t>
      </w:r>
    </w:p>
    <w:p w:rsidR="00094099" w:rsidRPr="00392E4C" w:rsidP="00094099" w14:paraId="01CC7C06" w14:textId="77777777">
      <w:pPr>
        <w:pStyle w:val="NormalHanging12a"/>
        <w:ind w:left="1134"/>
      </w:pPr>
      <w:r w:rsidRPr="00392E4C">
        <w:t>h)</w:t>
      </w:r>
      <w:r w:rsidRPr="00392E4C">
        <w:tab/>
        <w:t>Reforcem a cooperação multilateral no domínio dos recursos hídricos, nomeadamente no âmbito das Nações Unidas, prosseguindo e intensificando a globalização da Convenção das Nações Unidas sobre a Água e apoiando a consecução dos Objetivos de Desenvolvimento Sustentável (ODS), em particular o ODS 6 relativo à água potável e ao saneamento, e combatendo as desigualdades significativas tanto entre os países como no interior de cada país no que diz respeito ao acesso à água e ao saneamento; velem por que os compromissos assumidos pela UE na Conferência das Nações Unidas sobre a Água de 2023 continuem a ser concretizados, preservando simultaneamente essas ambições e ações na preparação para a Conferência das Nações Unidas sobre a Água de 2026; intensifiquem os diálogos a vários níveis com os países situados em bacias hidrográficas propensas a conflitos, designadamente cimeiras e iniciativas conjuntas, assim como formatos de cooperação a longo prazo;</w:t>
      </w:r>
    </w:p>
    <w:p w:rsidR="00094099" w:rsidRPr="00392E4C" w:rsidP="00094099" w14:paraId="1CBEB3BF" w14:textId="77777777">
      <w:pPr>
        <w:pStyle w:val="NormalHanging12a"/>
        <w:ind w:left="1134"/>
      </w:pPr>
      <w:r w:rsidRPr="00392E4C">
        <w:t>i)</w:t>
      </w:r>
      <w:r w:rsidRPr="00392E4C">
        <w:tab/>
        <w:t>Ressaltem que uma governação transfronteiriça eficaz dos recursos hídricos depende da preservação da biodiversidade e do clima, e exijam, por conseguinte, que a gestão dos recursos hídricos sirva, em primeiro lugar, os interesses ambientais — uma vez que a água é uma necessidade básica para as plantas, os animais e as pessoas — e siga uma lógica baseada no interesse geral e nos bens públicos globais;</w:t>
      </w:r>
    </w:p>
    <w:p w:rsidR="00094099" w:rsidRPr="00392E4C" w:rsidP="00094099" w14:paraId="5B025764" w14:textId="77777777">
      <w:pPr>
        <w:pStyle w:val="NormalHanging12a"/>
        <w:ind w:left="1134"/>
      </w:pPr>
      <w:r w:rsidRPr="00392E4C">
        <w:t>j)</w:t>
      </w:r>
      <w:r w:rsidRPr="00392E4C">
        <w:tab/>
        <w:t xml:space="preserve">Reforcem a resiliência hídrica mundial como meio de promover a estabilidade mediante a aplicação eficaz da Estratégia de Resiliência Hídrica da UE, em especial as suas ações globais destinadas a apoiar o acesso à água e ao saneamento para, pelo menos, 70 milhões de pessoas e a fomentar a governação mundial dos recursos hídricos e a participação em fóruns multilaterais como o G7, o G20 e o Diálogo de </w:t>
      </w:r>
      <w:r w:rsidRPr="00392E4C">
        <w:t>Baku</w:t>
      </w:r>
      <w:r w:rsidRPr="00392E4C">
        <w:t xml:space="preserve"> sobre a Água para a Ação Climática;</w:t>
      </w:r>
    </w:p>
    <w:p w:rsidR="00094099" w:rsidRPr="00392E4C" w:rsidP="00094099" w14:paraId="03DF803B" w14:textId="77777777">
      <w:pPr>
        <w:pStyle w:val="NormalHanging12a"/>
        <w:ind w:left="1134"/>
      </w:pPr>
      <w:r w:rsidRPr="00392E4C">
        <w:t>k)</w:t>
      </w:r>
      <w:r w:rsidRPr="00392E4C">
        <w:tab/>
        <w:t>Invistam numa visão geral mais transparente de todo o apoio da UE em curso destinado à promoção da gestão transfronteiriça dos recursos hídricos a nível internacional e assegurem a coerência e a racionalização de todo o trabalho e financiamento em todas as direções</w:t>
      </w:r>
      <w:r w:rsidRPr="00392E4C">
        <w:noBreakHyphen/>
        <w:t>gerais pertinentes e entre o SEAE e a Comissão, garantindo que os vários programas se complementem e não se sobreponham; otimizem a comunicação sobre os esforços e as realizações da UE no domínio da cooperação transfronteiriça em matéria de recursos hídricos, a fim de dar maior visibilidade a este instrumento essencial e ao papel de liderança da UE na sua implementação;</w:t>
      </w:r>
    </w:p>
    <w:p w:rsidR="00094099" w:rsidRPr="00392E4C" w:rsidP="00094099" w14:paraId="3047164D" w14:textId="6FAADA17">
      <w:pPr>
        <w:pStyle w:val="NormalHanging12a"/>
        <w:ind w:left="1134"/>
      </w:pPr>
      <w:r w:rsidRPr="00392E4C">
        <w:t>l)</w:t>
      </w:r>
      <w:r w:rsidRPr="00392E4C">
        <w:tab/>
        <w:t>Promovam uma maior cooperação internacional, nomeadamente a nível das organizações responsáveis pelas bacias hidrográficas, com vista a fazer face à crescente crise hídrica; garantam e melhorem o acesso a água limpa e de elevada qualidade e ao saneamento; promovam a gestão sustentável dos recursos hídricos, aumentem a reutilização da água, combatam a poluição, o uso excessivo e o desperdício da água e apliquem várias tecnologias hídricas inovadoras, abrangendo soluções baseadas na natureza;</w:t>
      </w:r>
    </w:p>
    <w:p w:rsidR="00094099" w:rsidRPr="00392E4C" w:rsidP="00094099" w14:paraId="322F4AA9" w14:textId="77777777">
      <w:pPr>
        <w:pStyle w:val="NormalHanging12a"/>
        <w:ind w:left="1134"/>
      </w:pPr>
      <w:r w:rsidRPr="00392E4C">
        <w:t>m)</w:t>
      </w:r>
      <w:r w:rsidRPr="00392E4C">
        <w:tab/>
        <w:t>Velem por que as iniciativas da UE no domínio dos recursos hídricos em todo o mundo colmatem as persistentes lacunas de dados e a falta de partilha de dados entre os governos, dotando os países parceiros de recursos técnicos e físicos que lhes permitam monitorizar eficazmente os níveis de água e a qualidade da água das bacias transfronteiriças, bem como realizando intercâmbios de dados e promovendo a adoção de normas comuns para a recolha de dados entre os países parceiros, a fim de aumentar a compatibilidade; atuem como um interveniente credível e de confiança na facilitação do intercâmbio de informações fiáveis sobre os recursos hídricos entre governos, partes interessadas e o público em contextos de escassez hídrica e de grande tensão, inclusive nos casos em que a partilha de informações é sensível devido a preocupações de segurança; tirem partido da experiência, dos programas, das práticas e das estratégias pertinentes da UE para reforçar a partilha de boas práticas entre os intervenientes regionais e nacionais;</w:t>
      </w:r>
    </w:p>
    <w:p w:rsidR="00094099" w:rsidRPr="00392E4C" w:rsidP="00094099" w14:paraId="5B500232" w14:textId="087D91D4">
      <w:pPr>
        <w:pStyle w:val="NormalHanging12a"/>
        <w:ind w:left="1134"/>
      </w:pPr>
      <w:r w:rsidRPr="00392E4C">
        <w:t>n)</w:t>
      </w:r>
      <w:r w:rsidRPr="00392E4C">
        <w:tab/>
        <w:t>Promovam instrumentos de cooperação intergovernamental e regional na gestão dos recursos hídricos, com especial destaque para a garantia de uma distribuição equitativa da água, e apoiem as estruturas de governação a nível local e comunitário; ponderem a possibilidade de apoiar parcerias público</w:t>
      </w:r>
      <w:r w:rsidRPr="00392E4C">
        <w:noBreakHyphen/>
        <w:t>privadas sempre que contribuam para uma gestão eficiente dos recursos hídricos e para um acesso mais económico à água, ao saneamento e à higiene para todos; estimulem o investimento em tecnologias e práticas de gestão que melhorem a adoção de práticas agrícolas sustentáveis na produção vegetal, animal e piscícola, tanto por parte dos pequenos agricultores como das empresas de maior dimensão;</w:t>
      </w:r>
    </w:p>
    <w:p w:rsidR="00094099" w:rsidRPr="00392E4C" w:rsidP="00094099" w14:paraId="277118F9" w14:textId="77777777">
      <w:pPr>
        <w:pStyle w:val="NormalHanging12a"/>
        <w:ind w:left="1134"/>
      </w:pPr>
      <w:r w:rsidRPr="00392E4C">
        <w:t>o)</w:t>
      </w:r>
      <w:r w:rsidRPr="00392E4C">
        <w:tab/>
        <w:t>Sublinhem o princípio da coerência das políticas em matéria de desenvolvimento e do alinhamento das políticas da UE com as prioridades de desenvolvimento dos países parceiros, com base em avaliações do seu impacto nos recursos locais, a fim de evitar, em conjunto, o esgotamento ou a poluição dos recursos hídricos em países terceiros;</w:t>
      </w:r>
    </w:p>
    <w:p w:rsidR="00094099" w:rsidRPr="00392E4C" w:rsidP="00094099" w14:paraId="38D7D602" w14:textId="77777777">
      <w:pPr>
        <w:pStyle w:val="NormalHanging12a"/>
        <w:ind w:left="1134"/>
      </w:pPr>
      <w:r w:rsidRPr="00392E4C">
        <w:t>p)</w:t>
      </w:r>
      <w:r w:rsidRPr="00392E4C">
        <w:tab/>
        <w:t>Melhorem a execução da gestão integrada dos recursos hídricos como ferramenta fundamental que promove o desenvolvimento coordenado e a gestão sustentável da água, do solo e dos recursos conexos, inclusive além</w:t>
      </w:r>
      <w:r w:rsidRPr="00392E4C">
        <w:noBreakHyphen/>
        <w:t>fronteiras, em conformidade com o indicador ODS 6.5.2, para benefício mútuo dos Estados ribeirinhos, realçando a importância do nexo entre água, energia, alimentos e ecossistema na abordagem das sinergias e compromissos em matéria de recursos hídricos em toda a ação externa da UE;</w:t>
      </w:r>
    </w:p>
    <w:p w:rsidR="00094099" w:rsidRPr="00392E4C" w:rsidP="00094099" w14:paraId="4B39E47E" w14:textId="77777777">
      <w:pPr>
        <w:pStyle w:val="NormalHanging12a"/>
        <w:ind w:left="1134"/>
      </w:pPr>
      <w:r w:rsidRPr="00392E4C">
        <w:t>q)</w:t>
      </w:r>
      <w:r w:rsidRPr="00392E4C">
        <w:tab/>
        <w:t xml:space="preserve">Reforcem as capacidades de monitorização e alerta precoce da UE através da digitalização e das tecnologias modernas, notadamente vigilância por satélite e monitorização da poluição em tempo real, que são essenciais para prevenir e combater a poluição transfronteiriça, bem como para apoiar a redução do risco de catástrofes; </w:t>
      </w:r>
      <w:bookmarkStart w:id="8" w:name="_Hlk231546757"/>
      <w:r w:rsidRPr="00392E4C">
        <w:t>melhorem a monitorização da escassez de água e dos riscos de conflito relacionados com a água em todo o mundo, designadamente a instrumentalização da água e das infraestruturas hídricas, assim como a privação deliberada do acesso à água, integrando esta monitorização nos sistemas de prevenção de conflitos do Centro de Resposta a Situações de Crise do SEAE;</w:t>
      </w:r>
      <w:bookmarkEnd w:id="8"/>
    </w:p>
    <w:p w:rsidR="00094099" w:rsidRPr="00392E4C" w:rsidP="00094099" w14:paraId="06FF807B" w14:textId="77777777">
      <w:pPr>
        <w:pStyle w:val="NormalHanging12a"/>
        <w:ind w:left="1134"/>
      </w:pPr>
      <w:r w:rsidRPr="00392E4C">
        <w:t>r)</w:t>
      </w:r>
      <w:r w:rsidRPr="00392E4C">
        <w:tab/>
        <w:t xml:space="preserve">Incentivem e financiem a investigação sobre a gestão transfronteiriça sustentável dos recursos hídricos, a partilha desses recursos, a cooperação e a inovação, nomeadamente no âmbito do Horizonte Europa, e explorem desafios emergentes </w:t>
      </w:r>
      <w:r w:rsidRPr="00392E4C">
        <w:t>como as atividades de modificação meteorológica;</w:t>
      </w:r>
    </w:p>
    <w:p w:rsidR="00094099" w:rsidRPr="00392E4C" w:rsidP="00094099" w14:paraId="12F0A5D5" w14:textId="77777777">
      <w:pPr>
        <w:pStyle w:val="NormalHanging12a"/>
        <w:ind w:left="1134"/>
      </w:pPr>
      <w:r w:rsidRPr="00392E4C">
        <w:t>s)</w:t>
      </w:r>
      <w:r w:rsidRPr="00392E4C">
        <w:tab/>
        <w:t>Ponderem a possibilidade de encarregar o Representante Especial da UE para os Direitos Humanos de prevenir e resolver conflitos relacionados com a água, promover a cooperação no domínio da água e o Estado de direito, e proteger as fontes e os sistemas hídricos, nomeadamente durante conflitos armados e em contextos transfronteiriços, assim como de liderar, em nome da UE, os esforços internacionais para proteger e restaurar os ecossistemas aquáticos, em conformidade com o ODS 6, porquanto a resiliência hídrica é crucial para fazer face às crises atuais e futuras nos domínios da saúde, da alimentação, da energia e da segurança; consultem o Parlamento Europeu sobre o mandato, os recursos e as modalidades de cooperação na base do trabalho do Representante Especial da UE para os Direitos Humanos;</w:t>
      </w:r>
    </w:p>
    <w:p w:rsidR="00094099" w:rsidRPr="00392E4C" w:rsidP="00094099" w14:paraId="3516AA3B" w14:textId="77777777">
      <w:pPr>
        <w:pStyle w:val="NormalHanging12a"/>
        <w:ind w:left="1134"/>
      </w:pPr>
      <w:r w:rsidRPr="00392E4C">
        <w:t>t)</w:t>
      </w:r>
      <w:r w:rsidRPr="00392E4C">
        <w:tab/>
        <w:t>Reforcem o papel do direito internacional e dos tribunais internacionais competentes, e promovam o diálogo, a mediação e as soluções regionais como principais instrumentos para resolver litígios relativos a massas de água transnacionais, garantindo clareza e responsabilização no que concerne às obrigações jurídicas de todos os Estados ribeirinhos das águas em causa; condenem sistematicamente a utilização da água como arma em conflitos; velem por que os autores de crimes sejam responsabilizados;</w:t>
      </w:r>
    </w:p>
    <w:p w:rsidR="00094099" w:rsidRPr="00392E4C" w:rsidP="00094099" w14:paraId="418D68B5" w14:textId="77777777">
      <w:pPr>
        <w:pStyle w:val="NormalHanging12a"/>
        <w:ind w:left="1134"/>
      </w:pPr>
      <w:r w:rsidRPr="00392E4C">
        <w:t>u)</w:t>
      </w:r>
      <w:r w:rsidRPr="00392E4C">
        <w:tab/>
        <w:t>Apoiem iniciativas jurídicas que visem obter justiça e indemnizações por ataques e atos de destruição deliberados contra infraestruturas e recursos hídricos;</w:t>
      </w:r>
    </w:p>
    <w:p w:rsidR="00365FC8" w:rsidRPr="00392E4C" w:rsidP="00365FC8" w14:paraId="68F6C856" w14:textId="52270C4E">
      <w:pPr>
        <w:pStyle w:val="NormalHanging12a"/>
      </w:pPr>
      <w:r w:rsidRPr="00392E4C">
        <w:t>2.</w:t>
      </w:r>
      <w:r w:rsidRPr="00392E4C">
        <w:tab/>
        <w:t>Encarrega a sua Presidente de transmitir a presente recomendação ao Conselho, à Comissão e à Vice</w:t>
      </w:r>
      <w:r w:rsidRPr="00392E4C">
        <w:noBreakHyphen/>
        <w:t>Presidente da Comissão/Alta Representante da União para os Negócios Estrangeiros e a Política de Segurança.</w:t>
      </w:r>
    </w:p>
    <w:p w:rsidR="00E365E1" w:rsidRPr="00392E4C" w:rsidP="002F1A9E" w14:paraId="4F13094C" w14:textId="403F117C"/>
    <w:sectPr w:rsidSect="00365F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5FC8" w14:paraId="3F3B2BB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5FC8" w14:paraId="4AA8B7E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5FC8" w14:paraId="6D635E1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F1A9E" w:rsidRPr="00365FC8" w14:paraId="37EE1A5E" w14:textId="77777777">
      <w:r w:rsidRPr="00365FC8">
        <w:separator/>
      </w:r>
    </w:p>
  </w:footnote>
  <w:footnote w:type="continuationSeparator" w:id="1">
    <w:p w:rsidR="002F1A9E" w:rsidRPr="00365FC8" w14:paraId="0CCDB642" w14:textId="77777777">
      <w:r w:rsidRPr="00365FC8">
        <w:continuationSeparator/>
      </w:r>
    </w:p>
  </w:footnote>
  <w:footnote w:id="2">
    <w:p w:rsidR="00094099" w:rsidRPr="007703EE" w:rsidP="00365FC8" w14:paraId="19A8FF61" w14:textId="49301810">
      <w:pPr>
        <w:pStyle w:val="FootnoteText"/>
        <w:ind w:left="567" w:hanging="567"/>
        <w:rPr>
          <w:sz w:val="24"/>
          <w:lang w:val="fi-FI"/>
        </w:rPr>
      </w:pPr>
      <w:r w:rsidRPr="00365FC8">
        <w:rPr>
          <w:rStyle w:val="FootnoteReference"/>
          <w:sz w:val="24"/>
          <w:lang w:val="pt-PT"/>
        </w:rPr>
        <w:footnoteRef/>
      </w:r>
      <w:r w:rsidRPr="007703EE" w:rsidR="00365FC8">
        <w:rPr>
          <w:sz w:val="24"/>
          <w:lang w:val="fi-FI"/>
        </w:rPr>
        <w:t xml:space="preserve"> </w:t>
      </w:r>
      <w:r w:rsidRPr="007703EE" w:rsidR="00365FC8">
        <w:rPr>
          <w:sz w:val="24"/>
          <w:lang w:val="fi-FI"/>
        </w:rPr>
        <w:tab/>
      </w:r>
      <w:r w:rsidRPr="007703EE">
        <w:rPr>
          <w:sz w:val="24"/>
          <w:lang w:val="fi-FI"/>
        </w:rPr>
        <w:t xml:space="preserve">JO C, C/2026/576, 24.2.2026, ELI: </w:t>
      </w:r>
      <w:hyperlink r:id="rId1" w:history="1">
        <w:r w:rsidRPr="007703EE">
          <w:rPr>
            <w:rStyle w:val="Hyperlink"/>
            <w:sz w:val="24"/>
            <w:lang w:val="fi-FI"/>
          </w:rPr>
          <w:t>http://data.europa.eu/eli/C/2026/576/oj</w:t>
        </w:r>
      </w:hyperlink>
      <w:r w:rsidRPr="007703EE">
        <w:rPr>
          <w:sz w:val="24"/>
          <w:lang w:val="fi-FI"/>
        </w:rPr>
        <w:t>.</w:t>
      </w:r>
    </w:p>
  </w:footnote>
  <w:footnote w:id="3">
    <w:p w:rsidR="00094099" w:rsidRPr="007703EE" w:rsidP="00365FC8" w14:paraId="0359F5D2" w14:textId="1514215E">
      <w:pPr>
        <w:pStyle w:val="FootnoteText"/>
        <w:ind w:left="567" w:hanging="567"/>
        <w:rPr>
          <w:sz w:val="24"/>
          <w:lang w:val="fi-FI"/>
        </w:rPr>
      </w:pPr>
      <w:r w:rsidRPr="00365FC8">
        <w:rPr>
          <w:rStyle w:val="FootnoteReference"/>
          <w:sz w:val="24"/>
          <w:lang w:val="pt-PT"/>
        </w:rPr>
        <w:footnoteRef/>
      </w:r>
      <w:r w:rsidRPr="007703EE" w:rsidR="00365FC8">
        <w:rPr>
          <w:sz w:val="24"/>
          <w:lang w:val="fi-FI"/>
        </w:rPr>
        <w:t xml:space="preserve"> </w:t>
      </w:r>
      <w:r w:rsidRPr="007703EE" w:rsidR="00365FC8">
        <w:rPr>
          <w:sz w:val="24"/>
          <w:lang w:val="fi-FI"/>
        </w:rPr>
        <w:tab/>
      </w:r>
      <w:r w:rsidRPr="007703EE">
        <w:rPr>
          <w:sz w:val="24"/>
          <w:lang w:val="fi-FI"/>
        </w:rPr>
        <w:t>JO C 132 de 14.4.2023, p. 54.</w:t>
      </w:r>
    </w:p>
  </w:footnote>
  <w:footnote w:id="4">
    <w:p w:rsidR="00094099" w:rsidRPr="007703EE" w:rsidP="00365FC8" w14:paraId="2D383B01" w14:textId="7634160B">
      <w:pPr>
        <w:pStyle w:val="FootnoteText"/>
        <w:ind w:left="567" w:hanging="567"/>
        <w:rPr>
          <w:sz w:val="24"/>
          <w:lang w:val="fi-FI"/>
        </w:rPr>
      </w:pPr>
      <w:r w:rsidRPr="00365FC8">
        <w:rPr>
          <w:rStyle w:val="FootnoteReference"/>
          <w:sz w:val="24"/>
          <w:lang w:val="pt-PT"/>
        </w:rPr>
        <w:footnoteRef/>
      </w:r>
      <w:r w:rsidRPr="007703EE" w:rsidR="00365FC8">
        <w:rPr>
          <w:sz w:val="24"/>
          <w:lang w:val="fi-FI"/>
        </w:rPr>
        <w:t xml:space="preserve"> </w:t>
      </w:r>
      <w:r w:rsidRPr="007703EE" w:rsidR="00365FC8">
        <w:rPr>
          <w:sz w:val="24"/>
          <w:lang w:val="fi-FI"/>
        </w:rPr>
        <w:tab/>
      </w:r>
      <w:r w:rsidRPr="007703EE">
        <w:rPr>
          <w:sz w:val="24"/>
          <w:lang w:val="fi-FI"/>
        </w:rPr>
        <w:t xml:space="preserve">JO C, C/2025/4390, 9.9.2025, ELI: </w:t>
      </w:r>
      <w:hyperlink r:id="rId2" w:history="1">
        <w:r w:rsidRPr="007703EE">
          <w:rPr>
            <w:rStyle w:val="Hyperlink"/>
            <w:sz w:val="24"/>
            <w:lang w:val="fi-FI"/>
          </w:rPr>
          <w:t>http://data.europa.eu/eli/C/2025/4390/oj</w:t>
        </w:r>
      </w:hyperlink>
      <w:r w:rsidRPr="007703EE">
        <w:rPr>
          <w:sz w:val="24"/>
          <w:lang w:val="fi-FI"/>
        </w:rPr>
        <w:t>.</w:t>
      </w:r>
    </w:p>
  </w:footnote>
  <w:footnote w:id="5">
    <w:p w:rsidR="00094099" w:rsidRPr="00365FC8" w:rsidP="00365FC8" w14:paraId="613C544D" w14:textId="487332C1">
      <w:pPr>
        <w:pStyle w:val="FootnoteText"/>
        <w:ind w:left="567" w:hanging="567"/>
        <w:rPr>
          <w:sz w:val="24"/>
          <w:lang w:val="pt-PT"/>
        </w:rPr>
      </w:pPr>
      <w:r w:rsidRPr="00365FC8">
        <w:rPr>
          <w:rStyle w:val="FootnoteReference"/>
          <w:sz w:val="24"/>
          <w:lang w:val="pt-PT"/>
        </w:rPr>
        <w:footnoteRef/>
      </w:r>
      <w:r w:rsidRPr="00365FC8" w:rsidR="00365FC8">
        <w:rPr>
          <w:sz w:val="24"/>
          <w:lang w:val="pt-PT"/>
        </w:rPr>
        <w:t xml:space="preserve"> </w:t>
      </w:r>
      <w:r w:rsidRPr="00365FC8" w:rsidR="00365FC8">
        <w:rPr>
          <w:sz w:val="24"/>
          <w:lang w:val="pt-PT"/>
        </w:rPr>
        <w:tab/>
      </w:r>
      <w:r w:rsidRPr="00365FC8">
        <w:rPr>
          <w:sz w:val="24"/>
          <w:lang w:val="pt-PT"/>
        </w:rPr>
        <w:t>Textos Aprovados, P10_</w:t>
      </w:r>
      <w:r w:rsidRPr="00365FC8">
        <w:rPr>
          <w:sz w:val="24"/>
          <w:lang w:val="pt-PT"/>
        </w:rPr>
        <w:t>TA(</w:t>
      </w:r>
      <w:r w:rsidRPr="00365FC8">
        <w:rPr>
          <w:sz w:val="24"/>
          <w:lang w:val="pt-PT"/>
        </w:rPr>
        <w:t>2026)0014.</w:t>
      </w:r>
    </w:p>
  </w:footnote>
  <w:footnote w:id="6">
    <w:p w:rsidR="00094099" w:rsidRPr="00365FC8" w:rsidP="00365FC8" w14:paraId="627AFDFD" w14:textId="6AE3BF32">
      <w:pPr>
        <w:pStyle w:val="FootnoteText"/>
        <w:ind w:left="567" w:hanging="567"/>
        <w:rPr>
          <w:sz w:val="24"/>
          <w:lang w:val="pt-PT"/>
        </w:rPr>
      </w:pPr>
      <w:r w:rsidRPr="00365FC8">
        <w:rPr>
          <w:rStyle w:val="FootnoteReference"/>
          <w:sz w:val="24"/>
          <w:lang w:val="pt-PT"/>
        </w:rPr>
        <w:footnoteRef/>
      </w:r>
      <w:r w:rsidRPr="00365FC8" w:rsidR="00365FC8">
        <w:rPr>
          <w:sz w:val="24"/>
          <w:lang w:val="pt-PT"/>
        </w:rPr>
        <w:t xml:space="preserve"> </w:t>
      </w:r>
      <w:r w:rsidRPr="00365FC8" w:rsidR="00365FC8">
        <w:rPr>
          <w:sz w:val="24"/>
          <w:lang w:val="pt-PT"/>
        </w:rPr>
        <w:tab/>
      </w:r>
      <w:r w:rsidRPr="00365FC8">
        <w:rPr>
          <w:sz w:val="24"/>
          <w:lang w:val="pt-PT"/>
        </w:rPr>
        <w:t xml:space="preserve">JO C, C/2025/769, 11.2.2025, ELI: </w:t>
      </w:r>
      <w:hyperlink r:id="rId3" w:history="1">
        <w:r w:rsidRPr="00365FC8">
          <w:rPr>
            <w:rStyle w:val="Hyperlink"/>
            <w:sz w:val="24"/>
            <w:lang w:val="pt-PT"/>
          </w:rPr>
          <w:t>http://data.europa.eu/eli/C/2025/769/oj</w:t>
        </w:r>
      </w:hyperlink>
      <w:r w:rsidRPr="00365FC8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5FC8" w14:paraId="4A7D72C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5FC8" w14:paraId="742DC5C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65FC8" w14:paraId="2C2EF74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0100847">
    <w:abstractNumId w:val="9"/>
  </w:num>
  <w:num w:numId="2" w16cid:durableId="351997510">
    <w:abstractNumId w:val="9"/>
  </w:num>
  <w:num w:numId="3" w16cid:durableId="1652127824">
    <w:abstractNumId w:val="7"/>
  </w:num>
  <w:num w:numId="4" w16cid:durableId="1300770662">
    <w:abstractNumId w:val="7"/>
  </w:num>
  <w:num w:numId="5" w16cid:durableId="831678961">
    <w:abstractNumId w:val="6"/>
  </w:num>
  <w:num w:numId="6" w16cid:durableId="581065825">
    <w:abstractNumId w:val="6"/>
  </w:num>
  <w:num w:numId="7" w16cid:durableId="109864184">
    <w:abstractNumId w:val="5"/>
  </w:num>
  <w:num w:numId="8" w16cid:durableId="1733967592">
    <w:abstractNumId w:val="5"/>
  </w:num>
  <w:num w:numId="9" w16cid:durableId="1386682888">
    <w:abstractNumId w:val="4"/>
  </w:num>
  <w:num w:numId="10" w16cid:durableId="245581044">
    <w:abstractNumId w:val="4"/>
  </w:num>
  <w:num w:numId="11" w16cid:durableId="1886141606">
    <w:abstractNumId w:val="8"/>
  </w:num>
  <w:num w:numId="12" w16cid:durableId="1946108131">
    <w:abstractNumId w:val="8"/>
  </w:num>
  <w:num w:numId="13" w16cid:durableId="423652440">
    <w:abstractNumId w:val="3"/>
  </w:num>
  <w:num w:numId="14" w16cid:durableId="832142536">
    <w:abstractNumId w:val="3"/>
  </w:num>
  <w:num w:numId="15" w16cid:durableId="130640297">
    <w:abstractNumId w:val="2"/>
  </w:num>
  <w:num w:numId="16" w16cid:durableId="1852446912">
    <w:abstractNumId w:val="2"/>
  </w:num>
  <w:num w:numId="17" w16cid:durableId="195319063">
    <w:abstractNumId w:val="1"/>
  </w:num>
  <w:num w:numId="18" w16cid:durableId="2032147293">
    <w:abstractNumId w:val="1"/>
  </w:num>
  <w:num w:numId="19" w16cid:durableId="962077761">
    <w:abstractNumId w:val="0"/>
  </w:num>
  <w:num w:numId="20" w16cid:durableId="255527857">
    <w:abstractNumId w:val="0"/>
  </w:num>
  <w:num w:numId="21" w16cid:durableId="258953510">
    <w:abstractNumId w:val="9"/>
  </w:num>
  <w:num w:numId="22" w16cid:durableId="779228622">
    <w:abstractNumId w:val="7"/>
  </w:num>
  <w:num w:numId="23" w16cid:durableId="830752895">
    <w:abstractNumId w:val="6"/>
  </w:num>
  <w:num w:numId="24" w16cid:durableId="1221096397">
    <w:abstractNumId w:val="5"/>
  </w:num>
  <w:num w:numId="25" w16cid:durableId="1689404830">
    <w:abstractNumId w:val="4"/>
  </w:num>
  <w:num w:numId="26" w16cid:durableId="927887846">
    <w:abstractNumId w:val="8"/>
  </w:num>
  <w:num w:numId="27" w16cid:durableId="229076503">
    <w:abstractNumId w:val="3"/>
  </w:num>
  <w:num w:numId="28" w16cid:durableId="927690129">
    <w:abstractNumId w:val="2"/>
  </w:num>
  <w:num w:numId="29" w16cid:durableId="8870083">
    <w:abstractNumId w:val="1"/>
  </w:num>
  <w:num w:numId="30" w16cid:durableId="807864658">
    <w:abstractNumId w:val="0"/>
  </w:num>
  <w:num w:numId="31" w16cid:durableId="503545157">
    <w:abstractNumId w:val="9"/>
  </w:num>
  <w:num w:numId="32" w16cid:durableId="1717968129">
    <w:abstractNumId w:val="7"/>
  </w:num>
  <w:num w:numId="33" w16cid:durableId="573466920">
    <w:abstractNumId w:val="6"/>
  </w:num>
  <w:num w:numId="34" w16cid:durableId="1533691814">
    <w:abstractNumId w:val="5"/>
  </w:num>
  <w:num w:numId="35" w16cid:durableId="1638992144">
    <w:abstractNumId w:val="4"/>
  </w:num>
  <w:num w:numId="36" w16cid:durableId="858391684">
    <w:abstractNumId w:val="8"/>
  </w:num>
  <w:num w:numId="37" w16cid:durableId="1834376722">
    <w:abstractNumId w:val="3"/>
  </w:num>
  <w:num w:numId="38" w16cid:durableId="1677150653">
    <w:abstractNumId w:val="2"/>
  </w:num>
  <w:num w:numId="39" w16cid:durableId="1218856579">
    <w:abstractNumId w:val="1"/>
  </w:num>
  <w:num w:numId="40" w16cid:durableId="478108497">
    <w:abstractNumId w:val="0"/>
  </w:num>
  <w:num w:numId="41" w16cid:durableId="1276600727">
    <w:abstractNumId w:val="10"/>
  </w:num>
  <w:num w:numId="42" w16cid:durableId="1676758691">
    <w:abstractNumId w:val="10"/>
  </w:num>
  <w:num w:numId="43" w16cid:durableId="1017149836">
    <w:abstractNumId w:val="10"/>
  </w:num>
  <w:num w:numId="44" w16cid:durableId="32702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9E"/>
    <w:rsid w:val="00002272"/>
    <w:rsid w:val="00064002"/>
    <w:rsid w:val="000677B9"/>
    <w:rsid w:val="000831BA"/>
    <w:rsid w:val="00094099"/>
    <w:rsid w:val="000A42CC"/>
    <w:rsid w:val="000E7DD9"/>
    <w:rsid w:val="0010095E"/>
    <w:rsid w:val="00125B37"/>
    <w:rsid w:val="00187494"/>
    <w:rsid w:val="001B0564"/>
    <w:rsid w:val="001F32AE"/>
    <w:rsid w:val="002467CD"/>
    <w:rsid w:val="002767FF"/>
    <w:rsid w:val="002B18FE"/>
    <w:rsid w:val="002B5493"/>
    <w:rsid w:val="002F1A9E"/>
    <w:rsid w:val="00343214"/>
    <w:rsid w:val="00361C00"/>
    <w:rsid w:val="00365FC8"/>
    <w:rsid w:val="00392E4C"/>
    <w:rsid w:val="00395FA1"/>
    <w:rsid w:val="003A4B7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3E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8B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6E9B"/>
    <w:rsid w:val="00C05BFE"/>
    <w:rsid w:val="00C23CD4"/>
    <w:rsid w:val="00C318A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DD9"/>
  </w:rsids>
  <w:docVars>
    <w:docVar w:name="dvdocse" w:val="A10-0150/2026"/>
    <w:docVar w:name="dvlangue" w:val="PT"/>
    <w:docVar w:name="dvnumam" w:val="57"/>
    <w:docVar w:name="dvpe" w:val="779.681"/>
    <w:docVar w:name="dvrapporteur" w:val="Relator: "/>
    <w:docVar w:name="dvtitre" w:val="Resolução do Parlamento Europeu, de ... de ... de 2026,&#13;_x000a_ sobre a recomendação do Parlamento Europeu ao Conselho, à Comissão e à vice-presidente da Comissão/alta representante da União para os Negócios Estrangeiros e a Política de Segurança referente à promoção da governação transnacional da água no interesse da prevenção de conflitos e da paz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2448CE"/>
  <w15:chartTrackingRefBased/>
  <w15:docId w15:val="{8EBFE409-EAF4-4E26-9D20-A39C542A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409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94099"/>
    <w:pPr>
      <w:spacing w:after="240"/>
      <w:ind w:left="567" w:hanging="567"/>
    </w:pPr>
  </w:style>
  <w:style w:type="character" w:styleId="Hyperlink">
    <w:name w:val="Hyperlink"/>
    <w:basedOn w:val="DefaultParagraphFont"/>
    <w:rsid w:val="0009409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094099"/>
    <w:rPr>
      <w:sz w:val="24"/>
      <w:lang w:val="pt-PT"/>
    </w:rPr>
  </w:style>
  <w:style w:type="paragraph" w:styleId="Revision">
    <w:name w:val="Revision"/>
    <w:hidden/>
    <w:uiPriority w:val="99"/>
    <w:semiHidden/>
    <w:rsid w:val="00FE1DD9"/>
    <w:rPr>
      <w:sz w:val="24"/>
      <w:lang w:val="pt-PT"/>
    </w:rPr>
  </w:style>
  <w:style w:type="character" w:styleId="CommentReference">
    <w:name w:val="annotation reference"/>
    <w:basedOn w:val="DefaultParagraphFont"/>
    <w:rsid w:val="00C318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18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18A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31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18A9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C31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4595</Words>
  <Characters>25502</Characters>
  <Application>Microsoft Office Word</Application>
  <DocSecurity>0</DocSecurity>
  <Lines>212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2026-06-18T09:04:00Z</dcterms:created>
  <dcterms:modified xsi:type="dcterms:W3CDTF">2026-06-18T09:04:00Z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P10_TA(2026)0221_</vt:lpwstr>
  </property>
  <property fmtid="{D5CDD505-2E9C-101B-9397-08002B2CF9AE}" pid="4" name="&lt;Type&gt;">
    <vt:lpwstr>RR</vt:lpwstr>
  </property>
</Properties>
</file>