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F974BC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52B2C" w:rsidP="0010095E" w14:paraId="122E1843" w14:textId="77777777">
            <w:pPr>
              <w:pStyle w:val="EPName"/>
            </w:pPr>
            <w:r w:rsidRPr="00752B2C">
              <w:t>Európsky parlament</w:t>
            </w:r>
          </w:p>
          <w:p w:rsidR="00751A4A" w:rsidRPr="00752B2C" w:rsidP="005F1B17" w14:paraId="0D65819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2B2C">
              <w:t>2024</w:t>
            </w:r>
            <w:r w:rsidRPr="00752B2C" w:rsidR="00817416">
              <w:t>-202</w:t>
            </w:r>
            <w:r w:rsidRPr="00752B2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52B2C" w:rsidP="0010095E" w14:paraId="0A28F04C" w14:textId="77777777">
            <w:pPr>
              <w:pStyle w:val="EPLogo"/>
            </w:pPr>
            <w:r w:rsidRPr="00752B2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52B2C" w:rsidP="004C5D52" w14:paraId="4A440084" w14:textId="77777777">
      <w:pPr>
        <w:pStyle w:val="LineTop"/>
      </w:pPr>
    </w:p>
    <w:p w:rsidR="00680577" w:rsidRPr="00752B2C" w:rsidP="00680577" w14:paraId="2DD4AA43" w14:textId="77777777">
      <w:pPr>
        <w:pStyle w:val="EPBodyTA1"/>
      </w:pPr>
      <w:r w:rsidRPr="00752B2C">
        <w:t>PRIJATÉ TEXTY</w:t>
      </w:r>
    </w:p>
    <w:p w:rsidR="00D058B8" w:rsidRPr="00752B2C" w:rsidP="00D058B8" w14:paraId="52948BCE" w14:textId="77777777">
      <w:pPr>
        <w:pStyle w:val="LineBottom"/>
      </w:pPr>
    </w:p>
    <w:p w:rsidR="0039335B" w:rsidRPr="00752B2C" w:rsidP="0039335B" w14:paraId="27C431E8" w14:textId="79716E9C">
      <w:pPr>
        <w:pStyle w:val="ATHeading1"/>
      </w:pPr>
      <w:bookmarkStart w:id="0" w:name="TANumber"/>
      <w:r w:rsidRPr="00752B2C">
        <w:t>P10_TA(2026)0</w:t>
      </w:r>
      <w:r w:rsidRPr="00752B2C" w:rsidR="00F76DB2">
        <w:t>221</w:t>
      </w:r>
      <w:bookmarkEnd w:id="0"/>
    </w:p>
    <w:p w:rsidR="0039335B" w:rsidRPr="00752B2C" w:rsidP="0039335B" w14:paraId="2CBB637B" w14:textId="77777777">
      <w:pPr>
        <w:pStyle w:val="ATHeading2"/>
      </w:pPr>
      <w:bookmarkStart w:id="1" w:name="title"/>
      <w:r w:rsidRPr="00752B2C">
        <w:t>Odporúčanie k podporovaniu nadnárodnej správy vodných zdrojov v záujme predchádzania konfliktom a udržiavania mieru</w:t>
      </w:r>
      <w:bookmarkEnd w:id="1"/>
    </w:p>
    <w:p w:rsidR="0039335B" w:rsidRPr="00752B2C" w:rsidP="0039335B" w14:paraId="2BE42320" w14:textId="77777777">
      <w:pPr>
        <w:rPr>
          <w:i/>
          <w:vanish/>
        </w:rPr>
      </w:pPr>
      <w:r>
        <w:rPr>
          <w:i/>
        </w:rPr>
        <w:fldChar w:fldCharType="begin"/>
      </w:r>
      <w:r w:rsidRPr="00752B2C">
        <w:rPr>
          <w:i/>
        </w:rPr>
        <w:instrText xml:space="preserve"> TC"(</w:instrText>
      </w:r>
      <w:bookmarkStart w:id="2" w:name="DocNumber"/>
      <w:r w:rsidRPr="00752B2C">
        <w:rPr>
          <w:i/>
        </w:rPr>
        <w:instrText>A10-0150/2026</w:instrText>
      </w:r>
      <w:bookmarkEnd w:id="2"/>
      <w:r w:rsidRPr="00752B2C">
        <w:rPr>
          <w:i/>
        </w:rPr>
        <w:instrText xml:space="preserve"> - Spravodajca: </w:instrText>
      </w:r>
      <w:r w:rsidRPr="00752B2C">
        <w:rPr>
          <w:i/>
        </w:rPr>
        <w:instrText>Leoluca</w:instrText>
      </w:r>
      <w:r w:rsidRPr="00752B2C">
        <w:rPr>
          <w:i/>
        </w:rPr>
        <w:instrText xml:space="preserve"> </w:instrText>
      </w:r>
      <w:r w:rsidRPr="00752B2C">
        <w:rPr>
          <w:i/>
        </w:rPr>
        <w:instrText>Orlando</w:instrText>
      </w:r>
      <w:r w:rsidRPr="00752B2C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9335B" w:rsidRPr="00752B2C" w:rsidP="0039335B" w14:paraId="6A245A5D" w14:textId="77777777">
      <w:pPr>
        <w:rPr>
          <w:vanish/>
        </w:rPr>
      </w:pPr>
      <w:bookmarkStart w:id="3" w:name="Commission"/>
      <w:r w:rsidRPr="00752B2C">
        <w:rPr>
          <w:vanish/>
        </w:rPr>
        <w:t>Výbor pre zahraničné veci</w:t>
      </w:r>
      <w:bookmarkEnd w:id="3"/>
    </w:p>
    <w:p w:rsidR="0039335B" w:rsidRPr="00752B2C" w:rsidP="0039335B" w14:paraId="0FAB9687" w14:textId="77777777">
      <w:pPr>
        <w:rPr>
          <w:vanish/>
        </w:rPr>
      </w:pPr>
      <w:bookmarkStart w:id="4" w:name="PE"/>
      <w:r w:rsidRPr="00752B2C">
        <w:rPr>
          <w:vanish/>
        </w:rPr>
        <w:t>PE779.681</w:t>
      </w:r>
      <w:bookmarkEnd w:id="4"/>
    </w:p>
    <w:p w:rsidR="0039335B" w:rsidRPr="00752B2C" w:rsidP="0039335B" w14:paraId="44BA6C5E" w14:textId="566A9BC7">
      <w:pPr>
        <w:pStyle w:val="ATHeading3"/>
      </w:pPr>
      <w:bookmarkStart w:id="5" w:name="Sujet"/>
      <w:r w:rsidRPr="00752B2C">
        <w:t>Odporúčanie</w:t>
      </w:r>
      <w:r w:rsidRPr="00752B2C">
        <w:t xml:space="preserve"> Európskeho parlamentu zo </w:t>
      </w:r>
      <w:r w:rsidRPr="00752B2C" w:rsidR="008D6008">
        <w:t>17. júna</w:t>
      </w:r>
      <w:r w:rsidRPr="00752B2C">
        <w:t xml:space="preserve"> 2026 Rade, Komisii a podpredsedníčke Komisie/vysokej predstaviteľke Únie pre zahraničné veci a bezpečnostnú politiku k podporovaniu nadnárodnej správy vodných zdrojov v záujme predchádzania konfliktom a udržiavania mieru</w:t>
      </w:r>
      <w:bookmarkEnd w:id="5"/>
      <w:r w:rsidRPr="00752B2C">
        <w:t xml:space="preserve"> </w:t>
      </w:r>
      <w:bookmarkStart w:id="6" w:name="References"/>
      <w:r w:rsidRPr="00752B2C">
        <w:t>(2025/2216(INI))</w:t>
      </w:r>
      <w:bookmarkEnd w:id="6"/>
    </w:p>
    <w:p w:rsidR="00753587" w:rsidRPr="00752B2C" w:rsidP="00753587" w14:paraId="5667824D" w14:textId="77777777">
      <w:pPr>
        <w:pStyle w:val="EPComma"/>
      </w:pPr>
      <w:r w:rsidRPr="00752B2C">
        <w:rPr>
          <w:i/>
        </w:rPr>
        <w:t>Európsky parlament</w:t>
      </w:r>
      <w:r w:rsidRPr="00752B2C">
        <w:t>,</w:t>
      </w:r>
    </w:p>
    <w:p w:rsidR="00753587" w:rsidRPr="00752B2C" w:rsidP="00753587" w14:paraId="5BFEB364" w14:textId="77777777">
      <w:pPr>
        <w:pStyle w:val="NormalHanging12a"/>
      </w:pPr>
      <w:r w:rsidRPr="00752B2C">
        <w:t>–</w:t>
      </w:r>
      <w:r w:rsidRPr="00752B2C">
        <w:tab/>
        <w:t>so zreteľom na Dohovor OSN o ochrane a využívaní hraničných vodných tokov a medzinárodných jazier (dohovor o vode) z roku 1992,</w:t>
      </w:r>
    </w:p>
    <w:p w:rsidR="00753587" w:rsidRPr="00752B2C" w:rsidP="00753587" w14:paraId="5534E0FD" w14:textId="77777777">
      <w:pPr>
        <w:pStyle w:val="NormalHanging12a"/>
      </w:pPr>
      <w:r w:rsidRPr="00752B2C">
        <w:t>–</w:t>
      </w:r>
      <w:r w:rsidRPr="00752B2C">
        <w:tab/>
        <w:t>so zreteľom na svoje uznesenie zo 7. mája 2025 o európskej stratégii pre odolnosť v oblasti vody</w:t>
      </w:r>
      <w:r>
        <w:rPr>
          <w:rStyle w:val="FootnoteReference"/>
        </w:rPr>
        <w:footnoteReference w:id="2"/>
      </w:r>
      <w:r w:rsidRPr="00752B2C">
        <w:t>,</w:t>
      </w:r>
    </w:p>
    <w:p w:rsidR="00753587" w:rsidRPr="00752B2C" w:rsidP="00753587" w14:paraId="68A825B2" w14:textId="77777777">
      <w:pPr>
        <w:pStyle w:val="NormalHanging12a"/>
      </w:pPr>
      <w:r w:rsidRPr="00752B2C">
        <w:t>–</w:t>
      </w:r>
      <w:r w:rsidRPr="00752B2C">
        <w:tab/>
        <w:t>so zreteľom na oznámenie Komisie zo 4. júna 2025 s názvom Európska stratégia pre odolnosť v oblasti vody (COM(2025)0280),</w:t>
      </w:r>
    </w:p>
    <w:p w:rsidR="00753587" w:rsidRPr="00752B2C" w:rsidP="00753587" w14:paraId="15BB0B10" w14:textId="77777777">
      <w:pPr>
        <w:pStyle w:val="NormalHanging12a"/>
      </w:pPr>
      <w:r w:rsidRPr="00752B2C">
        <w:t>–</w:t>
      </w:r>
      <w:r w:rsidRPr="00752B2C">
        <w:tab/>
        <w:t>so zreteľom na svoje uznesenie z 5. októbra 2022 s názvom Prístup k vode ako ľudské právo – vonkajší rozmer</w:t>
      </w:r>
      <w:r>
        <w:rPr>
          <w:rStyle w:val="FootnoteReference"/>
        </w:rPr>
        <w:footnoteReference w:id="3"/>
      </w:r>
      <w:r w:rsidRPr="00752B2C">
        <w:t xml:space="preserve">, </w:t>
      </w:r>
    </w:p>
    <w:p w:rsidR="00753587" w:rsidRPr="00752B2C" w:rsidP="00753587" w14:paraId="43A41FC8" w14:textId="77777777">
      <w:pPr>
        <w:pStyle w:val="NormalHanging12a"/>
      </w:pPr>
      <w:r w:rsidRPr="00752B2C">
        <w:t>–</w:t>
      </w:r>
      <w:r w:rsidRPr="00752B2C">
        <w:tab/>
        <w:t>so zreteľom na konferenciu OSN o vode 2023 a prijatý Akčný program pre vodu a nadchádzajúcu konferenciu OSN o vode 2026,</w:t>
      </w:r>
    </w:p>
    <w:p w:rsidR="00753587" w:rsidRPr="00752B2C" w:rsidP="00753587" w14:paraId="0A6413A0" w14:textId="77777777">
      <w:pPr>
        <w:pStyle w:val="NormalHanging12a"/>
      </w:pPr>
      <w:r w:rsidRPr="00752B2C">
        <w:t>–</w:t>
      </w:r>
      <w:r w:rsidRPr="00752B2C">
        <w:tab/>
        <w:t>so zreteľom na informačný list Úradu vysokého komisára OSN pre ľudské práva s názvom Právo na vodu, ktorý bol uverejnený v auguste 2010,</w:t>
      </w:r>
    </w:p>
    <w:p w:rsidR="00753587" w:rsidRPr="00752B2C" w:rsidP="00753587" w14:paraId="3C519E0B" w14:textId="77777777">
      <w:pPr>
        <w:pStyle w:val="NormalHanging12a"/>
      </w:pPr>
      <w:r w:rsidRPr="00752B2C">
        <w:t>–</w:t>
      </w:r>
      <w:r w:rsidRPr="00752B2C">
        <w:tab/>
        <w:t xml:space="preserve">so zreteľom na správu Univerzitného inštitútu OSN pre vodu, životné prostredie a zdravie z 20. januára 2026 s názvom </w:t>
      </w:r>
      <w:r w:rsidRPr="00752B2C">
        <w:rPr>
          <w:i/>
          <w:iCs/>
        </w:rPr>
        <w:t>Global</w:t>
      </w:r>
      <w:r w:rsidRPr="00752B2C">
        <w:rPr>
          <w:i/>
          <w:iCs/>
        </w:rPr>
        <w:t xml:space="preserve"> </w:t>
      </w:r>
      <w:r w:rsidRPr="00752B2C">
        <w:rPr>
          <w:i/>
          <w:iCs/>
        </w:rPr>
        <w:t>Water</w:t>
      </w:r>
      <w:r w:rsidRPr="00752B2C">
        <w:rPr>
          <w:i/>
          <w:iCs/>
        </w:rPr>
        <w:t xml:space="preserve"> </w:t>
      </w:r>
      <w:r w:rsidRPr="00752B2C">
        <w:rPr>
          <w:i/>
          <w:iCs/>
        </w:rPr>
        <w:t>Bankruptcy</w:t>
      </w:r>
      <w:r w:rsidRPr="00752B2C">
        <w:rPr>
          <w:i/>
          <w:iCs/>
        </w:rPr>
        <w:t xml:space="preserve"> – </w:t>
      </w:r>
      <w:r w:rsidRPr="00752B2C">
        <w:rPr>
          <w:i/>
          <w:iCs/>
        </w:rPr>
        <w:t>Living</w:t>
      </w:r>
      <w:r w:rsidRPr="00752B2C">
        <w:rPr>
          <w:i/>
          <w:iCs/>
        </w:rPr>
        <w:t xml:space="preserve"> </w:t>
      </w:r>
      <w:r w:rsidRPr="00752B2C">
        <w:rPr>
          <w:i/>
          <w:iCs/>
        </w:rPr>
        <w:t>Beyond</w:t>
      </w:r>
      <w:r w:rsidRPr="00752B2C">
        <w:rPr>
          <w:i/>
          <w:iCs/>
        </w:rPr>
        <w:t xml:space="preserve"> </w:t>
      </w:r>
      <w:r w:rsidRPr="00752B2C">
        <w:rPr>
          <w:i/>
          <w:iCs/>
        </w:rPr>
        <w:t>Our</w:t>
      </w:r>
      <w:r w:rsidRPr="00752B2C">
        <w:rPr>
          <w:i/>
          <w:iCs/>
        </w:rPr>
        <w:t xml:space="preserve"> </w:t>
      </w:r>
      <w:r w:rsidRPr="00752B2C">
        <w:rPr>
          <w:i/>
          <w:iCs/>
        </w:rPr>
        <w:t>Hydrological</w:t>
      </w:r>
      <w:r w:rsidRPr="00752B2C">
        <w:rPr>
          <w:i/>
          <w:iCs/>
        </w:rPr>
        <w:t xml:space="preserve"> </w:t>
      </w:r>
      <w:r w:rsidRPr="00752B2C">
        <w:rPr>
          <w:i/>
          <w:iCs/>
        </w:rPr>
        <w:t>Means</w:t>
      </w:r>
      <w:r w:rsidRPr="00752B2C">
        <w:rPr>
          <w:i/>
          <w:iCs/>
        </w:rPr>
        <w:t xml:space="preserve"> in </w:t>
      </w:r>
      <w:r w:rsidRPr="00752B2C">
        <w:rPr>
          <w:i/>
          <w:iCs/>
        </w:rPr>
        <w:t>the</w:t>
      </w:r>
      <w:r w:rsidRPr="00752B2C">
        <w:rPr>
          <w:i/>
          <w:iCs/>
        </w:rPr>
        <w:t xml:space="preserve"> Post-</w:t>
      </w:r>
      <w:r w:rsidRPr="00752B2C">
        <w:rPr>
          <w:i/>
          <w:iCs/>
        </w:rPr>
        <w:t>Crisis</w:t>
      </w:r>
      <w:r w:rsidRPr="00752B2C">
        <w:rPr>
          <w:i/>
          <w:iCs/>
        </w:rPr>
        <w:t xml:space="preserve"> </w:t>
      </w:r>
      <w:r w:rsidRPr="00752B2C">
        <w:rPr>
          <w:i/>
          <w:iCs/>
        </w:rPr>
        <w:t>Era</w:t>
      </w:r>
      <w:r w:rsidRPr="00752B2C">
        <w:t xml:space="preserve"> (Globálny bankrot v oblasti vody – život nad rámec našich hydrologických možností v období po kríze),</w:t>
      </w:r>
    </w:p>
    <w:p w:rsidR="00753587" w:rsidRPr="00752B2C" w:rsidP="00753587" w14:paraId="2228D953" w14:textId="77777777">
      <w:pPr>
        <w:pStyle w:val="NormalHanging12a"/>
      </w:pPr>
      <w:r w:rsidRPr="00752B2C">
        <w:t>–</w:t>
      </w:r>
      <w:r w:rsidRPr="00752B2C">
        <w:tab/>
        <w:t>so zreteľom na závery Rady z 19. novembra 2018 o diplomacii v oblasti vody,</w:t>
      </w:r>
    </w:p>
    <w:p w:rsidR="00753587" w:rsidRPr="00752B2C" w:rsidP="00753587" w14:paraId="14260A04" w14:textId="77777777">
      <w:pPr>
        <w:pStyle w:val="NormalHanging12a"/>
      </w:pPr>
      <w:r w:rsidRPr="00752B2C">
        <w:t>–</w:t>
      </w:r>
      <w:r w:rsidRPr="00752B2C">
        <w:tab/>
        <w:t>so zreteľom na závery Rady z 19. novembra 2021 o úlohe vody vo vonkajšej činnosti EÚ,</w:t>
      </w:r>
    </w:p>
    <w:p w:rsidR="00753587" w:rsidRPr="00752B2C" w:rsidP="00753587" w14:paraId="125AEC29" w14:textId="77777777">
      <w:pPr>
        <w:pStyle w:val="NormalHanging12a"/>
      </w:pPr>
      <w:r w:rsidRPr="00752B2C">
        <w:t>–</w:t>
      </w:r>
      <w:r w:rsidRPr="00752B2C">
        <w:tab/>
        <w:t>so zreteľom na usmernenia EÚ zo 17. júna 2019 k bezpečnej pitnej vode a sanitácii,</w:t>
      </w:r>
    </w:p>
    <w:p w:rsidR="00753587" w:rsidRPr="00752B2C" w:rsidP="00753587" w14:paraId="452296EB" w14:textId="77777777">
      <w:pPr>
        <w:pStyle w:val="NormalHanging12a"/>
      </w:pPr>
      <w:r w:rsidRPr="00752B2C">
        <w:t>–</w:t>
      </w:r>
      <w:r w:rsidRPr="00752B2C">
        <w:tab/>
        <w:t>so zreteľom na článok 121 rokovacieho poriadku,</w:t>
      </w:r>
    </w:p>
    <w:p w:rsidR="00753587" w:rsidRPr="00752B2C" w:rsidP="00753587" w14:paraId="5B048DC9" w14:textId="77777777">
      <w:pPr>
        <w:pStyle w:val="NormalHanging12a"/>
      </w:pPr>
      <w:r w:rsidRPr="00752B2C">
        <w:t>–</w:t>
      </w:r>
      <w:r w:rsidRPr="00752B2C">
        <w:tab/>
        <w:t>so zreteľom na svoje uznesenie z 2. apríla 2025 o ľudských právach a demokracii vo svete a politike Európskej únie v tejto oblasti – výročná správa za rok 2024</w:t>
      </w:r>
      <w:r>
        <w:rPr>
          <w:rStyle w:val="FootnoteReference"/>
        </w:rPr>
        <w:footnoteReference w:id="4"/>
      </w:r>
      <w:r w:rsidRPr="00752B2C">
        <w:t>,</w:t>
      </w:r>
    </w:p>
    <w:p w:rsidR="00753587" w:rsidRPr="00752B2C" w:rsidP="00753587" w14:paraId="58C03EBF" w14:textId="77777777">
      <w:pPr>
        <w:pStyle w:val="NormalHanging12a"/>
      </w:pPr>
      <w:r w:rsidRPr="00752B2C">
        <w:t>–</w:t>
      </w:r>
      <w:r w:rsidRPr="00752B2C">
        <w:tab/>
        <w:t>so zreteľom na svoje uznesenie z 21. januára 2026 o ľudských právach a demokracii vo svete a politike Európskej únie v tejto oblasti – výročná správa za rok 2025</w:t>
      </w:r>
      <w:r>
        <w:rPr>
          <w:rStyle w:val="FootnoteReference"/>
        </w:rPr>
        <w:footnoteReference w:id="5"/>
      </w:r>
      <w:r w:rsidRPr="00752B2C">
        <w:t>,</w:t>
      </w:r>
    </w:p>
    <w:p w:rsidR="00753587" w:rsidRPr="00752B2C" w:rsidP="00753587" w14:paraId="62340059" w14:textId="77777777">
      <w:pPr>
        <w:pStyle w:val="NormalHanging12a"/>
      </w:pPr>
      <w:r w:rsidRPr="00752B2C">
        <w:t>–</w:t>
      </w:r>
      <w:r w:rsidRPr="00752B2C">
        <w:tab/>
        <w:t>so zreteľom na stanovisko Európskeho hospodárskeho a sociálneho výboru zo 4. decembra 2024 s názvom Politika v oblasti vody: zaistiť väčšie možnosti pre mládež, ženy a domorodé a miestne spoločenstvá</w:t>
      </w:r>
      <w:r>
        <w:rPr>
          <w:rStyle w:val="FootnoteReference"/>
        </w:rPr>
        <w:footnoteReference w:id="6"/>
      </w:r>
      <w:r w:rsidRPr="00752B2C">
        <w:t>,</w:t>
      </w:r>
    </w:p>
    <w:p w:rsidR="00753587" w:rsidRPr="00752B2C" w:rsidP="00753587" w14:paraId="7FFE43CC" w14:textId="77777777">
      <w:pPr>
        <w:pStyle w:val="NormalHanging12a"/>
      </w:pPr>
      <w:r w:rsidRPr="00752B2C">
        <w:t>–</w:t>
      </w:r>
      <w:r w:rsidRPr="00752B2C">
        <w:tab/>
        <w:t>so zreteľom na správu Výboru pre zahraničné veci (A10-0150/2026),</w:t>
      </w:r>
    </w:p>
    <w:p w:rsidR="00753587" w:rsidRPr="00752B2C" w:rsidP="00753587" w14:paraId="587BF7C6" w14:textId="77777777">
      <w:pPr>
        <w:pStyle w:val="NormalHanging12a"/>
      </w:pPr>
      <w:r w:rsidRPr="00752B2C">
        <w:t>A.</w:t>
      </w:r>
      <w:r w:rsidRPr="00752B2C">
        <w:tab/>
        <w:t>keďže voda je nevyhnutná na prežitie ľudstva a všetkého živého na Zemi, a preto sa s ňou musí hospodáriť udržateľne a spravodlivo ako so spoločným verejným a globálnym statkom;</w:t>
      </w:r>
    </w:p>
    <w:p w:rsidR="00753587" w:rsidRPr="00752B2C" w:rsidP="00753587" w14:paraId="26DD3AC7" w14:textId="77777777">
      <w:pPr>
        <w:pStyle w:val="NormalHanging12a"/>
      </w:pPr>
      <w:r w:rsidRPr="00752B2C">
        <w:t>B.</w:t>
      </w:r>
      <w:r w:rsidRPr="00752B2C">
        <w:tab/>
        <w:t>keďže prístup k bezpečnej pitnej vode a sanitácii je ľudským právom a predpokladom zdravia, stability, bezpečnosti a mieru, ako aj plnohodnotného života a požívania všetkých ľudských práv; keďže nedostatočná správa vodných zdrojov, nedostatok vody a nerovnaký prístup k nej môžu prispieť k nestabilite, konfliktom a vysídľovaniu; keďže približne 2,2 miliardy ľudí stále nemá prístup k bezpečne riadenej pitnej vode, 3,5 miliardy ľudí nemá bezpečne riadenú sanitáciu a približne 4 miliardy ľudí zažívajú vážny nedostatok vody aspoň jeden mesiac ročne;</w:t>
      </w:r>
    </w:p>
    <w:p w:rsidR="00753587" w:rsidRPr="00752B2C" w:rsidP="00753587" w14:paraId="1024A196" w14:textId="77777777">
      <w:pPr>
        <w:pStyle w:val="NormalHanging12a"/>
        <w:rPr>
          <w:bCs/>
          <w:iCs/>
        </w:rPr>
      </w:pPr>
      <w:r w:rsidRPr="00752B2C">
        <w:t>C.</w:t>
      </w:r>
      <w:r w:rsidRPr="00752B2C">
        <w:tab/>
        <w:t>keďže nedostatočné vodohospodárske a sanitačné služby významne prispievajú k šíreniu infekčných chorôb, napríklad cholery, malárie a gastrointestinálnych chorôb, ktorým sa dá predchádzať;</w:t>
      </w:r>
    </w:p>
    <w:p w:rsidR="00753587" w:rsidRPr="00752B2C" w:rsidP="00753587" w14:paraId="6857C14B" w14:textId="77777777">
      <w:pPr>
        <w:pStyle w:val="NormalHanging12a"/>
      </w:pPr>
      <w:r w:rsidRPr="00752B2C">
        <w:t>D.</w:t>
      </w:r>
      <w:r w:rsidRPr="00752B2C">
        <w:tab/>
        <w:t>keďže zmena klímy a neudržateľná ľudská činnosť predstavujú vážnu hrozbu pre vodné zdroje a zhoršujú vodný stres; keďže rastúci tlak na vodné zdroje spôsobený rýchlo rastúcim počtom obyvateľov, zvyšujúcim sa dopytom a neudržateľným využívaním vody a pôdy prispieva k nedostatku vody, hladu a konfliktom;</w:t>
      </w:r>
    </w:p>
    <w:p w:rsidR="00753587" w:rsidRPr="00752B2C" w:rsidP="00753587" w14:paraId="099F573B" w14:textId="77777777">
      <w:pPr>
        <w:pStyle w:val="NormalHanging12a"/>
      </w:pPr>
      <w:r w:rsidRPr="00752B2C">
        <w:t>E.</w:t>
      </w:r>
      <w:r w:rsidRPr="00752B2C">
        <w:tab/>
        <w:t xml:space="preserve">keďže len približne tretina kontinentálneho povodia bola počas každého z posledných šiestich rokov v normálnych podmienkach prietoku vody; keďže 90 % všetkých prírodných katastrof súvisí s vodou; keďže hydrologické cykly sú čoraz nevyspytateľnejšie a vyznačujú sa prudkými výkyvmi medzi veľkým suchom a ničivými povodňami, a to v dôsledku zmeny klímy; keďže všetky regióny sveta pokryté ľadovcami zaznamenali v posledných rokoch topenie ľadu; keďže ľudská činnosť je do </w:t>
      </w:r>
      <w:r w:rsidRPr="00752B2C">
        <w:t>značnej miery zodpovedná za znečistenie sladkovodných zdrojov na celom svete;</w:t>
      </w:r>
    </w:p>
    <w:p w:rsidR="00753587" w:rsidRPr="00752B2C" w:rsidP="00753587" w14:paraId="40E22503" w14:textId="77777777">
      <w:pPr>
        <w:pStyle w:val="NormalHanging12a"/>
        <w:rPr>
          <w:bCs/>
          <w:iCs/>
        </w:rPr>
      </w:pPr>
      <w:r w:rsidRPr="00752B2C">
        <w:t>F.</w:t>
      </w:r>
      <w:r w:rsidRPr="00752B2C">
        <w:tab/>
        <w:t>keďže kvantita a kvalita vody sú rovnako dôležité; keďže adekvátne riadenie kvantity a kvality vody prináša hospodárske a sociálne príležitosti;</w:t>
      </w:r>
    </w:p>
    <w:p w:rsidR="00753587" w:rsidRPr="00752B2C" w:rsidP="00753587" w14:paraId="3EB2AEDE" w14:textId="77777777">
      <w:pPr>
        <w:pStyle w:val="NormalHanging12a"/>
      </w:pPr>
      <w:r w:rsidRPr="00752B2C">
        <w:t>G.</w:t>
      </w:r>
      <w:r w:rsidRPr="00752B2C">
        <w:tab/>
        <w:t xml:space="preserve">keďže 60 % sladkovodných tokov na celom svete tvoria cezhraničné </w:t>
      </w:r>
      <w:r w:rsidRPr="00752B2C">
        <w:t>zvodnené</w:t>
      </w:r>
      <w:r w:rsidRPr="00752B2C">
        <w:t xml:space="preserve"> kolektory vody, jazerá a povodia riek, ktoré spoločne využívajú dve alebo viaceré krajiny; </w:t>
      </w:r>
    </w:p>
    <w:p w:rsidR="00753587" w:rsidRPr="00752B2C" w:rsidP="00753587" w14:paraId="67EB5F20" w14:textId="77777777">
      <w:pPr>
        <w:pStyle w:val="NormalHanging12a"/>
      </w:pPr>
      <w:r w:rsidRPr="00752B2C">
        <w:t>H.</w:t>
      </w:r>
      <w:r w:rsidRPr="00752B2C">
        <w:tab/>
        <w:t xml:space="preserve">keďže cezhraničná spolupráca v oblasti vody je na celom svete aj napriek pokroku nedostatočná; keďže zo 153 členských štátov OSN, ktoré majú spoločné cezhraničné vody, má len 43 uzavreté operačné dohody; keďže viac ako 20 krajín takéto opatrenia nemá, pričom v Ázii a Latinskej Amerike je pokrok obzvlášť obmedzený; </w:t>
      </w:r>
    </w:p>
    <w:p w:rsidR="00753587" w:rsidRPr="00752B2C" w:rsidP="00753587" w14:paraId="4BAD3EB8" w14:textId="77777777">
      <w:pPr>
        <w:pStyle w:val="NormalHanging12a"/>
        <w:rPr>
          <w:bCs/>
          <w:iCs/>
        </w:rPr>
      </w:pPr>
      <w:r w:rsidRPr="00752B2C">
        <w:t>I.</w:t>
      </w:r>
      <w:r w:rsidRPr="00752B2C">
        <w:tab/>
        <w:t>keďže účinné hospodárenie s vodami, transparentnosť a monitorovanie v odvetví vody a sanitácie sú zárukou toho, že využívanie finančných zdrojov bude slúžiť verejnému záujmu a podporovať udržateľný rozvoj;</w:t>
      </w:r>
    </w:p>
    <w:p w:rsidR="00753587" w:rsidRPr="00752B2C" w:rsidP="00753587" w14:paraId="504BE87E" w14:textId="77777777">
      <w:pPr>
        <w:pStyle w:val="NormalHanging12a"/>
      </w:pPr>
      <w:r w:rsidRPr="00752B2C">
        <w:t>J.</w:t>
      </w:r>
      <w:r w:rsidRPr="00752B2C">
        <w:tab/>
        <w:t>keďže vodný stres a jednostranné opatrenia krajín v cezhraničných vodách, ako je znečistenie, nadmerné využívanie či výstavba infraštruktúry, môžu mať dôsledky pre všetky štáty susediace s týmito vodami; keďže spory o prístup k vode vedú k širším konfliktom a hospodárskemu kolapsu a môžu ich podnecovať, čo má vážne dôsledky pre regionálnu stabilitu a ľudskú bezpečnosť;</w:t>
      </w:r>
    </w:p>
    <w:p w:rsidR="00753587" w:rsidRPr="00752B2C" w:rsidP="00753587" w14:paraId="0B2306D7" w14:textId="77777777">
      <w:pPr>
        <w:pStyle w:val="NormalHanging12a"/>
      </w:pPr>
      <w:r w:rsidRPr="00752B2C">
        <w:t>K.</w:t>
      </w:r>
      <w:r w:rsidRPr="00752B2C">
        <w:tab/>
        <w:t>keďže voda je v posledných rokoch skôr zdrojom konfliktov než spolupráce; keďže napriek pokroku pri zabezpečovaní pitnej vody a sanitácie za posledné desaťročie miliardy ľudí na celom svete stále nemajú prístup k základným službám v oblasti vody, sanitácie a hygieny, čo ich vystavuje riziku chorôb a hlbšieho sociálneho vylúčenia; keďže určité skupiny, najmä ženy, deti, utečenci, pôvodné obyvateľstvo, znevýhodnené komunity, osoby so zdravotným postihnutím a iné skupiny, sú pri plánovaní a rozvoji vodohospodárskej a sanitačnej infraštruktúry často prehliadané alebo čelia diskriminácii; keďže degradácia životného prostredia a riziká súvisiace s klímou majú tendenciu neprimerane postihovať chudobné a marginalizované komunity; keďže tieto podmienky čoraz viac využívajú zločinecké siete, teroristické organizácie a miestne milície na posilnenie svojho vplyvu a presadzovanie svojich cieľov;</w:t>
      </w:r>
    </w:p>
    <w:p w:rsidR="00753587" w:rsidRPr="00752B2C" w:rsidP="00753587" w14:paraId="59CA0A25" w14:textId="77777777">
      <w:pPr>
        <w:pStyle w:val="NormalHanging12a"/>
      </w:pPr>
      <w:r w:rsidRPr="00752B2C">
        <w:t>L.</w:t>
      </w:r>
      <w:r w:rsidRPr="00752B2C">
        <w:tab/>
        <w:t>keďže len spravodlivý a udržateľný prístup k vodným zdrojom môže zabezpečiť dlhodobú predvídateľnosť pre všetkých; keďže strategická nadnárodná spolupráca v oblasti vodných zdrojov umožňuje udržateľné riadenie ľudských činností a spoločnú prípravu na nevyspytateľné hydrologické cykly v prospech všetkých susedov;</w:t>
      </w:r>
    </w:p>
    <w:p w:rsidR="00753587" w:rsidRPr="00752B2C" w:rsidP="00753587" w14:paraId="36F41571" w14:textId="77777777">
      <w:pPr>
        <w:pStyle w:val="NormalHanging12a"/>
      </w:pPr>
      <w:r w:rsidRPr="00752B2C">
        <w:t>M.</w:t>
      </w:r>
      <w:r w:rsidRPr="00752B2C">
        <w:tab/>
        <w:t>keďže Pakt pre Stredozemie je rámcom pre posilnenú regionálnu spoluprácu; keďže diplomacia v oblasti vody by sa mala zaradiť medzi jeho prioritné opatrenia, a to vzhľadom na rastúci tlak na spoločné vodné zdroje v celom Stredozemí vrátane regiónov, ako je východné Stredozemie a severná Afrika; keďže kooperatívne hospodárenie s vodami, spoločné infraštruktúrne projekty a dialóg o cezhraničných zdrojoch by sa mali uznať za dôležité nástroje na predchádzanie konfliktom, odolnosť voči zmene klímy a udržateľný rozvoj;</w:t>
      </w:r>
    </w:p>
    <w:p w:rsidR="00753587" w:rsidRPr="00752B2C" w:rsidP="00753587" w14:paraId="4CE76E63" w14:textId="77777777">
      <w:pPr>
        <w:pStyle w:val="NormalHanging12a"/>
      </w:pPr>
      <w:r w:rsidRPr="00752B2C">
        <w:t>N.</w:t>
      </w:r>
      <w:r w:rsidRPr="00752B2C">
        <w:tab/>
        <w:t>keďže ozbrojené konflikty a okupácia výrazne narúšajú dostupnosť vody a nadnárodnú spoluprácu v oblasti vody;</w:t>
      </w:r>
    </w:p>
    <w:p w:rsidR="00753587" w:rsidRPr="00752B2C" w:rsidP="00753587" w14:paraId="658299BD" w14:textId="77777777">
      <w:pPr>
        <w:pStyle w:val="NormalHanging12a"/>
      </w:pPr>
      <w:r w:rsidRPr="00752B2C">
        <w:t>O.</w:t>
      </w:r>
      <w:r w:rsidRPr="00752B2C">
        <w:tab/>
        <w:t>keďže politické záväzky na celosvetovej úrovni týkajúce sa udržateľného hospodárenia s vodami neboli vyvážené požadovanými finančnými prostriedkami ani opatreniami v teréne;</w:t>
      </w:r>
    </w:p>
    <w:p w:rsidR="00753587" w:rsidRPr="00752B2C" w:rsidP="00753587" w14:paraId="5E50D654" w14:textId="77777777">
      <w:pPr>
        <w:pStyle w:val="NormalHanging12a"/>
      </w:pPr>
      <w:r w:rsidRPr="00752B2C">
        <w:t>P.</w:t>
      </w:r>
      <w:r w:rsidRPr="00752B2C">
        <w:tab/>
        <w:t xml:space="preserve">keďže medzinárodné humanitárne právo, konkrétne Dodatkové protokoly k Ženevským dohovorom z roku 1977, výslovne chránia priehrady a iné „zariadenia obsahujúce nebezpečné sily“; keďže využívanie vody ako zbrane vrátane útokov na vodné systémy a zariadenia alebo z toho vyplývajúcich škôd na životnom prostredí predstavuje vážne porušenie ľudských práv a mohlo by predstavovať zločin proti ľudskosti a </w:t>
      </w:r>
      <w:r w:rsidRPr="00752B2C">
        <w:t>ekocídu</w:t>
      </w:r>
      <w:r w:rsidRPr="00752B2C">
        <w:t>;</w:t>
      </w:r>
    </w:p>
    <w:p w:rsidR="00753587" w:rsidRPr="00752B2C" w:rsidP="00753587" w14:paraId="5E3B3938" w14:textId="77777777">
      <w:pPr>
        <w:pStyle w:val="NormalHanging12a"/>
      </w:pPr>
      <w:r w:rsidRPr="00752B2C">
        <w:t>Q.</w:t>
      </w:r>
      <w:r w:rsidRPr="00752B2C">
        <w:tab/>
        <w:t xml:space="preserve">keďže súčasné vojny čoraz častejšie zahŕňajú úmyselné cielené útoky na vodné zdroje a vodnú infraštruktúru a ich využívanie ako zbrane, ako sa nedávno ukázalo pri pustošivom zničení </w:t>
      </w:r>
      <w:r w:rsidRPr="00752B2C">
        <w:t>Kachovskej</w:t>
      </w:r>
      <w:r w:rsidRPr="00752B2C">
        <w:t xml:space="preserve"> vodnej nádrže na Ukrajine Ruskom v roku 2023; keďže zničenie </w:t>
      </w:r>
      <w:r w:rsidRPr="00752B2C">
        <w:t>Kachovskej</w:t>
      </w:r>
      <w:r w:rsidRPr="00752B2C">
        <w:t xml:space="preserve"> vodnej nádrže spôsobilo vážne ničenie životného prostredia vrátane povodní, znečistenia sladkovodných zdrojov, straty biodiverzity a dlhodobého poškodenia ekosystémov a tiež úmrtia a masové vysídlenie civilného obyvateľstva, ktoré pripravilo o prístup k bezpečnej pitnej vode a živobytiu; keďže zničenie vodnej nádrže vážne ohrozilo jadrovú bezpečnosť v neďalekej Záporožskej jadrovej elektrárni; keďže v dôsledku ruskej útočnej vojny proti Ukrajine nemá v súčasnosti približne 1,7 milióna detí na Ukrajine spoľahlivý prístup k bezpečnej pitnej vode;</w:t>
      </w:r>
    </w:p>
    <w:p w:rsidR="00753587" w:rsidRPr="00752B2C" w:rsidP="00753587" w14:paraId="210EF7FB" w14:textId="31BFF796">
      <w:pPr>
        <w:pStyle w:val="NormalHanging12a"/>
      </w:pPr>
      <w:r w:rsidRPr="00752B2C">
        <w:t>R.</w:t>
      </w:r>
      <w:r w:rsidRPr="00752B2C">
        <w:tab/>
        <w:t xml:space="preserve">keďže </w:t>
      </w:r>
      <w:r w:rsidRPr="00752B2C" w:rsidR="008D6008">
        <w:t>Európsky p</w:t>
      </w:r>
      <w:r w:rsidRPr="00752B2C">
        <w:t>arlament čo najdôraznejšie odsúdil úmyselné ničenie vodnej infraštruktúry vrátane vodných nádrží Ruskom, ktoré to využíva ako vojnovú zbraň; keďže toto ničenie spôsobilo vážne škody na životnom prostredí, narušilo bezpečnosť vody a ohrozilo civilné obyvateľstvo; keďže takéto činy predstavujú porušenie medzinárodného práva a voči zodpovedným osobám treba vyvodiť plnú zodpovednosť; keďže Komisia a členské štáty EÚ naďalej poskytujú Ukrajine pomoc pri vyšetrovaní páchateľov, aby mohli byť stíhaní za vojnové zločiny a zločiny proti ľudskosti;</w:t>
      </w:r>
    </w:p>
    <w:p w:rsidR="00753587" w:rsidRPr="00752B2C" w:rsidP="00753587" w14:paraId="564C1B78" w14:textId="77777777">
      <w:pPr>
        <w:pStyle w:val="NormalHanging12a"/>
      </w:pPr>
      <w:r w:rsidRPr="00752B2C">
        <w:t>S.</w:t>
      </w:r>
      <w:r w:rsidRPr="00752B2C">
        <w:tab/>
        <w:t>keďže EÚ podporuje spoločné izraelsko-palestínske mechanizmy správy vodných zdrojov vrátane obnovenia existujúcich rámcov, ako je Spoločný výbor pre vodu, s cieľom podporiť spravodlivú distribúciu vody, lepšiu transparentnosť a účinný rozvoj infraštruktúry; keďže nerovnaký prístup k spoločným vodným zdrojom zostáva štrukturálnou príčinou nestability na Blízkom východe, najmä v povodí rieky Jordán, kde historická a pretrvávajúca nerovnováha v prideľovaní a kontrole z hľadiska palestínskych komunít prehlbuje sociálno-ekonomické rozdiely; keďže v rámci existujúcich dohôd majú izraelské orgány účinnú kontrolu nad väčšinou vodných zdrojov na Západnom brehu Jordánu a tých, ktoré odtiaľ odtekajú;</w:t>
      </w:r>
    </w:p>
    <w:p w:rsidR="00753587" w:rsidRPr="00752B2C" w:rsidP="00753587" w14:paraId="40C6A8C7" w14:textId="77777777">
      <w:pPr>
        <w:pStyle w:val="NormalHanging12a"/>
      </w:pPr>
      <w:r w:rsidRPr="00752B2C">
        <w:t>T.</w:t>
      </w:r>
      <w:r w:rsidRPr="00752B2C">
        <w:tab/>
        <w:t xml:space="preserve">keďže v dôsledku konfliktu medzi Izraelom a </w:t>
      </w:r>
      <w:r w:rsidRPr="00752B2C">
        <w:t>Hamasom</w:t>
      </w:r>
      <w:r w:rsidRPr="00752B2C">
        <w:t xml:space="preserve"> dochádza k rozsiahlemu ničeniu vodnej, sanitačnej a hygienickej infraštruktúry v Pásme Gazy vrátane </w:t>
      </w:r>
      <w:r w:rsidRPr="00752B2C">
        <w:t>odsoľovacích</w:t>
      </w:r>
      <w:r w:rsidRPr="00752B2C">
        <w:t xml:space="preserve"> zariadení, zariadení na čistenie odpadových vôd a distribučných sietí, v dôsledku čoho je veľká časť obyvateľstva bez spoľahlivého prístupu k bezpečnej pitnej vode a prehlbujú sa humanitárne potreby; keďže Úrad vysokého komisára OSN pre ľudské práva v júli 2025 informoval, že 89 % vodnej a sanitačnej infraštruktúry v Gaze bolo poškodených alebo zničených, v dôsledku čoho 90 % domácností trpí nedostatkom vody; keďže rýchle a bezproblémové dodávky materiálu, pohonných hmôt a technickej pomoci sú potrebné na opravu a rekonštrukciu kritickej vodnej infraštruktúry vrátane potrubí, </w:t>
      </w:r>
      <w:r w:rsidRPr="00752B2C">
        <w:t>odsoľovacích</w:t>
      </w:r>
      <w:r w:rsidRPr="00752B2C">
        <w:t xml:space="preserve"> zariadení a zariadení na čistenie odpadových vôd;</w:t>
      </w:r>
    </w:p>
    <w:p w:rsidR="00753587" w:rsidRPr="00752B2C" w:rsidP="00753587" w14:paraId="2045C07F" w14:textId="77777777">
      <w:pPr>
        <w:pStyle w:val="NormalHanging12a"/>
      </w:pPr>
      <w:r w:rsidRPr="00752B2C">
        <w:t>U.</w:t>
      </w:r>
      <w:r w:rsidRPr="00752B2C">
        <w:tab/>
        <w:t xml:space="preserve">keďže cezhraničné vplyvy rozsiahlych projektov priehrad realizovaných Tureckom v rámci projektu v juhovýchodnej Anatólii (GAP) vrátane priehrady </w:t>
      </w:r>
      <w:r w:rsidRPr="00752B2C">
        <w:t>Ilısu</w:t>
      </w:r>
      <w:r w:rsidRPr="00752B2C">
        <w:t xml:space="preserve"> ovplyvnili prietoky vody v dolnom toku riek Tigris a Eufrat a prispeli k nedostatku vody, poľnohospodárskym stratám a zhoršeniu životného prostredia v Iraku a Sýrii; keďže turecké, iracké a sýrske zainteresované strany požadujú štruktúrovaný a inkluzívny dialóg v rámci celého povodia o riadení riečneho systému Tigris – Eufrat na základe zásad medzinárodného vodného práva vrátane spravodlivého a primeraného využívania a povinnosti výrazne nenarušiť;</w:t>
      </w:r>
    </w:p>
    <w:p w:rsidR="00753587" w:rsidRPr="00752B2C" w:rsidP="00753587" w14:paraId="2EF698B0" w14:textId="77777777">
      <w:pPr>
        <w:pStyle w:val="NormalHanging12a"/>
      </w:pPr>
      <w:r w:rsidRPr="00752B2C">
        <w:t>V.</w:t>
      </w:r>
      <w:r w:rsidRPr="00752B2C">
        <w:tab/>
        <w:t xml:space="preserve">keďže napätie medzi Egyptom a Etiópiou po dokončení a inaugurácii Veľkej priehrady etiópskeho znovuzrodenia (GERD) v roku 2025 pretrváva, čo by mohlo výrazne ovplyvniť </w:t>
      </w:r>
      <w:r w:rsidRPr="00752B2C">
        <w:t>hydropolitickú</w:t>
      </w:r>
      <w:r w:rsidRPr="00752B2C">
        <w:t xml:space="preserve"> rovnováhu v povodí Nílu; keďže Bezpečnostná rada OSN opakovane rokovala o Veľkej priehrade etiópskeho znovuzrodenia; keďže všetky dotknuté strany by sa mali zdržať jednostranných opatrení, ktoré by mohli zhoršiť napätie, a mali by uprednostniť kroky na budovanie dôvery vrátane transparentnosti prevádzky priehrad a technickej spolupráce pri predpovedaní prietoku vody;</w:t>
      </w:r>
    </w:p>
    <w:p w:rsidR="00753587" w:rsidRPr="00752B2C" w:rsidP="00753587" w14:paraId="454C5587" w14:textId="77777777">
      <w:pPr>
        <w:pStyle w:val="NormalHanging12a"/>
      </w:pPr>
      <w:r w:rsidRPr="00752B2C">
        <w:t>W.</w:t>
      </w:r>
      <w:r w:rsidRPr="00752B2C">
        <w:tab/>
        <w:t xml:space="preserve">keďže rieka </w:t>
      </w:r>
      <w:r w:rsidRPr="00752B2C">
        <w:t>Araks</w:t>
      </w:r>
      <w:r w:rsidRPr="00752B2C">
        <w:t xml:space="preserve"> má pre Arménsko a Azerbajdžan zásadný význam z hľadiska poľnohospodárstva, hospodárskeho rozvoja a pitnej vody, no kvalita a kvantita vody v rieke </w:t>
      </w:r>
      <w:r w:rsidRPr="00752B2C">
        <w:t>Araks</w:t>
      </w:r>
      <w:r w:rsidRPr="00752B2C">
        <w:t xml:space="preserve"> klesá; keďže budúca dohoda medzi Arménskom a Azerbajdžanom týkajúca sa ich spoločného cezhraničného vodného útvaru vrátane mechanizmov výmeny údajov, spoločného monitorovania, bezpečnosti priehrad a spravodlivého a udržateľného prideľovania vody na poľnohospodárske a civilné použitie by umožnila, aby rieka bola spoločným zdrojom, a nie príčinou nestability;</w:t>
      </w:r>
    </w:p>
    <w:p w:rsidR="00753587" w:rsidRPr="00752B2C" w:rsidP="00753587" w14:paraId="1C7A01B9" w14:textId="77777777">
      <w:pPr>
        <w:pStyle w:val="NormalHanging12a"/>
      </w:pPr>
      <w:r w:rsidRPr="00752B2C">
        <w:t>X.</w:t>
      </w:r>
      <w:r w:rsidRPr="00752B2C">
        <w:tab/>
        <w:t>keďže znečistenie a odpad, ktoré prinášajú rieky a morské prúdy, sa môžu hromadiť na pobreží iných štátov a spôsobovať environmentálne, hospodárske a sociálne škody vrátane škôd v oblasti cestovného ruchu a rybolovu;</w:t>
      </w:r>
    </w:p>
    <w:p w:rsidR="00753587" w:rsidRPr="00752B2C" w:rsidP="00753587" w14:paraId="0FA0DC58" w14:textId="77777777">
      <w:pPr>
        <w:pStyle w:val="NormalHanging12a"/>
      </w:pPr>
      <w:r w:rsidRPr="00752B2C">
        <w:t xml:space="preserve">Y. </w:t>
      </w:r>
      <w:r w:rsidRPr="00752B2C">
        <w:tab/>
        <w:t>keďže nedostatok vody a degradácia vodných zdrojov môžu viesť aj k masívnemu vysídľovaniu obyvateľstva a nútenej migrácii, čo zhoršuje potravinovú neistotu, chudobu a nestabilitu v najzraniteľnejších regiónoch; keďže jedným z prostriedkov na riešenie základných príčin migrácie je zlepšenie hospodárenia s vodami v tretích krajinách;</w:t>
      </w:r>
    </w:p>
    <w:p w:rsidR="00753587" w:rsidRPr="00752B2C" w:rsidP="00753587" w14:paraId="2931D00C" w14:textId="77777777">
      <w:pPr>
        <w:pStyle w:val="NormalHanging12a"/>
      </w:pPr>
      <w:r w:rsidRPr="00752B2C">
        <w:t>Z.</w:t>
      </w:r>
      <w:r w:rsidRPr="00752B2C">
        <w:tab/>
        <w:t>keďže ozbrojení štátni a neštátni aktéri v oblastiach zasiahnutých konfliktom využívajú oslabené obyvateľstvo ako prostriedok na získanie legitimity prostredníctvom kontroly vodných zdrojov; keďže prístup k vodnej infraštruktúre a kontrola nad vodnou infraštruktúrou sa stále viac využívajú ako nástroje politického nátlaku, donucovania alebo vojny;</w:t>
      </w:r>
    </w:p>
    <w:p w:rsidR="00753587" w:rsidRPr="00752B2C" w:rsidP="00753587" w14:paraId="7707190C" w14:textId="77777777">
      <w:pPr>
        <w:pStyle w:val="NormalHanging12a"/>
      </w:pPr>
      <w:r w:rsidRPr="00752B2C">
        <w:t>AA.</w:t>
      </w:r>
      <w:r w:rsidRPr="00752B2C">
        <w:tab/>
        <w:t>keďže verejno-súkromné partnerstvá by mali podporovať lepší a cenovo dostupnejší prístup k vode, sanitácii a hygiene pre všetkých, najmä pri vytváraní a účinnej a udržateľnej údržbe a správe vodnej infraštruktúry; keďže verejné investície a politiky by mali podporovať a stimulovať súkromný sektor, aby investoval do technológií a postupov riadenia, ktoré zvyšujú udržateľnú hospodársku činnosť;</w:t>
      </w:r>
    </w:p>
    <w:p w:rsidR="00753587" w:rsidRPr="00752B2C" w:rsidP="00753587" w14:paraId="6658E681" w14:textId="77777777">
      <w:pPr>
        <w:pStyle w:val="NormalHanging12a"/>
      </w:pPr>
      <w:r w:rsidRPr="00752B2C">
        <w:t>1.</w:t>
      </w:r>
      <w:r w:rsidRPr="00752B2C">
        <w:tab/>
        <w:t>odporúča Rade, Komisii a podpredsedníčke Komisie/vysokej predstaviteľke Únie pre zahraničné veci a bezpečnostnú politiku:</w:t>
      </w:r>
    </w:p>
    <w:p w:rsidR="00753587" w:rsidRPr="00752B2C" w:rsidP="00753587" w14:paraId="7B8FDA85" w14:textId="77777777">
      <w:pPr>
        <w:pStyle w:val="NormalHanging12a"/>
        <w:ind w:left="1134"/>
      </w:pPr>
      <w:r w:rsidRPr="00752B2C">
        <w:t>a)</w:t>
      </w:r>
      <w:r w:rsidRPr="00752B2C">
        <w:tab/>
        <w:t xml:space="preserve">posilniť úlohu cezhraničnej správy vodných zdrojov vo vonkajšej činnosti EÚ, </w:t>
      </w:r>
      <w:r w:rsidRPr="00752B2C">
        <w:t>aby sa stala zmysluplným nástrojom na predchádzanie konfliktom, ich riešenie a budovanie dôvery na regionálnej, vnútroštátnej a medzinárodnej úrovni, najmä v oblastiach, ktoré sú zraniteľné voči vplyvom zmeny klímy a v ktorých je už teraz nedostatok vody, najmä v regiónoch strategického významu; výslovne uznať vodný stres ako hlavný faktor bezpečnostných, geopolitických a humanitárnych rizík a plne začleniť predchádzanie konfliktom súvisiacim s vodou do zahraničnej, bezpečnostnej a rozvojovej politiky EÚ;</w:t>
      </w:r>
    </w:p>
    <w:p w:rsidR="00753587" w:rsidRPr="00752B2C" w:rsidP="00753587" w14:paraId="58BF2397" w14:textId="77777777">
      <w:pPr>
        <w:pStyle w:val="NormalHanging12a"/>
        <w:ind w:left="1134"/>
      </w:pPr>
      <w:r w:rsidRPr="00752B2C">
        <w:t>b)</w:t>
      </w:r>
      <w:r w:rsidRPr="00752B2C">
        <w:tab/>
        <w:t>riešiť absenciu operačných dohôd medzi vládami štátov, ktoré majú spoločné cezhraničné povodia, a sprístupniť všetky potrebné odborné znalosti a technickú a finančnú pomoc EÚ na podporu vlád pri vytváraní a vykonávaní takýchto dohôd, ako aj organizácií pre riadenie povodí, a to pri plnom rešpektovaní zvrchovanosti partnerských krajín a ich primárnej zodpovednosti za hospodárenie s vodnými zdrojmi s cieľom znížiť riziko napätia alebo konfliktu, podporovať spoluprácu a posilniť udržateľné riadenie prírodných zdrojov; v rámci dvojstranných dialógov EÚ s partnerskými krajinami dôsledne nastoľovať otázky súvisiace s nadnárodnou správou vodných zdrojov;</w:t>
      </w:r>
    </w:p>
    <w:p w:rsidR="00753587" w:rsidRPr="00752B2C" w:rsidP="00753587" w14:paraId="37C53AB0" w14:textId="77777777">
      <w:pPr>
        <w:pStyle w:val="NormalHanging12a"/>
        <w:ind w:left="1134"/>
      </w:pPr>
      <w:r w:rsidRPr="00752B2C">
        <w:t>c)</w:t>
      </w:r>
      <w:r w:rsidRPr="00752B2C">
        <w:tab/>
        <w:t xml:space="preserve">podporovať úsilie partnerských krajín o vytvorenie právneho prostredia a priaznivej politiky pre spoločné hospodárenie s vodami a posilniť úlohu nadnárodnej správy vodných zdrojov vo vonkajšej činnosti a diplomacii EÚ; na tento účel poskytnúť Európskej službe pre vonkajšiu činnosť (ESVČ) a delegáciám EÚ na celom svete primerané finančné a ľudské zdroje na podporu cezhraničného hospodárenia s vodami na mieste v partnerských krajinách a medzi nimi a na podporu rozvoja a vykonávania modrej diplomacie; </w:t>
      </w:r>
    </w:p>
    <w:p w:rsidR="00753587" w:rsidRPr="00752B2C" w:rsidP="00753587" w14:paraId="24693BD2" w14:textId="77777777">
      <w:pPr>
        <w:pStyle w:val="NormalHanging12a"/>
        <w:ind w:left="1134"/>
      </w:pPr>
      <w:r w:rsidRPr="00752B2C">
        <w:t>d)</w:t>
      </w:r>
      <w:r w:rsidRPr="00752B2C">
        <w:tab/>
        <w:t xml:space="preserve">zaistiť primerané a účinné financovanie cezhraničného hospodárenia s vodami EÚ vo vonkajšej činnosti EÚ v nasledujúcom viacročnom finančnom rámci prostredníctvom nástrojov Globálna Európa a </w:t>
      </w:r>
      <w:r w:rsidRPr="00752B2C">
        <w:t>Global</w:t>
      </w:r>
      <w:r w:rsidRPr="00752B2C">
        <w:t xml:space="preserve"> </w:t>
      </w:r>
      <w:r w:rsidRPr="00752B2C">
        <w:t>Gateway</w:t>
      </w:r>
      <w:r w:rsidRPr="00752B2C">
        <w:t xml:space="preserve">; posilniť prispôsobenie vonkajších investícií EÚ do prístupu k vode a sanitácii nestabilným a konfliktným kontextom s cieľom podporiť mier a odolnosť, a to aj prostredníctvom zvýšeného financovania globálneho prístupu k udržateľnému hospodáreniu s vodami a infraštruktúre sanitácie vody odolným proti zmene klímy; zabezpečiť, aby projekty v oblasti infraštruktúry a energetiky financované z prostriedkov rozvojovej spolupráce a nástrojov vonkajšej politiky EÚ vrátane Európskej investičnej banky boli aj naďalej v súlade s medzinárodným právom, nenarúšali cezhraničné vzťahy v oblasti vody, rovnaký prístup a udržateľné riadenie v oblasti vody a umožňovali prístup ľudí k ich pôde, a to najmä pôvodného obyvateľstva; zosúladiť financovanie s globálnymi hlavnými opatreniami prvej Európskej stratégie pre odolnosť v oblasti vody; </w:t>
      </w:r>
    </w:p>
    <w:p w:rsidR="00753587" w:rsidRPr="00752B2C" w:rsidP="00753587" w14:paraId="74289E82" w14:textId="77777777">
      <w:pPr>
        <w:pStyle w:val="NormalHanging12a"/>
        <w:ind w:left="1134"/>
      </w:pPr>
      <w:r w:rsidRPr="00752B2C">
        <w:t>e)</w:t>
      </w:r>
      <w:r w:rsidRPr="00752B2C">
        <w:tab/>
        <w:t xml:space="preserve">uznať a dôraznejšie podporiť kľúčovú prácu, ktorú vykonávajú ochrancovia environmentálnych práv a organizácie občianskej spoločnosti v prospech ochrany vody, rovnakého prístupu k nej a cezhraničnej správy vodných zdrojov; úzko zapojiť miestnych obhajcov environmentálnych práv a organizácie občianskej spoločnosti do podpory EÚ cezhraničnej správe vodných zdrojov v tretích krajinách a podporovať ich bezpečnosť a slobodné pôsobenie bez násilia a zastrašovania; zvýšiť podporu pre mimovládne organizácie pôsobiace v oblasti diplomacie v oblasti vody, predchádzania konfliktom a cezhraničnej spolupráce v oblasti vody, najmä v nestabilných regiónoch a regiónoch zasiahnutých konfliktom, a uznať ich dôležitú úlohu pri uľahčovaní dialógu na miestnej </w:t>
      </w:r>
      <w:r w:rsidRPr="00752B2C">
        <w:t>a regionálnej úrovni, podpore hospodárenia s vodami na úrovni komunít, podpore budovania dôvery a prispievaní k udržateľným a inkluzívnym iniciatívam v oblasti správy vodných zdrojov;</w:t>
      </w:r>
    </w:p>
    <w:p w:rsidR="00753587" w:rsidRPr="00752B2C" w:rsidP="00753587" w14:paraId="5555DC68" w14:textId="77777777">
      <w:pPr>
        <w:pStyle w:val="NormalHanging12a"/>
        <w:ind w:left="1134"/>
      </w:pPr>
      <w:r w:rsidRPr="00752B2C">
        <w:t>f)</w:t>
      </w:r>
      <w:r w:rsidRPr="00752B2C">
        <w:tab/>
      </w:r>
      <w:bookmarkStart w:id="7" w:name="_Hlk231546271"/>
      <w:r w:rsidRPr="00752B2C">
        <w:t>rozšíriť prostredníctvom prístupu Tím Európa geografickú pôsobnosť projektov EÚ v oblasti cezhraničnej správy vodných zdrojov aj mimo určitých častí Afriky a Strednej Ázie, a to na americký kontinent, Blízky východ a do severnej Afriky a východnej a južnej Ázie,</w:t>
      </w:r>
      <w:bookmarkEnd w:id="7"/>
      <w:r w:rsidRPr="00752B2C">
        <w:t xml:space="preserve"> a to najmä v oblastiach, kde môže neistota v oblasti vody môže prispievať k nestabilite a vysídľovaniu;</w:t>
      </w:r>
    </w:p>
    <w:p w:rsidR="00753587" w:rsidRPr="00752B2C" w:rsidP="00753587" w14:paraId="59F5734C" w14:textId="77777777">
      <w:pPr>
        <w:pStyle w:val="NormalHanging12a"/>
        <w:ind w:left="1134"/>
      </w:pPr>
      <w:r w:rsidRPr="00752B2C">
        <w:t>g)</w:t>
      </w:r>
      <w:r w:rsidRPr="00752B2C">
        <w:tab/>
        <w:t>posilniť udržateľné hospodárenie s vodami a nakladanie s odpadovými vodami systematickým začleňovaním spolupráce v oblasti infraštruktúry, technológií a odborných znalostí do partnerstiev a rozvojových programov; podporovať budovanie kapacít a posilňovanie inštitúcií v partnerských krajinách s cieľom zlepšiť plánovanie, správu a údržbu vodohospodárskych a sanitačných služieb, a to aj partnerstvami s miestnymi orgánmi, verejnými službami, občianskou spoločnosťou a komunitnými organizáciami; prispôsobiť investície do infraštruktúry miestnym a historickým podmienkam s cieľom premeniť vodu na nástroj mieru a stability;</w:t>
      </w:r>
    </w:p>
    <w:p w:rsidR="00753587" w:rsidRPr="00752B2C" w:rsidP="00753587" w14:paraId="38550B91" w14:textId="77777777">
      <w:pPr>
        <w:pStyle w:val="NormalHanging12a"/>
        <w:ind w:left="1134"/>
      </w:pPr>
      <w:r w:rsidRPr="00752B2C">
        <w:t>h)</w:t>
      </w:r>
      <w:r w:rsidRPr="00752B2C">
        <w:tab/>
        <w:t>posilniť mnohostrannú spoluprácu v oblasti vody, najmä v rámci OSN, pokračovaním v globalizácii dohovoru OSN o vode a jej zintenzívnením a podporou plnenia cieľov udržateľného rozvoja, najmä cieľa udržateľného rozvoja 6 týkajúceho sa čistej vody a sanitácie, a riešením značných nerovností medzi krajinami a v rámci nich v prístupe k vode a sanitácii; zabezpečiť pretrvávajúce plnenie záväzkov EÚ z konferencie OSN o vode 2023 a zároveň zachovať tieto ambície a opatrenia v rámci príprav na konferenciu OSN o vode 2026; zintenzívniť viacúrovňové dialógy s krajinami nachádzajúcimi sa v povodiach ohrozených konfliktom vrátane samitov a spoločných iniciatív, ako aj formátov dlhodobej spolupráce;</w:t>
      </w:r>
    </w:p>
    <w:p w:rsidR="00753587" w:rsidRPr="00752B2C" w:rsidP="00753587" w14:paraId="31A9952A" w14:textId="77777777">
      <w:pPr>
        <w:pStyle w:val="NormalHanging12a"/>
        <w:ind w:left="1134"/>
      </w:pPr>
      <w:r w:rsidRPr="00752B2C">
        <w:t>i)</w:t>
      </w:r>
      <w:r w:rsidRPr="00752B2C">
        <w:tab/>
        <w:t>zdôrazniť, že účinná cezhraničná správa vodných zdrojov závisí od zachovania biodiverzity a klímy, a preto požadovať, aby hospodárenie s vodami reagovalo predovšetkým na environmentálne záujmy, keďže ide o základnú potrebu rastlín, živočíchov a ľudí, a riadilo sa logikou založenou na verejnom záujme a spoločných verejných a globálnych statkoch;</w:t>
      </w:r>
    </w:p>
    <w:p w:rsidR="00753587" w:rsidRPr="00752B2C" w:rsidP="00753587" w14:paraId="51CC3DC7" w14:textId="77777777">
      <w:pPr>
        <w:pStyle w:val="NormalHanging12a"/>
        <w:ind w:left="1134"/>
      </w:pPr>
      <w:r w:rsidRPr="00752B2C">
        <w:t>j)</w:t>
      </w:r>
      <w:r w:rsidRPr="00752B2C">
        <w:tab/>
        <w:t>posilniť globálnu odolnosť v oblasti vody ako prostriedok podpory stability prostredníctvom účinného vykonávania Európskej stratégie pre odolnosť v oblasti vody, najmä jej globálnych opatrení zameraných na podporu prístupu k vode a sanitácii pre najmenej 70 miliónov ľudí a na posilnenie globálnej správy vodných zdrojov a zapojenia do multilaterálnych fór, ako sú G7, G20 a dialóg z Baku o vode pre opatrenia v oblasti klímy;</w:t>
      </w:r>
    </w:p>
    <w:p w:rsidR="00753587" w:rsidRPr="00752B2C" w:rsidP="00753587" w14:paraId="236AED1C" w14:textId="77777777">
      <w:pPr>
        <w:pStyle w:val="NormalHanging12a"/>
        <w:ind w:left="1134"/>
      </w:pPr>
      <w:r w:rsidRPr="00752B2C">
        <w:t>k)</w:t>
      </w:r>
      <w:r w:rsidRPr="00752B2C">
        <w:tab/>
        <w:t xml:space="preserve">investovať do transparentnejšieho prehľadu všetkej aktuálne poskytovanej podpory EÚ zameranej na presadzovanie cezhraničného hospodárenia s vodami na medzinárodnej úrovni a zabezpečiť súdržnosť a zefektívnenie všetkej práce a financovania na všetkých príslušných generálnych riaditeľstvách a medzi ESVČ a Komisiou a zároveň zaistiť, aby sa rôzne programy navzájom dopĺňali a neprekrývali sa; posilniť komunikáciu o úsilí a úspechoch EÚ v oblasti cezhraničnej spolupráce v oblasti vody s cieľom zviditeľniť tento dôležitý nástroj </w:t>
      </w:r>
      <w:r w:rsidRPr="00752B2C">
        <w:t>a vedúcu úlohu EÚ pri jeho vykonávaní;</w:t>
      </w:r>
    </w:p>
    <w:p w:rsidR="00753587" w:rsidRPr="00752B2C" w:rsidP="00753587" w14:paraId="581721A3" w14:textId="2C89F135">
      <w:pPr>
        <w:pStyle w:val="NormalHanging12a"/>
        <w:ind w:left="1134"/>
      </w:pPr>
      <w:r w:rsidRPr="00752B2C">
        <w:t>l)</w:t>
      </w:r>
      <w:r w:rsidRPr="00752B2C">
        <w:tab/>
        <w:t>podporovať posilnenú medzinárodnú spoluprácu, a to aj na úrovni organizácií pre riadenie povodí, s cieľom riešiť rastúcu krízu v oblasti vody; zabezpečiť a zlepšiť prístup k čistej a kvalitnej vode a sanitácii; podporovať udržateľné hospodárenie s vodami, zvýšiť opätovné využívanie vody, bojovať proti znečisteniu vody, jej nadmernému využívaniu a plytvaniu ňou a zavádzať rôzne inovatívne vodohospodárske technológie vrátane riešení blízkych prírode;</w:t>
      </w:r>
    </w:p>
    <w:p w:rsidR="00753587" w:rsidRPr="00752B2C" w:rsidP="00753587" w14:paraId="0A725B96" w14:textId="77777777">
      <w:pPr>
        <w:pStyle w:val="NormalHanging12a"/>
        <w:ind w:left="1134"/>
      </w:pPr>
      <w:r w:rsidRPr="00752B2C">
        <w:t>m)</w:t>
      </w:r>
      <w:r w:rsidRPr="00752B2C">
        <w:tab/>
        <w:t>zabezpečiť, aby sa iniciatívy EÚ zamerané na vodu na celom svete zaoberali pretrvávajúcim nedostatkom údajov a nedostatočnou medzivládnou výmenou údajov tým, že sa partnerským krajinám poskytnú technické a materiálne zdroje na účinné monitorovanie vodných hladín a kvality cezhraničných povodí a že sa budú vymieňať údaje a podporovať spoločné normy zberu údajov medzi partnerskými krajinami s cieľom zvýšiť kompatibilitu; slúžiť ako dôveryhodný a spoľahlivý aktér pri uľahčovaní výmeny spoľahlivých informácií o vode medzi vládami, zainteresovanými stranami a verejnosťou v prostredí s vodným stresom a vysokým napätím, a to aj v situáciách, keď je výmena informácií citlivá z dôvodu bezpečnostných otázok; vychádzať z príslušných skúseností, programov, postupov a stratégií EÚ s cieľom posilniť výmenu najlepších postupov medzi regionálnymi a vnútroštátnymi aktérmi, pričom sa bude vychádzať z príslušných programov, postupov a stratégií EÚ;</w:t>
      </w:r>
    </w:p>
    <w:p w:rsidR="00753587" w:rsidRPr="00752B2C" w:rsidP="00753587" w14:paraId="60303626" w14:textId="6F3ED4CE">
      <w:pPr>
        <w:pStyle w:val="NormalHanging12a"/>
        <w:ind w:left="1134"/>
      </w:pPr>
      <w:r w:rsidRPr="00752B2C">
        <w:t>n)</w:t>
      </w:r>
      <w:r w:rsidRPr="00752B2C">
        <w:tab/>
        <w:t>presadzovať nástroje medzivládnej a regionálnej spolupráce v oblasti riadenia vodných zdrojov so zameraním najmä na zabezpečenie spravodlivého rozdelenia vody a podporovať riadiace štruktúry na miestnej a komunitnej úrovni; zvážiť podporu verejno-súkromných partnerstiev, ak prispievajú k efektívnemu hospodáreniu s vodami a cenovo dostupnejšiemu prístupu k vode, sanitácii a hygiene pre všetkých; stimulovať investície do technológií a postupov riadenia, ktoré zlepšujú využívanie udržateľných poľnohospodárskych postupov pri produkcii plodín, hospodárskych zvierat a rýb drobnými poľnohospodármi aj väčšími spoločnosťami;</w:t>
      </w:r>
    </w:p>
    <w:p w:rsidR="00753587" w:rsidRPr="00752B2C" w:rsidP="00753587" w14:paraId="349A3389" w14:textId="77777777">
      <w:pPr>
        <w:pStyle w:val="NormalHanging12a"/>
        <w:ind w:left="1134"/>
      </w:pPr>
      <w:r w:rsidRPr="00752B2C">
        <w:t>o)</w:t>
      </w:r>
      <w:r w:rsidRPr="00752B2C">
        <w:tab/>
        <w:t>zdôrazniť zásadu súdržnosti politík v záujme rozvoja a zosúladenia politík EÚ s rozvojovými prioritami partnerských krajín na základe posúdení ich vplyvu na miestne zdroje, aby sa spoločne zabránilo vyčerpávaniu alebo znečisťovaniu vôd v krajinách mimo EÚ;</w:t>
      </w:r>
    </w:p>
    <w:p w:rsidR="00753587" w:rsidRPr="00752B2C" w:rsidP="00753587" w14:paraId="1AB7DF8B" w14:textId="77777777">
      <w:pPr>
        <w:pStyle w:val="NormalHanging12a"/>
        <w:ind w:left="1134"/>
      </w:pPr>
      <w:r w:rsidRPr="00752B2C">
        <w:t>p)</w:t>
      </w:r>
      <w:r w:rsidRPr="00752B2C">
        <w:tab/>
        <w:t>posilniť zavádzanie integrovaného riadenia vodných zdrojov ako základného nástroja, ktorý podporuje koordinovaný rozvoj a udržateľné riadenie vodných, pôdnych a súvisiacich zdrojov, a to aj cezhranične, v súlade s cieľom udržateľného rozvoja 6.5.2, na vzájomný prospech pobrežných štátov, ako aj zdôrazniť význam prepojenia voda-energia-potraviny-ekosystém pri riešení synergií a kompromisov v oblasti vody v rámci vonkajšej činnosti EÚ;</w:t>
      </w:r>
    </w:p>
    <w:p w:rsidR="00753587" w:rsidRPr="00752B2C" w:rsidP="00753587" w14:paraId="1B07A9FF" w14:textId="77777777">
      <w:pPr>
        <w:pStyle w:val="NormalHanging12a"/>
        <w:ind w:left="1134"/>
      </w:pPr>
      <w:r w:rsidRPr="00752B2C">
        <w:t>q)</w:t>
      </w:r>
      <w:r w:rsidRPr="00752B2C">
        <w:tab/>
        <w:t xml:space="preserve">posilniť kapacity EÚ v oblasti monitorovania a včasného varovania prostredníctvom digitalizácie a moderných technológií vrátane satelitného dohľadu a sledovania znečistenia v reálnom čase, ktoré sú nevyhnutné na predchádzanie cezhraničnému znečisťovaniu a boj proti nemu a na podporu znižovania rizika katastrof; </w:t>
      </w:r>
      <w:bookmarkStart w:id="8" w:name="_Hlk231546757"/>
      <w:r w:rsidRPr="00752B2C">
        <w:t xml:space="preserve">posilniť monitorovanie nedostatku vody a rizík konfliktov súvisiacich s vodou na celom svete, ako je využívanie vody a vodnej </w:t>
      </w:r>
      <w:r w:rsidRPr="00752B2C">
        <w:t>infraštruktúry ako zbrane a úmyselné odopieranie prístupu k vode, a začleniť toto monitorovanie do systémov na predchádzanie konfliktom centra ESVČ pre reakcie na krízy;</w:t>
      </w:r>
      <w:bookmarkEnd w:id="8"/>
    </w:p>
    <w:p w:rsidR="00753587" w:rsidRPr="00752B2C" w:rsidP="00753587" w14:paraId="10114E97" w14:textId="77777777">
      <w:pPr>
        <w:pStyle w:val="NormalHanging12a"/>
        <w:ind w:left="1134"/>
      </w:pPr>
      <w:r w:rsidRPr="00752B2C">
        <w:t>r)</w:t>
      </w:r>
      <w:r w:rsidRPr="00752B2C">
        <w:tab/>
        <w:t>stimulovať a financovať výskum v oblasti udržateľného cezhraničného hospodárenia s vodou, spoločného využívania vody, spolupráce a inovácií, a to aj prostredníctvom programu Horizont Európa, a preskúmať vznikajúce výzvy, ako sú činnosti súvisiace s manipuláciou počasia;</w:t>
      </w:r>
    </w:p>
    <w:p w:rsidR="00753587" w:rsidRPr="00752B2C" w:rsidP="00753587" w14:paraId="0300BE1E" w14:textId="23801EF9">
      <w:pPr>
        <w:pStyle w:val="NormalHanging12a"/>
        <w:ind w:left="1134"/>
      </w:pPr>
      <w:r w:rsidRPr="00752B2C">
        <w:t>s)</w:t>
      </w:r>
      <w:r w:rsidRPr="00752B2C">
        <w:tab/>
        <w:t>zvážiť poverenie osobitného zástupcu EÚ pre ľudské práva úlohou predchádzať konfliktom súvisiacim s vodou a riešiť ich, podporovať spoluprácu v oblasti vody a právny štát a chrániť vodné zdroje a systémy, a to aj počas ozbrojených konfliktov a v cezhraničnom prostredí, a v mene EÚ viesť medzinárodné úsilie o ochranu a obnovu vodných ekosystémov v súlade s cieľom udržateľného rozvoja 6, keďže odolnosť v oblasti vody má zásadný význam pre riešenie súčasných a budúcich kríz v oblasti zdravia, potravín, energie a bezpečnosti; konzultovať s</w:t>
      </w:r>
      <w:r w:rsidRPr="00752B2C" w:rsidR="008D6008">
        <w:t> Európskym p</w:t>
      </w:r>
      <w:r w:rsidRPr="00752B2C">
        <w:t>arlamentom o mandáte, zdrojoch a spôsoboch spolupráce s cieľom podporiť prácu osobitného zástupcu EÚ pre ľudské práva;</w:t>
      </w:r>
    </w:p>
    <w:p w:rsidR="00753587" w:rsidRPr="00752B2C" w:rsidP="00753587" w14:paraId="4E8A2E68" w14:textId="77777777">
      <w:pPr>
        <w:pStyle w:val="NormalHanging12a"/>
        <w:ind w:left="1134"/>
      </w:pPr>
      <w:r w:rsidRPr="00752B2C">
        <w:t>t)</w:t>
      </w:r>
      <w:r w:rsidRPr="00752B2C">
        <w:tab/>
        <w:t>posilniť úlohu medzinárodného práva a príslušných medzinárodných súdov a podporovať dialóg, mediáciu a regionálne riešenia ako primárne nástroje na riešenie sporov o nadnárodné vodné útvary a zabezpečiť jasnosť a zodpovednosť, pokiaľ ide o právne záväzky všetkých štátov hraničiacich s dotknutými vodami; systematicky odsudzovať používanie vody ako zbrane v konfliktoch; zabezpečiť, aby sa voči páchateľom vyvodzovala zodpovednosť;</w:t>
      </w:r>
    </w:p>
    <w:p w:rsidR="00753587" w:rsidRPr="00752B2C" w:rsidP="00753587" w14:paraId="26233DC0" w14:textId="77777777">
      <w:pPr>
        <w:pStyle w:val="NormalHanging12a"/>
        <w:ind w:left="1134"/>
      </w:pPr>
      <w:r w:rsidRPr="00752B2C">
        <w:t>u)</w:t>
      </w:r>
      <w:r w:rsidRPr="00752B2C">
        <w:tab/>
        <w:t>podporovať právne iniciatívy zamerané na zabezpečenie spravodlivosti a odškodnenia za úmyselné útoky na vodné zdroje a infraštruktúru a ich ničenie;</w:t>
      </w:r>
    </w:p>
    <w:p w:rsidR="00D762D7" w:rsidRPr="00752B2C" w:rsidP="00D762D7" w14:paraId="3104C3CB" w14:textId="2C3DAC5F">
      <w:pPr>
        <w:pStyle w:val="NormalHanging12a"/>
      </w:pPr>
      <w:r w:rsidRPr="00752B2C">
        <w:t>2.</w:t>
      </w:r>
      <w:r w:rsidRPr="00752B2C">
        <w:tab/>
        <w:t>poveruje svoju predsedníčku, aby postúpila toto odporúčanie Rade, Komisii a podpredsedníčke Komisie/vysokej predstaviteľke Únie pre zahraničné veci a bezpečnostnú politiku.</w:t>
      </w:r>
    </w:p>
    <w:p w:rsidR="00E365E1" w:rsidRPr="00752B2C" w:rsidP="0039335B" w14:paraId="799FA1CA" w14:textId="38E60B1C"/>
    <w:sectPr w:rsidSect="00D762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762D7" w14:paraId="5A378D9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762D7" w14:paraId="27D46AC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762D7" w14:paraId="252DA765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9335B" w:rsidRPr="00D762D7" w14:paraId="3D24AAAF" w14:textId="77777777">
      <w:r w:rsidRPr="00D762D7">
        <w:separator/>
      </w:r>
    </w:p>
  </w:footnote>
  <w:footnote w:type="continuationSeparator" w:id="1">
    <w:p w:rsidR="0039335B" w:rsidRPr="00D762D7" w14:paraId="2AE85DA9" w14:textId="77777777">
      <w:r w:rsidRPr="00D762D7">
        <w:continuationSeparator/>
      </w:r>
    </w:p>
  </w:footnote>
  <w:footnote w:id="2">
    <w:p w:rsidR="00753587" w:rsidRPr="00D762D7" w:rsidP="00D762D7" w14:paraId="64BC0D6E" w14:textId="6A3F6EF5">
      <w:pPr>
        <w:pStyle w:val="FootnoteText"/>
        <w:ind w:left="567" w:hanging="567"/>
        <w:rPr>
          <w:sz w:val="24"/>
          <w:lang w:val="sk-SK"/>
        </w:rPr>
      </w:pPr>
      <w:r w:rsidRPr="00D762D7">
        <w:rPr>
          <w:rStyle w:val="FootnoteReference"/>
          <w:sz w:val="24"/>
          <w:lang w:val="sk-SK"/>
        </w:rPr>
        <w:footnoteRef/>
      </w:r>
      <w:r w:rsidRPr="00D762D7" w:rsidR="00D762D7">
        <w:rPr>
          <w:sz w:val="24"/>
          <w:lang w:val="sk-SK"/>
        </w:rPr>
        <w:t xml:space="preserve"> </w:t>
      </w:r>
      <w:r w:rsidRPr="00D762D7" w:rsidR="00D762D7">
        <w:rPr>
          <w:sz w:val="24"/>
          <w:lang w:val="sk-SK"/>
        </w:rPr>
        <w:tab/>
      </w:r>
      <w:r w:rsidRPr="00D762D7">
        <w:rPr>
          <w:sz w:val="24"/>
          <w:lang w:val="sk-SK"/>
        </w:rPr>
        <w:t xml:space="preserve">Ú. v. EÚ C, C/2026/576, 24.2.2026, ELI: </w:t>
      </w:r>
      <w:hyperlink r:id="rId1" w:history="1">
        <w:r w:rsidRPr="00D762D7">
          <w:rPr>
            <w:rStyle w:val="Hyperlink"/>
            <w:sz w:val="24"/>
            <w:lang w:val="sk-SK"/>
          </w:rPr>
          <w:t>http://data.europa.eu/eli/C/2026/576/oj</w:t>
        </w:r>
      </w:hyperlink>
      <w:r w:rsidRPr="00D762D7">
        <w:rPr>
          <w:sz w:val="24"/>
          <w:lang w:val="sk-SK"/>
        </w:rPr>
        <w:t>.</w:t>
      </w:r>
    </w:p>
  </w:footnote>
  <w:footnote w:id="3">
    <w:p w:rsidR="00753587" w:rsidRPr="00D762D7" w:rsidP="00D762D7" w14:paraId="1D5C1193" w14:textId="2C4C5EB7">
      <w:pPr>
        <w:pStyle w:val="FootnoteText"/>
        <w:ind w:left="567" w:hanging="567"/>
        <w:rPr>
          <w:sz w:val="24"/>
          <w:lang w:val="sk-SK"/>
        </w:rPr>
      </w:pPr>
      <w:r w:rsidRPr="00D762D7">
        <w:rPr>
          <w:rStyle w:val="FootnoteReference"/>
          <w:sz w:val="24"/>
          <w:lang w:val="sk-SK"/>
        </w:rPr>
        <w:footnoteRef/>
      </w:r>
      <w:r w:rsidRPr="00D762D7" w:rsidR="00D762D7">
        <w:rPr>
          <w:sz w:val="24"/>
          <w:lang w:val="sk-SK"/>
        </w:rPr>
        <w:t xml:space="preserve"> </w:t>
      </w:r>
      <w:r w:rsidRPr="00D762D7" w:rsidR="00D762D7">
        <w:rPr>
          <w:sz w:val="24"/>
          <w:lang w:val="sk-SK"/>
        </w:rPr>
        <w:tab/>
      </w:r>
      <w:r w:rsidRPr="00D762D7">
        <w:rPr>
          <w:sz w:val="24"/>
          <w:lang w:val="sk-SK"/>
        </w:rPr>
        <w:t>Ú. v. EÚ C 132, 14.4.2023, s. 54.</w:t>
      </w:r>
    </w:p>
  </w:footnote>
  <w:footnote w:id="4">
    <w:p w:rsidR="00753587" w:rsidRPr="00D762D7" w:rsidP="00D762D7" w14:paraId="701AFB5B" w14:textId="3DD0BF17">
      <w:pPr>
        <w:pStyle w:val="FootnoteText"/>
        <w:ind w:left="567" w:hanging="567"/>
        <w:rPr>
          <w:sz w:val="24"/>
          <w:lang w:val="sk-SK"/>
        </w:rPr>
      </w:pPr>
      <w:r w:rsidRPr="00D762D7">
        <w:rPr>
          <w:rStyle w:val="FootnoteReference"/>
          <w:sz w:val="24"/>
          <w:lang w:val="sk-SK"/>
        </w:rPr>
        <w:footnoteRef/>
      </w:r>
      <w:r w:rsidRPr="00D762D7" w:rsidR="00D762D7">
        <w:rPr>
          <w:sz w:val="24"/>
          <w:lang w:val="sk-SK"/>
        </w:rPr>
        <w:t xml:space="preserve"> </w:t>
      </w:r>
      <w:r w:rsidRPr="00D762D7" w:rsidR="00D762D7">
        <w:rPr>
          <w:sz w:val="24"/>
          <w:lang w:val="sk-SK"/>
        </w:rPr>
        <w:tab/>
      </w:r>
      <w:r w:rsidRPr="00D762D7">
        <w:rPr>
          <w:sz w:val="24"/>
          <w:lang w:val="sk-SK"/>
        </w:rPr>
        <w:t>Ú. v. </w:t>
      </w:r>
      <w:r w:rsidRPr="00D762D7">
        <w:rPr>
          <w:sz w:val="24"/>
          <w:lang w:val="sk-SK"/>
        </w:rPr>
        <w:t xml:space="preserve">EÚ C, C/2025/4390, 9.9.2025, ELI: </w:t>
      </w:r>
      <w:hyperlink r:id="rId2" w:history="1">
        <w:r w:rsidRPr="00D762D7">
          <w:rPr>
            <w:rStyle w:val="Hyperlink"/>
            <w:sz w:val="24"/>
            <w:lang w:val="sk-SK"/>
          </w:rPr>
          <w:t>http://data.europa.eu/eli/C/2025/4390/oj</w:t>
        </w:r>
      </w:hyperlink>
      <w:r w:rsidRPr="00D762D7">
        <w:rPr>
          <w:sz w:val="24"/>
          <w:lang w:val="sk-SK"/>
        </w:rPr>
        <w:t>.</w:t>
      </w:r>
    </w:p>
  </w:footnote>
  <w:footnote w:id="5">
    <w:p w:rsidR="00753587" w:rsidRPr="00D762D7" w:rsidP="00D762D7" w14:paraId="5629D2C9" w14:textId="0410ED3E">
      <w:pPr>
        <w:pStyle w:val="FootnoteText"/>
        <w:ind w:left="567" w:hanging="567"/>
        <w:rPr>
          <w:sz w:val="24"/>
          <w:lang w:val="sk-SK"/>
        </w:rPr>
      </w:pPr>
      <w:r w:rsidRPr="00D762D7">
        <w:rPr>
          <w:rStyle w:val="FootnoteReference"/>
          <w:sz w:val="24"/>
          <w:lang w:val="sk-SK"/>
        </w:rPr>
        <w:footnoteRef/>
      </w:r>
      <w:r w:rsidRPr="00D762D7" w:rsidR="00D762D7">
        <w:rPr>
          <w:sz w:val="24"/>
          <w:lang w:val="sk-SK"/>
        </w:rPr>
        <w:t xml:space="preserve"> </w:t>
      </w:r>
      <w:r w:rsidRPr="00D762D7" w:rsidR="00D762D7">
        <w:rPr>
          <w:sz w:val="24"/>
          <w:lang w:val="sk-SK"/>
        </w:rPr>
        <w:tab/>
      </w:r>
      <w:r w:rsidRPr="00D762D7">
        <w:rPr>
          <w:sz w:val="24"/>
          <w:lang w:val="sk-SK"/>
        </w:rPr>
        <w:t>Prijaté texty, P10_TA(2026)0014.</w:t>
      </w:r>
    </w:p>
  </w:footnote>
  <w:footnote w:id="6">
    <w:p w:rsidR="00753587" w:rsidRPr="00D762D7" w:rsidP="00D762D7" w14:paraId="1D884542" w14:textId="39490970">
      <w:pPr>
        <w:pStyle w:val="FootnoteText"/>
        <w:ind w:left="567" w:hanging="567"/>
        <w:rPr>
          <w:sz w:val="24"/>
          <w:lang w:val="sk-SK"/>
        </w:rPr>
      </w:pPr>
      <w:r w:rsidRPr="00D762D7">
        <w:rPr>
          <w:rStyle w:val="FootnoteReference"/>
          <w:sz w:val="24"/>
          <w:lang w:val="sk-SK"/>
        </w:rPr>
        <w:footnoteRef/>
      </w:r>
      <w:r w:rsidRPr="00D762D7" w:rsidR="00D762D7">
        <w:rPr>
          <w:sz w:val="24"/>
          <w:lang w:val="sk-SK"/>
        </w:rPr>
        <w:t xml:space="preserve"> </w:t>
      </w:r>
      <w:r w:rsidRPr="00D762D7" w:rsidR="00D762D7">
        <w:rPr>
          <w:sz w:val="24"/>
          <w:lang w:val="sk-SK"/>
        </w:rPr>
        <w:tab/>
      </w:r>
      <w:r w:rsidRPr="00D762D7">
        <w:rPr>
          <w:sz w:val="24"/>
          <w:lang w:val="sk-SK"/>
        </w:rPr>
        <w:t xml:space="preserve">Ú. v. EÚ C, C/2025/769, 11.2.2025, ELI: </w:t>
      </w:r>
      <w:hyperlink r:id="rId3" w:history="1">
        <w:r w:rsidRPr="00D762D7">
          <w:rPr>
            <w:rStyle w:val="Hyperlink"/>
            <w:sz w:val="24"/>
            <w:lang w:val="sk-SK"/>
          </w:rPr>
          <w:t>http://data.europa.eu/eli/C/2025/769/oj</w:t>
        </w:r>
      </w:hyperlink>
      <w:r w:rsidRPr="00D762D7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762D7" w14:paraId="0976F82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762D7" w14:paraId="1C75588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762D7" w14:paraId="1392DDA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28094061">
    <w:abstractNumId w:val="9"/>
  </w:num>
  <w:num w:numId="2" w16cid:durableId="862522283">
    <w:abstractNumId w:val="9"/>
  </w:num>
  <w:num w:numId="3" w16cid:durableId="1267928474">
    <w:abstractNumId w:val="7"/>
  </w:num>
  <w:num w:numId="4" w16cid:durableId="1092975836">
    <w:abstractNumId w:val="7"/>
  </w:num>
  <w:num w:numId="5" w16cid:durableId="1219584157">
    <w:abstractNumId w:val="6"/>
  </w:num>
  <w:num w:numId="6" w16cid:durableId="3015383">
    <w:abstractNumId w:val="6"/>
  </w:num>
  <w:num w:numId="7" w16cid:durableId="1123306658">
    <w:abstractNumId w:val="5"/>
  </w:num>
  <w:num w:numId="8" w16cid:durableId="91316231">
    <w:abstractNumId w:val="5"/>
  </w:num>
  <w:num w:numId="9" w16cid:durableId="1858425652">
    <w:abstractNumId w:val="4"/>
  </w:num>
  <w:num w:numId="10" w16cid:durableId="672032124">
    <w:abstractNumId w:val="4"/>
  </w:num>
  <w:num w:numId="11" w16cid:durableId="1979914863">
    <w:abstractNumId w:val="8"/>
  </w:num>
  <w:num w:numId="12" w16cid:durableId="688028703">
    <w:abstractNumId w:val="8"/>
  </w:num>
  <w:num w:numId="13" w16cid:durableId="1908224587">
    <w:abstractNumId w:val="3"/>
  </w:num>
  <w:num w:numId="14" w16cid:durableId="99767971">
    <w:abstractNumId w:val="3"/>
  </w:num>
  <w:num w:numId="15" w16cid:durableId="562450828">
    <w:abstractNumId w:val="2"/>
  </w:num>
  <w:num w:numId="16" w16cid:durableId="598680093">
    <w:abstractNumId w:val="2"/>
  </w:num>
  <w:num w:numId="17" w16cid:durableId="402608587">
    <w:abstractNumId w:val="1"/>
  </w:num>
  <w:num w:numId="18" w16cid:durableId="199560040">
    <w:abstractNumId w:val="1"/>
  </w:num>
  <w:num w:numId="19" w16cid:durableId="717555015">
    <w:abstractNumId w:val="0"/>
  </w:num>
  <w:num w:numId="20" w16cid:durableId="789589224">
    <w:abstractNumId w:val="0"/>
  </w:num>
  <w:num w:numId="21" w16cid:durableId="238179387">
    <w:abstractNumId w:val="9"/>
  </w:num>
  <w:num w:numId="22" w16cid:durableId="833689057">
    <w:abstractNumId w:val="7"/>
  </w:num>
  <w:num w:numId="23" w16cid:durableId="871846515">
    <w:abstractNumId w:val="6"/>
  </w:num>
  <w:num w:numId="24" w16cid:durableId="84032913">
    <w:abstractNumId w:val="5"/>
  </w:num>
  <w:num w:numId="25" w16cid:durableId="290475346">
    <w:abstractNumId w:val="4"/>
  </w:num>
  <w:num w:numId="26" w16cid:durableId="268242179">
    <w:abstractNumId w:val="8"/>
  </w:num>
  <w:num w:numId="27" w16cid:durableId="1427799958">
    <w:abstractNumId w:val="3"/>
  </w:num>
  <w:num w:numId="28" w16cid:durableId="630718708">
    <w:abstractNumId w:val="2"/>
  </w:num>
  <w:num w:numId="29" w16cid:durableId="2002850358">
    <w:abstractNumId w:val="1"/>
  </w:num>
  <w:num w:numId="30" w16cid:durableId="485366205">
    <w:abstractNumId w:val="0"/>
  </w:num>
  <w:num w:numId="31" w16cid:durableId="1062873551">
    <w:abstractNumId w:val="9"/>
  </w:num>
  <w:num w:numId="32" w16cid:durableId="1944803462">
    <w:abstractNumId w:val="7"/>
  </w:num>
  <w:num w:numId="33" w16cid:durableId="539048943">
    <w:abstractNumId w:val="6"/>
  </w:num>
  <w:num w:numId="34" w16cid:durableId="1195967035">
    <w:abstractNumId w:val="5"/>
  </w:num>
  <w:num w:numId="35" w16cid:durableId="1238442007">
    <w:abstractNumId w:val="4"/>
  </w:num>
  <w:num w:numId="36" w16cid:durableId="762579444">
    <w:abstractNumId w:val="8"/>
  </w:num>
  <w:num w:numId="37" w16cid:durableId="458574003">
    <w:abstractNumId w:val="3"/>
  </w:num>
  <w:num w:numId="38" w16cid:durableId="151912726">
    <w:abstractNumId w:val="2"/>
  </w:num>
  <w:num w:numId="39" w16cid:durableId="6635543">
    <w:abstractNumId w:val="1"/>
  </w:num>
  <w:num w:numId="40" w16cid:durableId="533037051">
    <w:abstractNumId w:val="0"/>
  </w:num>
  <w:num w:numId="41" w16cid:durableId="1400320211">
    <w:abstractNumId w:val="10"/>
  </w:num>
  <w:num w:numId="42" w16cid:durableId="1497917586">
    <w:abstractNumId w:val="10"/>
  </w:num>
  <w:num w:numId="43" w16cid:durableId="2096591005">
    <w:abstractNumId w:val="10"/>
  </w:num>
  <w:num w:numId="44" w16cid:durableId="13231255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35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508B"/>
    <w:rsid w:val="002767FF"/>
    <w:rsid w:val="002B18FE"/>
    <w:rsid w:val="002B5493"/>
    <w:rsid w:val="00343214"/>
    <w:rsid w:val="00361C00"/>
    <w:rsid w:val="00362C4C"/>
    <w:rsid w:val="0039335B"/>
    <w:rsid w:val="00395FA1"/>
    <w:rsid w:val="003E15D4"/>
    <w:rsid w:val="00411CCE"/>
    <w:rsid w:val="0041666E"/>
    <w:rsid w:val="00421060"/>
    <w:rsid w:val="004415DA"/>
    <w:rsid w:val="00471C19"/>
    <w:rsid w:val="0047675D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3110"/>
    <w:rsid w:val="006F74FA"/>
    <w:rsid w:val="00731ADD"/>
    <w:rsid w:val="00734777"/>
    <w:rsid w:val="00747932"/>
    <w:rsid w:val="00751A4A"/>
    <w:rsid w:val="00752B2C"/>
    <w:rsid w:val="00753587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600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596A"/>
    <w:rsid w:val="00CF071A"/>
    <w:rsid w:val="00D058B8"/>
    <w:rsid w:val="00D56C11"/>
    <w:rsid w:val="00D762D7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6DB2"/>
    <w:rsid w:val="00F87713"/>
    <w:rsid w:val="00FB4360"/>
    <w:rsid w:val="00FD0C70"/>
  </w:rsids>
  <w:docVars>
    <w:docVar w:name="dvdocse" w:val="A10-0150/2026"/>
    <w:docVar w:name="dvlangue" w:val="SK"/>
    <w:docVar w:name="dvnumam" w:val="57"/>
    <w:docVar w:name="dvpe" w:val="779.681"/>
    <w:docVar w:name="dvrapporteur" w:val="Spravodajca: "/>
    <w:docVar w:name="dvtitre" w:val="Uznesenie Európskeho parlamentu z/zo xx. xxx 2026 o odporúčaní Európskeho parlamentu Rade, Komisii a podpredsedníčke Komisie/vysokej predstaviteľke Únie pre zahraničné veci a bezpečnostnú politiku k podporovaniu nadnárodnej správy vodných zdrojov v záujme predchádzania konfliktom a udržiavania mieru(2025/2216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FA0F805"/>
  <w15:chartTrackingRefBased/>
  <w15:docId w15:val="{1F476646-94D3-4CA7-AABF-E60E170A8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53587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753587"/>
    <w:pPr>
      <w:spacing w:after="240"/>
      <w:ind w:left="567" w:hanging="567"/>
    </w:pPr>
  </w:style>
  <w:style w:type="character" w:styleId="Hyperlink">
    <w:name w:val="Hyperlink"/>
    <w:basedOn w:val="DefaultParagraphFont"/>
    <w:rsid w:val="00753587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753587"/>
    <w:rPr>
      <w:sz w:val="24"/>
      <w:lang w:val="sk-SK"/>
    </w:rPr>
  </w:style>
  <w:style w:type="paragraph" w:styleId="Revision">
    <w:name w:val="Revision"/>
    <w:hidden/>
    <w:uiPriority w:val="99"/>
    <w:semiHidden/>
    <w:rsid w:val="008D6008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576/oj" TargetMode="External" /><Relationship Id="rId2" Type="http://schemas.openxmlformats.org/officeDocument/2006/relationships/hyperlink" Target="http://data.europa.eu/eli/C/2025/4390/oj" TargetMode="External" /><Relationship Id="rId3" Type="http://schemas.openxmlformats.org/officeDocument/2006/relationships/hyperlink" Target="http://data.europa.eu/eli/C/2025/7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3572</Words>
  <Characters>22275</Characters>
  <Application>Microsoft Office Word</Application>
  <DocSecurity>0</DocSecurity>
  <Lines>185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2026-06-17T14:13:00Z</dcterms:created>
  <dcterms:modified xsi:type="dcterms:W3CDTF">2026-06-17T14:13:00Z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A10-0150/2026</vt:lpwstr>
  </property>
  <property fmtid="{D5CDD505-2E9C-101B-9397-08002B2CF9AE}" pid="4" name="&lt;Type&gt;">
    <vt:lpwstr>RR</vt:lpwstr>
  </property>
</Properties>
</file>