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401A1D4" w14:textId="77777777" w:rsidTr="0010095E">
        <w:tblPrEx>
          <w:tblW w:w="9072" w:type="dxa"/>
          <w:tblLook w:val="01E0"/>
        </w:tblPrEx>
        <w:trPr>
          <w:trHeight w:hRule="exact" w:val="1418"/>
        </w:trPr>
        <w:tc>
          <w:tcPr>
            <w:tcW w:w="6804" w:type="dxa"/>
            <w:shd w:val="clear" w:color="auto" w:fill="auto"/>
            <w:vAlign w:val="center"/>
          </w:tcPr>
          <w:p w:rsidR="00751A4A" w:rsidRPr="00506EF2" w:rsidP="0010095E" w14:paraId="56E28B97" w14:textId="136EC78C">
            <w:pPr>
              <w:pStyle w:val="EPName"/>
            </w:pPr>
            <w:r w:rsidRPr="00506EF2">
              <w:t>Европейски</w:t>
            </w:r>
            <w:r w:rsidRPr="00506EF2" w:rsidR="00974D8A">
              <w:t xml:space="preserve"> парламент</w:t>
            </w:r>
          </w:p>
          <w:p w:rsidR="00751A4A" w:rsidRPr="00506EF2" w:rsidP="005F1B17" w14:paraId="4C120B61" w14:textId="42038530">
            <w:pPr>
              <w:pStyle w:val="EPTerm"/>
              <w:rPr>
                <w:rStyle w:val="HideTWBExt"/>
                <w:noProof w:val="0"/>
                <w:vanish w:val="0"/>
                <w:color w:val="auto"/>
              </w:rPr>
            </w:pPr>
            <w:r w:rsidRPr="00506EF2">
              <w:t>2024</w:t>
            </w:r>
            <w:r w:rsidR="005D4317">
              <w:t> – </w:t>
            </w:r>
            <w:r w:rsidRPr="00506EF2" w:rsidR="00817416">
              <w:t>202</w:t>
            </w:r>
            <w:r w:rsidRPr="00506EF2">
              <w:t>9</w:t>
            </w:r>
          </w:p>
        </w:tc>
        <w:tc>
          <w:tcPr>
            <w:tcW w:w="2268" w:type="dxa"/>
            <w:shd w:val="clear" w:color="auto" w:fill="auto"/>
          </w:tcPr>
          <w:p w:rsidR="00751A4A" w:rsidRPr="00506EF2" w:rsidP="0010095E" w14:paraId="6B4B54D0" w14:textId="77777777">
            <w:pPr>
              <w:pStyle w:val="EPLogo"/>
            </w:pPr>
            <w:r w:rsidRPr="00506EF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06EF2" w:rsidP="004C5D52" w14:paraId="0DAA1C02" w14:textId="77777777">
      <w:pPr>
        <w:pStyle w:val="LineTop"/>
      </w:pPr>
    </w:p>
    <w:p w:rsidR="00680577" w:rsidRPr="00506EF2" w:rsidP="00680577" w14:paraId="520131F9" w14:textId="77777777">
      <w:pPr>
        <w:pStyle w:val="EPBodyTA1"/>
      </w:pPr>
      <w:r w:rsidRPr="00506EF2">
        <w:t>ПРИЕТИ ТЕКСТОВЕ</w:t>
      </w:r>
    </w:p>
    <w:p w:rsidR="00D058B8" w:rsidRPr="00506EF2" w:rsidP="00D058B8" w14:paraId="12E6EE9C" w14:textId="77777777">
      <w:pPr>
        <w:pStyle w:val="LineBottom"/>
      </w:pPr>
    </w:p>
    <w:p w:rsidR="00974D8A" w:rsidRPr="00984713" w:rsidP="00974D8A" w14:paraId="405C7F49" w14:textId="02ED5A93">
      <w:pPr>
        <w:pStyle w:val="ATHeading1"/>
        <w:rPr>
          <w:lang w:val="ru-RU"/>
        </w:rPr>
      </w:pPr>
      <w:bookmarkStart w:id="0" w:name="TANumber"/>
      <w:r w:rsidRPr="00506EF2">
        <w:t>P10_TA(2026)0</w:t>
      </w:r>
      <w:r w:rsidRPr="00984713" w:rsidR="00C226E9">
        <w:rPr>
          <w:lang w:val="ru-RU"/>
        </w:rPr>
        <w:t>222</w:t>
      </w:r>
      <w:bookmarkEnd w:id="0"/>
    </w:p>
    <w:p w:rsidR="00974D8A" w:rsidRPr="00506EF2" w:rsidP="00974D8A" w14:paraId="378BD83B" w14:textId="77777777">
      <w:pPr>
        <w:pStyle w:val="ATHeading2"/>
      </w:pPr>
      <w:bookmarkStart w:id="1" w:name="title"/>
      <w:r w:rsidRPr="00506EF2">
        <w:t xml:space="preserve">Доклад на Комисията относно Грузия за 2025 г. </w:t>
      </w:r>
      <w:bookmarkEnd w:id="1"/>
    </w:p>
    <w:p w:rsidR="00974D8A" w:rsidRPr="00506EF2" w:rsidP="00974D8A" w14:paraId="0AF31891" w14:textId="77777777">
      <w:pPr>
        <w:rPr>
          <w:i/>
          <w:vanish/>
        </w:rPr>
      </w:pPr>
      <w:r>
        <w:rPr>
          <w:i/>
        </w:rPr>
        <w:fldChar w:fldCharType="begin"/>
      </w:r>
      <w:r w:rsidRPr="00506EF2">
        <w:rPr>
          <w:i/>
        </w:rPr>
        <w:instrText xml:space="preserve"> TC"(</w:instrText>
      </w:r>
      <w:bookmarkStart w:id="2" w:name="DocNumber"/>
      <w:r w:rsidRPr="00506EF2">
        <w:rPr>
          <w:i/>
        </w:rPr>
        <w:instrText>A10-0140/2026</w:instrText>
      </w:r>
      <w:bookmarkEnd w:id="2"/>
      <w:r w:rsidRPr="00506EF2">
        <w:rPr>
          <w:i/>
        </w:rPr>
        <w:instrText xml:space="preserve"> - Докладчик: Раса Юкнявичиене)"\l3 \n&gt; \* MERGEFORMAT </w:instrText>
      </w:r>
      <w:r>
        <w:rPr>
          <w:i/>
        </w:rPr>
        <w:fldChar w:fldCharType="end"/>
      </w:r>
    </w:p>
    <w:p w:rsidR="00974D8A" w:rsidRPr="00506EF2" w:rsidP="00974D8A" w14:paraId="2B0230F1" w14:textId="77777777">
      <w:pPr>
        <w:rPr>
          <w:vanish/>
        </w:rPr>
      </w:pPr>
      <w:bookmarkStart w:id="3" w:name="Commission"/>
      <w:r w:rsidRPr="00506EF2">
        <w:rPr>
          <w:vanish/>
        </w:rPr>
        <w:t>Комисия по външни работи</w:t>
      </w:r>
      <w:bookmarkEnd w:id="3"/>
    </w:p>
    <w:p w:rsidR="00974D8A" w:rsidRPr="00506EF2" w:rsidP="00974D8A" w14:paraId="0E1C6538" w14:textId="77777777">
      <w:pPr>
        <w:rPr>
          <w:vanish/>
        </w:rPr>
      </w:pPr>
      <w:bookmarkStart w:id="4" w:name="PE"/>
      <w:r w:rsidRPr="00506EF2">
        <w:rPr>
          <w:vanish/>
        </w:rPr>
        <w:t>PE782.288</w:t>
      </w:r>
      <w:bookmarkEnd w:id="4"/>
    </w:p>
    <w:p w:rsidR="00974D8A" w:rsidRPr="00506EF2" w:rsidP="00974D8A" w14:paraId="7263DCBF" w14:textId="1CC34E2F">
      <w:pPr>
        <w:pStyle w:val="ATHeading3"/>
      </w:pPr>
      <w:bookmarkStart w:id="5" w:name="Sujet"/>
      <w:r w:rsidRPr="00506EF2">
        <w:t xml:space="preserve">Резолюция на Европейския парламент от </w:t>
      </w:r>
      <w:r w:rsidR="005D4317">
        <w:t>17 юни</w:t>
      </w:r>
      <w:r w:rsidRPr="00506EF2">
        <w:t xml:space="preserve"> 2026 г. относно доклада на Комисията за Грузия за 2025 г.</w:t>
      </w:r>
      <w:bookmarkEnd w:id="5"/>
      <w:r w:rsidRPr="00506EF2">
        <w:t xml:space="preserve"> </w:t>
      </w:r>
      <w:bookmarkStart w:id="6" w:name="References"/>
      <w:r w:rsidRPr="00506EF2">
        <w:t>(2025/2257(INI))</w:t>
      </w:r>
      <w:bookmarkEnd w:id="6"/>
    </w:p>
    <w:p w:rsidR="00AD7810" w:rsidRPr="00506EF2" w:rsidP="00AD7810" w14:paraId="7E1A7414" w14:textId="77777777">
      <w:pPr>
        <w:pStyle w:val="Normal12"/>
      </w:pPr>
      <w:r w:rsidRPr="00506EF2">
        <w:t>Европейският парламент,</w:t>
      </w:r>
    </w:p>
    <w:p w:rsidR="00AD7810" w:rsidRPr="00506EF2" w:rsidP="00AD7810" w14:paraId="57E41F32" w14:textId="3EA75BE3">
      <w:pPr>
        <w:pStyle w:val="NormalHanging"/>
      </w:pPr>
      <w:r w:rsidRPr="00506EF2">
        <w:t>–</w:t>
      </w:r>
      <w:r w:rsidRPr="00506EF2">
        <w:tab/>
        <w:t>като взе предвид съобщението на Комисията от 4 ноември 2025 г., озаглавено „Съобщение относно политиката на ЕС за разширяване за 2025 г.“ (</w:t>
      </w:r>
      <w:r w:rsidRPr="0074212B" w:rsidR="005D4317">
        <w:t>COM(2025)0690</w:t>
      </w:r>
      <w:r w:rsidRPr="00506EF2">
        <w:t>), придружено от работния документ на службите на Комисията, озаглавен „Доклад за Грузия за 2025 г.“ (SWD(2025)0757),</w:t>
      </w:r>
    </w:p>
    <w:p w:rsidR="00AD7810" w:rsidRPr="00506EF2" w:rsidP="00AD7810" w14:paraId="658DABC9" w14:textId="6AC9B4A4">
      <w:pPr>
        <w:pStyle w:val="NormalHanging"/>
      </w:pPr>
      <w:r w:rsidRPr="00506EF2">
        <w:t>–</w:t>
      </w:r>
      <w:r w:rsidRPr="00506EF2">
        <w:tab/>
        <w:t>като взе предвид Споразумението за асоцииране между Европейския съюз и Европейската общност за атомна енергия и техните държави членки, от една страна, и Грузия, от друга страна</w:t>
      </w:r>
      <w:r>
        <w:rPr>
          <w:rStyle w:val="FootnoteReference"/>
        </w:rPr>
        <w:footnoteReference w:id="2"/>
      </w:r>
      <w:r w:rsidRPr="00506EF2">
        <w:t>,</w:t>
      </w:r>
    </w:p>
    <w:p w:rsidR="00AD7810" w:rsidRPr="00506EF2" w:rsidP="00AD7810" w14:paraId="07042A12" w14:textId="27A9D4A5">
      <w:pPr>
        <w:pStyle w:val="NormalHanging"/>
      </w:pPr>
      <w:r w:rsidRPr="00506EF2">
        <w:t>–</w:t>
      </w:r>
      <w:r w:rsidRPr="00506EF2">
        <w:tab/>
        <w:t xml:space="preserve">като взе предвид Регламент (ЕС) 2025/2441 на Европейския парламент и на Съвета </w:t>
      </w:r>
      <w:r w:rsidR="00984713">
        <w:t xml:space="preserve">от 26 ноември 2025 г. </w:t>
      </w:r>
      <w:r w:rsidRPr="00506EF2">
        <w:t>за изменение на Регламент (ЕС) 2018/1806 във връзка с преразглеждането на механизма за спиране</w:t>
      </w:r>
      <w:r>
        <w:rPr>
          <w:rStyle w:val="FootnoteReference"/>
        </w:rPr>
        <w:footnoteReference w:id="3"/>
      </w:r>
      <w:r w:rsidRPr="00506EF2">
        <w:t>,</w:t>
      </w:r>
    </w:p>
    <w:p w:rsidR="00AD7810" w:rsidRPr="00506EF2" w:rsidP="00AD7810" w14:paraId="45CEA52B" w14:textId="77777777">
      <w:pPr>
        <w:pStyle w:val="NormalHanging"/>
      </w:pPr>
      <w:r w:rsidRPr="00506EF2">
        <w:t>–</w:t>
      </w:r>
      <w:r w:rsidRPr="00506EF2">
        <w:tab/>
        <w:t>като взе предвид член 78 от Конституцията на Грузия, в който се изисква да бъдат взети всички възможни мерки, за да се гарантира пълното интегриране на Грузия в ЕС и НАТО,</w:t>
      </w:r>
    </w:p>
    <w:p w:rsidR="00AD7810" w:rsidRPr="00506EF2" w:rsidP="00AD7810" w14:paraId="23A3380B" w14:textId="77777777">
      <w:pPr>
        <w:pStyle w:val="NormalHanging"/>
      </w:pPr>
      <w:r w:rsidRPr="00506EF2">
        <w:t>–</w:t>
      </w:r>
      <w:r w:rsidRPr="00506EF2">
        <w:tab/>
        <w:t>като взе предвид приетото на 12 ноември 2025 г. спешно становище на Службата за демократични институции и права на човека (БДИПЧ) на Организацията за сигурност и сътрудничество в Европа (ОССЕ) относно измененията на Кодекса за административните нарушения и Наказателния кодекс на Грузия,</w:t>
      </w:r>
    </w:p>
    <w:p w:rsidR="00AD7810" w:rsidRPr="00506EF2" w:rsidP="00AD7810" w14:paraId="47A9B42B" w14:textId="77777777">
      <w:pPr>
        <w:pStyle w:val="NormalHanging"/>
      </w:pPr>
      <w:r w:rsidRPr="00506EF2">
        <w:t>–</w:t>
      </w:r>
      <w:r w:rsidRPr="00506EF2">
        <w:tab/>
        <w:t>като взе предвид Европейската конвенция за правата на човека, по която Грузия е страна,</w:t>
      </w:r>
    </w:p>
    <w:p w:rsidR="00AD7810" w:rsidRPr="00506EF2" w:rsidP="00AD7810" w14:paraId="5471BBF9" w14:textId="77777777">
      <w:pPr>
        <w:pStyle w:val="NormalHanging"/>
      </w:pPr>
      <w:r w:rsidRPr="00506EF2">
        <w:t>–</w:t>
      </w:r>
      <w:r w:rsidRPr="00506EF2">
        <w:tab/>
        <w:t>като взе предвид предишните доклади на Комисията по отношение на Грузия в контекста на разширяването,</w:t>
      </w:r>
    </w:p>
    <w:p w:rsidR="00AD7810" w:rsidRPr="00506EF2" w:rsidP="00AD7810" w14:paraId="2A451DF1" w14:textId="77777777">
      <w:pPr>
        <w:pStyle w:val="NormalHanging"/>
      </w:pPr>
      <w:r w:rsidRPr="00506EF2">
        <w:t>–</w:t>
      </w:r>
      <w:r w:rsidRPr="00506EF2">
        <w:tab/>
        <w:t>като взе предвид доклада „Свободата в света“ за 2025 г., публикуван от „Фрийдъм хаус“,</w:t>
      </w:r>
    </w:p>
    <w:p w:rsidR="00AD7810" w:rsidRPr="00506EF2" w:rsidP="00AD7810" w14:paraId="389A8244" w14:textId="77777777">
      <w:pPr>
        <w:pStyle w:val="NormalHanging"/>
      </w:pPr>
      <w:r w:rsidRPr="00506EF2">
        <w:t>–</w:t>
      </w:r>
      <w:r w:rsidRPr="00506EF2">
        <w:tab/>
        <w:t xml:space="preserve">като взе предвид индекса за върховенството на закона на World </w:t>
      </w:r>
      <w:r w:rsidRPr="00506EF2">
        <w:t>Justice</w:t>
      </w:r>
      <w:r w:rsidRPr="00506EF2">
        <w:t xml:space="preserve"> Project за </w:t>
      </w:r>
      <w:r w:rsidRPr="00506EF2">
        <w:t>2025 г.,</w:t>
      </w:r>
    </w:p>
    <w:p w:rsidR="00AD7810" w:rsidRPr="00506EF2" w:rsidP="00AD7810" w14:paraId="1A842AC5" w14:textId="77777777">
      <w:pPr>
        <w:pStyle w:val="NormalHanging"/>
      </w:pPr>
      <w:r w:rsidRPr="00506EF2">
        <w:t>–</w:t>
      </w:r>
      <w:r w:rsidRPr="00506EF2">
        <w:tab/>
        <w:t>като взе предвид индекса за възприятие на корупцията за 2025 г. на организацията „</w:t>
      </w:r>
      <w:r w:rsidRPr="00506EF2">
        <w:t>Transparency</w:t>
      </w:r>
      <w:r w:rsidRPr="00506EF2">
        <w:t xml:space="preserve"> International“ ,</w:t>
      </w:r>
    </w:p>
    <w:p w:rsidR="00AD7810" w:rsidRPr="00506EF2" w:rsidP="00AD7810" w14:paraId="5B6986A8" w14:textId="77777777">
      <w:pPr>
        <w:pStyle w:val="NormalHanging"/>
      </w:pPr>
      <w:r w:rsidRPr="00506EF2">
        <w:t>–</w:t>
      </w:r>
      <w:r w:rsidRPr="00506EF2">
        <w:tab/>
        <w:t>като взе предвид доклада на мисията на ОССЕ за установяване на фактите относно Грузия (2026 г.) съгласно параграф 12 от документа по Московския механизъм, озаглавен „Доклад относно развитието в Грузия по отношение на правата на човека и основните свободи от пролетта на 2024 г. насам“,</w:t>
      </w:r>
    </w:p>
    <w:p w:rsidR="00AD7810" w:rsidRPr="00506EF2" w:rsidP="00AD7810" w14:paraId="7A5FB29F" w14:textId="77777777">
      <w:pPr>
        <w:pStyle w:val="NormalHanging"/>
      </w:pPr>
      <w:r w:rsidRPr="00506EF2">
        <w:t>–</w:t>
      </w:r>
      <w:r w:rsidRPr="00506EF2">
        <w:tab/>
        <w:t>като взе предвид заключенията на председателството на Съвета от 16 декември 2025 г. относно разширяването,</w:t>
      </w:r>
    </w:p>
    <w:p w:rsidR="00AD7810" w:rsidRPr="00506EF2" w:rsidP="00AD7810" w14:paraId="44546490" w14:textId="77777777">
      <w:pPr>
        <w:pStyle w:val="NormalHanging"/>
      </w:pPr>
      <w:r w:rsidRPr="00506EF2">
        <w:t>–</w:t>
      </w:r>
      <w:r w:rsidRPr="00506EF2">
        <w:tab/>
        <w:t>като взе предвид становището, прието от Венецианската комисия на 9–10 октомври 2025 г., относно Закона за регистрация на чуждестранните агенти, измененията на Закона за безвъзмездните средства и други закони, свързани с „чуждестранното влияние“,</w:t>
      </w:r>
    </w:p>
    <w:p w:rsidR="00AD7810" w:rsidRPr="00506EF2" w:rsidP="00AD7810" w14:paraId="74A2CA3E" w14:textId="77777777">
      <w:pPr>
        <w:pStyle w:val="NormalHanging"/>
      </w:pPr>
      <w:r w:rsidRPr="00506EF2">
        <w:t>–</w:t>
      </w:r>
      <w:r w:rsidRPr="00506EF2">
        <w:tab/>
        <w:t>като взе предвид предходните си резолюции относно Грузия,</w:t>
      </w:r>
    </w:p>
    <w:p w:rsidR="00AD7810" w:rsidRPr="00506EF2" w:rsidP="00AD7810" w14:paraId="243595E0" w14:textId="578C1B27">
      <w:pPr>
        <w:pStyle w:val="NormalHanging"/>
      </w:pPr>
      <w:r w:rsidRPr="00506EF2">
        <w:t>–</w:t>
      </w:r>
      <w:r w:rsidRPr="00506EF2">
        <w:tab/>
        <w:t>като взе предвид своята резолюция от 11 март 2026 г. относно стратегията за разширяване на ЕС</w:t>
      </w:r>
      <w:r>
        <w:rPr>
          <w:rStyle w:val="FootnoteReference"/>
        </w:rPr>
        <w:footnoteReference w:id="4"/>
      </w:r>
      <w:r w:rsidRPr="00506EF2">
        <w:t>,</w:t>
      </w:r>
    </w:p>
    <w:p w:rsidR="00AD7810" w:rsidRPr="00506EF2" w:rsidP="00AD7810" w14:paraId="36C374D6" w14:textId="77777777">
      <w:pPr>
        <w:pStyle w:val="NormalHanging"/>
      </w:pPr>
      <w:r w:rsidRPr="00506EF2">
        <w:t>–</w:t>
      </w:r>
      <w:r w:rsidRPr="00506EF2">
        <w:tab/>
        <w:t>като взе предвид член 55 от своя Правилник за дейността,</w:t>
      </w:r>
    </w:p>
    <w:p w:rsidR="00AD7810" w:rsidRPr="00506EF2" w:rsidP="00AD7810" w14:paraId="03661402" w14:textId="77777777">
      <w:pPr>
        <w:pStyle w:val="NormalHanging"/>
      </w:pPr>
      <w:r w:rsidRPr="00506EF2">
        <w:t>–</w:t>
      </w:r>
      <w:r w:rsidRPr="00506EF2">
        <w:tab/>
        <w:t>като взе предвид доклада на комисията по външни работи (A10-0140/2026),</w:t>
      </w:r>
    </w:p>
    <w:p w:rsidR="00AD7810" w:rsidRPr="00506EF2" w:rsidP="00AD7810" w14:paraId="7E1A312B" w14:textId="0A8AAAE5">
      <w:pPr>
        <w:pStyle w:val="NormalHanging"/>
      </w:pPr>
      <w:r w:rsidRPr="00506EF2">
        <w:t>А.</w:t>
      </w:r>
      <w:r w:rsidRPr="00506EF2">
        <w:tab/>
        <w:t>като има предвид, че Грузия представи кандидатурата си за членство в ЕС на 3 март 2022 г.; като има предвид, че на своето заседание на 14 и 15 декември 202</w:t>
      </w:r>
      <w:r w:rsidR="00984713">
        <w:t>3</w:t>
      </w:r>
      <w:r w:rsidRPr="00506EF2">
        <w:t xml:space="preserve"> г. Европейският съвет предостави на Грузия статут на страна кандидатка, при условие че бъдат предприети съответните стъпки, определени в препоръката на Комисията от 8 ноември 2023 г.; като има предвид, че процесът на присъединяване на Грузия на практика е спрян от 2024 г. насам;</w:t>
      </w:r>
    </w:p>
    <w:p w:rsidR="00AD7810" w:rsidRPr="00506EF2" w:rsidP="00AD7810" w14:paraId="4DDD3169" w14:textId="77777777">
      <w:pPr>
        <w:pStyle w:val="NormalHanging"/>
      </w:pPr>
      <w:r w:rsidRPr="00506EF2">
        <w:t>Б.</w:t>
      </w:r>
      <w:r w:rsidRPr="00506EF2">
        <w:tab/>
        <w:t>като има предвид, че Комисията счита Грузия само номинално за страна кандидатка след заключенията на Европейския съвет от 19 декември 2024 г., в които се констатира, че действията на грузинското правителство фактически са довели до спиране на предприсъединителния процес, и с оглед на продължаващото и значително отстъпление на Грузия от основните принципи оттогава насам;</w:t>
      </w:r>
    </w:p>
    <w:p w:rsidR="00AD7810" w:rsidRPr="00506EF2" w:rsidP="00AD7810" w14:paraId="39BD6D79" w14:textId="77777777">
      <w:pPr>
        <w:pStyle w:val="NormalHanging"/>
      </w:pPr>
      <w:r w:rsidRPr="00506EF2">
        <w:t>В.</w:t>
      </w:r>
      <w:r w:rsidRPr="00506EF2">
        <w:tab/>
        <w:t>като има предвид, че членът на Комисията Марта Кос с основание описа доклада на Комисията за Грузия за 2025 г. като „най-лошия доклад, изготвян някога за страна кандидатка“;</w:t>
      </w:r>
    </w:p>
    <w:p w:rsidR="00AD7810" w:rsidRPr="00506EF2" w:rsidP="00AD7810" w14:paraId="331D9D1D" w14:textId="77777777">
      <w:pPr>
        <w:pStyle w:val="NormalHanging"/>
      </w:pPr>
      <w:r w:rsidRPr="00506EF2">
        <w:t>Г.</w:t>
      </w:r>
      <w:r w:rsidRPr="00506EF2">
        <w:tab/>
        <w:t>като има предвид, че положението в Грузия продължи да се влошава драстично, с допълнително отстъпление от демокрацията, правата на човека и принципите на правовата държава поради действията на „Грузинска мечта“; като има предвид, че методите на репресии, кампании за дезинформация и политически тормоз възпроизвеждат руската хибридна тактика;</w:t>
      </w:r>
    </w:p>
    <w:p w:rsidR="00AD7810" w:rsidRPr="00506EF2" w:rsidP="00AD7810" w14:paraId="1221396E" w14:textId="77777777">
      <w:pPr>
        <w:pStyle w:val="NormalHanging"/>
      </w:pPr>
      <w:r w:rsidRPr="00506EF2">
        <w:t>Д.</w:t>
      </w:r>
      <w:r w:rsidRPr="00506EF2">
        <w:tab/>
        <w:t>като има предвид, че на 29 януари 2026 г. 24 участващи в ОССЕ държави задействаха Московския механизъм, който позволява на независима експертна мисия да разгледа твърденията за нарушения на правата на човека, по-специално събитията от пролетта на 2024 г. насам; като има предвид, че в експертният доклад на ОССЕ по Московския механизъм относно Грузия, публикуван на 12 март 2026 г., се изтъкват сериозни опасения по отношение на почтеността на изборните процеси, включително твърдения за нередности и натиск върху политическата опозиция, както и използване на законови мерки срещу лидери на опозицията и политически партии; като има предвид, че в този доклад се призовава за отмяната на ограничителното законодателство, в т.ч. на Закона за прозрачност на чуждестранното влияние и на измененията, засягащи свободата на медиите; като има предвид, че докладът документира случаи на непропорционална употреба на сила срещу протестиращи и изразява опасения за нарушения на забраната за мъчения и малтретиране, които понякога достигат до „прага на изтезанията“; като има предвид, че освен това в него се призовава за незабавното освобождаване на лицата, задържани по политически причини, включително членове на опозицията и журналисти, и се подчертава колко е належащо Грузия да сътрудничи изцяло с международните организации, включително Венецианската комисия, и съответните международни механизми;</w:t>
      </w:r>
    </w:p>
    <w:p w:rsidR="00AD7810" w:rsidRPr="00506EF2" w:rsidP="00AD7810" w14:paraId="1FA4E6E9" w14:textId="77777777">
      <w:pPr>
        <w:pStyle w:val="NormalHanging"/>
      </w:pPr>
      <w:r w:rsidRPr="00506EF2">
        <w:t>Е.</w:t>
      </w:r>
      <w:r w:rsidRPr="00506EF2">
        <w:tab/>
        <w:t xml:space="preserve">като има предвид, че правителството на „Грузинска мечта“ системно отслабва принципите на взаимозависимост и </w:t>
      </w:r>
      <w:r w:rsidRPr="00506EF2">
        <w:t>взаимоограничаване</w:t>
      </w:r>
      <w:r w:rsidRPr="00506EF2">
        <w:t>, като подкопава независимостта на съдебната система, прокуратурата и Конституционния съд, което прави Грузия структурно неспособна да изпълни критериите за членство в ЕС при настоящите условия;</w:t>
      </w:r>
    </w:p>
    <w:p w:rsidR="00AD7810" w:rsidRPr="00506EF2" w:rsidP="00AD7810" w14:paraId="143B4A18" w14:textId="77777777">
      <w:pPr>
        <w:pStyle w:val="NormalHanging"/>
      </w:pPr>
      <w:r w:rsidRPr="00506EF2">
        <w:t>Ж.</w:t>
      </w:r>
      <w:r w:rsidRPr="00506EF2">
        <w:tab/>
        <w:t>като има предвид, че протестите срещу действията на „Грузинска мечта“ не са спирали от 28 ноември 2024 г. насам, което показва трайната демократична воля на грузинския народ въпреки системното и непропорционално насилие срещу участниците, лишаването им от свобода и въвеждането на все по-драконовски наказания за участие; като има предвид, че мащабните протести започнаха, след като правителството обяви, че спира подготовката за преговори за присъединяване към ЕС до 2028 г.;</w:t>
      </w:r>
    </w:p>
    <w:p w:rsidR="00AD7810" w:rsidRPr="00506EF2" w:rsidP="00AD7810" w14:paraId="41963F34" w14:textId="77777777">
      <w:pPr>
        <w:pStyle w:val="NormalHanging"/>
      </w:pPr>
      <w:r w:rsidRPr="00506EF2">
        <w:t>З.</w:t>
      </w:r>
      <w:r w:rsidRPr="00506EF2">
        <w:tab/>
        <w:t xml:space="preserve">като има предвид, че в документалния филм на </w:t>
      </w:r>
      <w:r w:rsidRPr="00506EF2">
        <w:t>Би</w:t>
      </w:r>
      <w:r w:rsidRPr="00506EF2">
        <w:t xml:space="preserve"> </w:t>
      </w:r>
      <w:r w:rsidRPr="00506EF2">
        <w:t>Би</w:t>
      </w:r>
      <w:r w:rsidRPr="00506EF2">
        <w:t xml:space="preserve"> </w:t>
      </w:r>
      <w:r w:rsidRPr="00506EF2">
        <w:t>Си</w:t>
      </w:r>
      <w:r w:rsidRPr="00506EF2">
        <w:t xml:space="preserve"> „</w:t>
      </w:r>
      <w:r w:rsidRPr="00506EF2">
        <w:t>When</w:t>
      </w:r>
      <w:r w:rsidRPr="00506EF2">
        <w:t xml:space="preserve"> </w:t>
      </w:r>
      <w:r w:rsidRPr="00506EF2">
        <w:t>Water</w:t>
      </w:r>
      <w:r w:rsidRPr="00506EF2">
        <w:t xml:space="preserve"> </w:t>
      </w:r>
      <w:r w:rsidRPr="00506EF2">
        <w:t>Burns</w:t>
      </w:r>
      <w:r w:rsidRPr="00506EF2">
        <w:t>“, излъчен на 1 декември 2025 г., бяха представени доказателства, че през ноември-декември 2024 г. срещу протестиращите в Грузия е била използвана вода, смесена с токсичен химикал; като има предвид, че използването на токсични химикали може да причини дългосрочни здравословни проблеми;</w:t>
      </w:r>
    </w:p>
    <w:p w:rsidR="00AD7810" w:rsidRPr="00506EF2" w:rsidP="00AD7810" w14:paraId="3C03887B" w14:textId="77777777">
      <w:pPr>
        <w:pStyle w:val="NormalHanging"/>
      </w:pPr>
      <w:r w:rsidRPr="00506EF2">
        <w:t>И.</w:t>
      </w:r>
      <w:r w:rsidRPr="00506EF2">
        <w:tab/>
        <w:t>като има предвид, че късната покана от страна на грузинските органи възпрепятства ОССЕ/БДИПЧ да наблюдава местните избори, проведени на 4 октомври 2025 г.;</w:t>
      </w:r>
    </w:p>
    <w:p w:rsidR="00AD7810" w:rsidRPr="00506EF2" w:rsidP="00AD7810" w14:paraId="6E97A14F" w14:textId="77777777">
      <w:pPr>
        <w:pStyle w:val="NormalHanging"/>
      </w:pPr>
      <w:r w:rsidRPr="00506EF2">
        <w:t>Й.</w:t>
      </w:r>
      <w:r w:rsidRPr="00506EF2">
        <w:tab/>
        <w:t xml:space="preserve">„като има предвид, че с наскоро приети законодателни изменения се въвеждат допълнителни ограничения на чуждестранното финансиране и се криминализира т.нар. „външно лобиране“; като има предвид, че в това законодателство определението за „безвъзмездни средства“ значително се разширява, така че да включва техническа или безплатна помощ и трансфери между чуждестранни организации и техните местни клонове, разширява се обхватът на субектите, считани за получатели на безвъзмездни средства — включително чуждестранни организации, работещи по въпроси, свързани с Грузия — и се въвеждат </w:t>
      </w:r>
      <w:r w:rsidRPr="00506EF2">
        <w:t>наказателни санкции за нарушения, свързани с безвъзмездни средства; като има предвид, че със законодателството допълнително се въвеждат присъди лишаване от свобода до шест години за „външно лобиране“, осемгодишни забрани за членство в политически партии за лица, които са работили в организации с чуждестранно финансиране, и допълнителни санкции за предприятия, извършващи политическа дейност, която не е свързана с тяхната основна дейност; като има предвид, че в законодателството се въвежда и клауза за „екстремизъм“, която позволява налагането на присъда с лишаване от свобода до три години за „системни действия“, насочени към „установяване на усещането“, че правителството няма легитимност;</w:t>
      </w:r>
    </w:p>
    <w:p w:rsidR="00AD7810" w:rsidRPr="00506EF2" w:rsidP="00AD7810" w14:paraId="4A14509B" w14:textId="77777777">
      <w:pPr>
        <w:pStyle w:val="NormalHanging"/>
      </w:pPr>
      <w:r w:rsidRPr="00506EF2">
        <w:t>К.</w:t>
      </w:r>
      <w:r w:rsidRPr="00506EF2">
        <w:tab/>
        <w:t>като има предвид, че в приетите изменения на Наказателния кодекс се предвиждат присъди с лишаване от свобода за лица, които отказват да признаят легитимността на правителството на „Грузинска мечта“, което поражда сериозни опасения относно свободата на изразяване, политическия плурализъм и демократичните стандарти;</w:t>
      </w:r>
    </w:p>
    <w:p w:rsidR="00AD7810" w:rsidRPr="00506EF2" w:rsidP="00AD7810" w14:paraId="08651C5C" w14:textId="77777777">
      <w:pPr>
        <w:pStyle w:val="NormalHanging"/>
      </w:pPr>
      <w:r w:rsidRPr="00506EF2">
        <w:t>Л.</w:t>
      </w:r>
      <w:r w:rsidRPr="00506EF2">
        <w:tab/>
        <w:t>като има предвид, че в отговор на отстъплението от демокрацията в Грузия при режима на „Грузинска мечта“ и геополитическото преориентиране на страната, Съединените щати спряха стратегическото си партньорство с Грузия и наложиха санкции, които все още са в сила; като има предвид, че Конгресът на САЩ въведе Закон за мобилизиране и подобряване на възможностите на Грузия за изграждане на отчетност, устойчивост и независимост (Законът MEGOBARI), чиято цел е да се засили надзорът върху действията на правителството на Грузия и неговите връзки с Русия и други авторитарни режими, включително Китай;</w:t>
      </w:r>
    </w:p>
    <w:p w:rsidR="00AD7810" w:rsidRPr="00506EF2" w:rsidP="00AD7810" w14:paraId="29FDA4EE" w14:textId="77777777">
      <w:pPr>
        <w:pStyle w:val="NormalHanging"/>
      </w:pPr>
      <w:r w:rsidRPr="00506EF2">
        <w:t>М.</w:t>
      </w:r>
      <w:r w:rsidRPr="00506EF2">
        <w:tab/>
        <w:t>като има предвид, че през декември 2024 г. Съединените щати наложиха на Бидзина Иванишвили санкции заради подкопаването на демократичното и евроатлантическото бъдеще на Грузия в полза на Руската федерация; като има предвид, че Съединените щати смятат, че действията на Иванишвили и „Грузинска мечта“ подкопават демократичните институции, способстват за нарушения на правата на човека и ограничават упражняването на основни свободи в Грузия; като има предвид, че тези действия също така отклоняват Грузия от нейното евроатлантическо бъдеще и я оставят все по-уязвима пред Русия, която продължава да окупира над 20% от територията на Грузия;</w:t>
      </w:r>
    </w:p>
    <w:p w:rsidR="00AD7810" w:rsidRPr="00506EF2" w:rsidP="00AD7810" w14:paraId="02ACF816" w14:textId="77777777">
      <w:pPr>
        <w:pStyle w:val="NormalHanging"/>
      </w:pPr>
      <w:r w:rsidRPr="00506EF2">
        <w:t>Н.</w:t>
      </w:r>
      <w:r w:rsidRPr="00506EF2">
        <w:tab/>
        <w:t>като има предвид, че на 2 март 2026 г. девет опозиционни партии в Грузия обявиха създаването на съюз в отговор на продължаващото отстъпление от демокрацията и авторитарното консолидиране на властта от страна на „Грузинска мечта“, което показва консолидирането на проевропейските демократични сили и нарастващото обществено искане за защита на европейския път на Грузия;</w:t>
      </w:r>
    </w:p>
    <w:p w:rsidR="00AD7810" w:rsidRPr="00506EF2" w:rsidP="00AD7810" w14:paraId="40B60B41" w14:textId="77777777">
      <w:pPr>
        <w:pStyle w:val="NormalHanging"/>
      </w:pPr>
      <w:r w:rsidRPr="00506EF2">
        <w:t>О.</w:t>
      </w:r>
      <w:r w:rsidRPr="00506EF2">
        <w:tab/>
        <w:t xml:space="preserve">като има предвид, че осем лидери и политици от опозицията, и по-конкретно Ника </w:t>
      </w:r>
      <w:r w:rsidRPr="00506EF2">
        <w:t>Гварамиа</w:t>
      </w:r>
      <w:r w:rsidRPr="00506EF2">
        <w:t xml:space="preserve">, </w:t>
      </w:r>
      <w:r w:rsidRPr="00506EF2">
        <w:t>Зураб</w:t>
      </w:r>
      <w:r w:rsidRPr="00506EF2">
        <w:t xml:space="preserve"> </w:t>
      </w:r>
      <w:r w:rsidRPr="00506EF2">
        <w:t>Джапаридзе</w:t>
      </w:r>
      <w:r w:rsidRPr="00506EF2">
        <w:t xml:space="preserve">, </w:t>
      </w:r>
      <w:r w:rsidRPr="00506EF2">
        <w:t>Бадри</w:t>
      </w:r>
      <w:r w:rsidRPr="00506EF2">
        <w:t xml:space="preserve"> </w:t>
      </w:r>
      <w:r w:rsidRPr="00506EF2">
        <w:t>Джапаридзе</w:t>
      </w:r>
      <w:r w:rsidRPr="00506EF2">
        <w:t xml:space="preserve">, </w:t>
      </w:r>
      <w:r w:rsidRPr="00506EF2">
        <w:t>Мамука</w:t>
      </w:r>
      <w:r w:rsidRPr="00506EF2">
        <w:t xml:space="preserve"> </w:t>
      </w:r>
      <w:r w:rsidRPr="00506EF2">
        <w:t>Хазарадзе</w:t>
      </w:r>
      <w:r w:rsidRPr="00506EF2">
        <w:t xml:space="preserve">, Ника </w:t>
      </w:r>
      <w:r w:rsidRPr="00506EF2">
        <w:t>Мелиа</w:t>
      </w:r>
      <w:r w:rsidRPr="00506EF2">
        <w:t xml:space="preserve">, Иракли </w:t>
      </w:r>
      <w:r w:rsidRPr="00506EF2">
        <w:t>Окруашвили</w:t>
      </w:r>
      <w:r w:rsidRPr="00506EF2">
        <w:t xml:space="preserve">, </w:t>
      </w:r>
      <w:r w:rsidRPr="00506EF2">
        <w:t>Гиви</w:t>
      </w:r>
      <w:r w:rsidRPr="00506EF2">
        <w:t xml:space="preserve"> </w:t>
      </w:r>
      <w:r w:rsidRPr="00506EF2">
        <w:t>Таргамадзе</w:t>
      </w:r>
      <w:r w:rsidRPr="00506EF2">
        <w:t xml:space="preserve"> и Григори </w:t>
      </w:r>
      <w:r w:rsidRPr="00506EF2">
        <w:t>Вашадзе</w:t>
      </w:r>
      <w:r w:rsidRPr="00506EF2">
        <w:t>, бяха осъдени на седем до осем месеца лишаване от свобода и им беше забранено да заемат публична длъжност за срок от две години поради отказ да се явят пред Временната следствена комисия на фактическия парламент на Грузия;</w:t>
      </w:r>
    </w:p>
    <w:p w:rsidR="00AD7810" w:rsidRPr="00506EF2" w:rsidP="00AD7810" w14:paraId="22DA9D5A" w14:textId="77777777">
      <w:pPr>
        <w:pStyle w:val="NormalHanging"/>
      </w:pPr>
      <w:r w:rsidRPr="00506EF2">
        <w:t>П.</w:t>
      </w:r>
      <w:r w:rsidRPr="00506EF2">
        <w:tab/>
        <w:t xml:space="preserve">като има предвид, че органите на „Грузинска мечта“ са създали система на политически мотивирани репресии, която е довела до затварянето на многобройни политически затворници, в т.ч. политици от опозицията, активисти, </w:t>
      </w:r>
      <w:r w:rsidRPr="00506EF2">
        <w:t>журналисти и мирни демонстранти, които са лишени от свобода единствено заради отказа си да се подчинят на авторитета на управляващата партия или заради това, че са упражнявали основните си права; като има предвид, че тези задържания представляват целенасочена стратегия за сплашване и заглушаване на несъгласието, разграждане на политическия плурализъм и консолидиране на авторитарното управление; като има предвид, че фактът, че тези лица продължават да са в затвора, представлява тежко нарушение на конституционния ред на Грузия и на нейните международни задължения в областта на правата на човека и основните ценности, подкрепящи нейния статут на страна кандидатка за членство в ЕС; като има предвид, че многобройни студенти, представители на гражданското общество и творци са били задържани или глобявани за участие в протести;</w:t>
      </w:r>
    </w:p>
    <w:p w:rsidR="00AD7810" w:rsidRPr="00506EF2" w:rsidP="00AD7810" w14:paraId="37D33CEB" w14:textId="77777777">
      <w:pPr>
        <w:pStyle w:val="NormalHanging"/>
      </w:pPr>
      <w:r w:rsidRPr="00506EF2">
        <w:t>Р.</w:t>
      </w:r>
      <w:r w:rsidRPr="00506EF2">
        <w:tab/>
        <w:t xml:space="preserve">като има предвид, че политическото преследване на опозиционни фигури продължава да буди сериозно безпокойство, включително системните атаки срещу Георги </w:t>
      </w:r>
      <w:r w:rsidRPr="00506EF2">
        <w:t>Гахария</w:t>
      </w:r>
      <w:r w:rsidRPr="00506EF2">
        <w:t>, лидер на партията „За Грузия“, който е бил подложен на две физически нападения и обвинен в политически мотивирани криминални деяния, довели до настоящото му пребиваване в изгнание;</w:t>
      </w:r>
    </w:p>
    <w:p w:rsidR="00AD7810" w:rsidRPr="00506EF2" w:rsidP="00AD7810" w14:paraId="3DD4D831" w14:textId="77777777">
      <w:pPr>
        <w:pStyle w:val="NormalHanging"/>
      </w:pPr>
      <w:r w:rsidRPr="00506EF2">
        <w:t>С.</w:t>
      </w:r>
      <w:r w:rsidRPr="00506EF2">
        <w:tab/>
        <w:t>като има предвид, че бившият президент Михаил Саакашвили бива лишен от свобода в продължение на вече над четири години и фактически е политически затворник на олигарха Бидзина Иванишвили, който упражнява контрол върху държавата и незаконно влияние върху нейните институции;</w:t>
      </w:r>
    </w:p>
    <w:p w:rsidR="00AD7810" w:rsidRPr="00506EF2" w:rsidP="00AD7810" w14:paraId="29769AF5" w14:textId="77777777">
      <w:pPr>
        <w:pStyle w:val="NormalHanging"/>
      </w:pPr>
      <w:r w:rsidRPr="00506EF2">
        <w:t>Т.</w:t>
      </w:r>
      <w:r w:rsidRPr="00506EF2">
        <w:tab/>
        <w:t>като има предвид, че от януари 2026 г. насам грузинското гражданско общество е идентифицирало 48 политически затворници, лишени от свобода несправедливо поради участието и подкрепата си за протести, и 68 други, които все още са под предварителен арест по политически мотивирани обвинения;</w:t>
      </w:r>
    </w:p>
    <w:p w:rsidR="00AD7810" w:rsidRPr="00506EF2" w:rsidP="00AD7810" w14:paraId="46236399" w14:textId="77777777">
      <w:pPr>
        <w:pStyle w:val="NormalHanging"/>
      </w:pPr>
      <w:r w:rsidRPr="00506EF2">
        <w:t>У.</w:t>
      </w:r>
      <w:r w:rsidRPr="00506EF2">
        <w:tab/>
        <w:t xml:space="preserve">като има предвид, че жените, участващи в протестите в Грузия, редовно съобщават за унизително отношение от страна на полицията, като например </w:t>
      </w:r>
      <w:r w:rsidRPr="00506EF2">
        <w:t>сексистки</w:t>
      </w:r>
      <w:r w:rsidRPr="00506EF2">
        <w:t xml:space="preserve"> словесен тормоз, редовни претърсвания с разсъбличане, заплахи за изнасилване и други заплахи за физическо насилие по време на протестите, при задържане и при обиски на жилища; като има предвид, че тази тенденция е част от по-широк модел на тормоз и безнаказаност от правоприлагащите органи на Грузия;</w:t>
      </w:r>
    </w:p>
    <w:p w:rsidR="00AD7810" w:rsidRPr="00506EF2" w:rsidP="00AD7810" w14:paraId="56B0C012" w14:textId="77777777">
      <w:pPr>
        <w:pStyle w:val="NormalHanging"/>
      </w:pPr>
      <w:r w:rsidRPr="00506EF2">
        <w:t>Ф.</w:t>
      </w:r>
      <w:r w:rsidRPr="00506EF2">
        <w:tab/>
        <w:t xml:space="preserve">като има предвид, че </w:t>
      </w:r>
      <w:r w:rsidRPr="00506EF2">
        <w:t>Мзия</w:t>
      </w:r>
      <w:r w:rsidRPr="00506EF2">
        <w:t xml:space="preserve"> </w:t>
      </w:r>
      <w:r w:rsidRPr="00506EF2">
        <w:t>Амаглобели</w:t>
      </w:r>
      <w:r w:rsidRPr="00506EF2">
        <w:t xml:space="preserve">, грузинската журналистка и директор на онлайн медиите </w:t>
      </w:r>
      <w:r w:rsidRPr="00506EF2">
        <w:t>Батумелеби</w:t>
      </w:r>
      <w:r w:rsidRPr="00506EF2">
        <w:t xml:space="preserve"> и </w:t>
      </w:r>
      <w:r w:rsidRPr="00506EF2">
        <w:t>Нетгазети</w:t>
      </w:r>
      <w:r w:rsidRPr="00506EF2">
        <w:t xml:space="preserve">, получила наградата „Сахаров“ за свобода на мисълта за 2025 г. от Европейския парламент заедно с Анджей </w:t>
      </w:r>
      <w:r w:rsidRPr="00506EF2">
        <w:t>Почобут</w:t>
      </w:r>
      <w:r w:rsidRPr="00506EF2">
        <w:t xml:space="preserve"> от Беларус, все още се намира в затвора; като има предвид, че Върховният съд на Грузия отхвърли обжалването от страна на </w:t>
      </w:r>
      <w:r w:rsidRPr="00506EF2">
        <w:t>Мзия</w:t>
      </w:r>
      <w:r w:rsidRPr="00506EF2">
        <w:t xml:space="preserve"> </w:t>
      </w:r>
      <w:r w:rsidRPr="00506EF2">
        <w:t>Амаглобели</w:t>
      </w:r>
      <w:r w:rsidRPr="00506EF2">
        <w:t xml:space="preserve"> и че при това положение единственият законен път за търсене на правосъдие остава Европейският съд по правата на човека в Страсбург;</w:t>
      </w:r>
    </w:p>
    <w:p w:rsidR="00AD7810" w:rsidRPr="00506EF2" w:rsidP="00AD7810" w14:paraId="55C5440F" w14:textId="77777777">
      <w:pPr>
        <w:pStyle w:val="NormalHanging"/>
      </w:pPr>
      <w:r w:rsidRPr="00506EF2">
        <w:t>Х.</w:t>
      </w:r>
      <w:r w:rsidRPr="00506EF2">
        <w:tab/>
        <w:t>като има предвид, че положението със свободата на медиите и свободата на изразяване на мнение се е влошило драстично; като има предвид, че платформата на Съвета на Европа за безопасност на журналистите съобщи за 32 сигнала във връзка с Грузия през 2025 г. – увеличение със 78 % в сравнение с 2024 г.;</w:t>
      </w:r>
    </w:p>
    <w:p w:rsidR="00AD7810" w:rsidRPr="00506EF2" w:rsidP="00AD7810" w14:paraId="0BD0E545" w14:textId="77777777">
      <w:pPr>
        <w:pStyle w:val="NormalHanging"/>
      </w:pPr>
      <w:r w:rsidRPr="00506EF2">
        <w:t>Ц.</w:t>
      </w:r>
      <w:r w:rsidRPr="00506EF2">
        <w:tab/>
        <w:t xml:space="preserve">като има предвид, че нарастващият натиск върху образователната система и опитите за подкопаване на автономността на университетите в резултат на </w:t>
      </w:r>
      <w:r w:rsidRPr="00506EF2">
        <w:t>инициативата на „Грузинска мечта“, наречена „Един град, един факултет“, рискуват да отслабят един от ключовите институционални стълбове в подкрепа на демократичния дебат, гражданската ангажираност и траекторията на европейската интеграция на Грузия и да ограничат достъпа до образование; като има предвид, че атаките срещу гражданското общество, независимите медии и академичния сектор показват по-широк модел на натиск върху свободата на изразяване и академичната свобода в Грузия;</w:t>
      </w:r>
    </w:p>
    <w:p w:rsidR="00AD7810" w:rsidRPr="00506EF2" w:rsidP="00AD7810" w14:paraId="67F8382B" w14:textId="7047FDE3">
      <w:pPr>
        <w:pStyle w:val="NormalHanging"/>
      </w:pPr>
      <w:r w:rsidRPr="00506EF2">
        <w:t>Ч.</w:t>
      </w:r>
      <w:r w:rsidRPr="00506EF2">
        <w:tab/>
        <w:t xml:space="preserve">като има предвид, че в Грузия извличането на манган за износ към ЕС е предизвикало свлачища и нарушения на трудовите права в миннодобивния регион </w:t>
      </w:r>
      <w:r w:rsidRPr="00506EF2">
        <w:t>Чиатура</w:t>
      </w:r>
      <w:r w:rsidRPr="00506EF2">
        <w:t xml:space="preserve"> и е замърсило и съседните райони; като има предвид, че според природозащитни организации в река </w:t>
      </w:r>
      <w:r w:rsidRPr="00506EF2">
        <w:t>Квирила</w:t>
      </w:r>
      <w:r w:rsidRPr="00506EF2">
        <w:t xml:space="preserve"> директно се заустват отпадъчни води; като има предвид, че протестиращите срещу добива на манган съобщават за случаи на наблюдение, сплашване и задържане от страна на грузинските власти; като има предвид, че с Директивата относно дължима грижа на дружествата във връзка с устойчивостта</w:t>
      </w:r>
      <w:r>
        <w:rPr>
          <w:rStyle w:val="FootnoteReference"/>
        </w:rPr>
        <w:footnoteReference w:id="5"/>
      </w:r>
      <w:r w:rsidRPr="00506EF2">
        <w:t xml:space="preserve"> от европейските предприятия се изисква да гарантират зачитане на правата на човека, добри условия на труд и грижа за околната среда по своите вериги на доставки;</w:t>
      </w:r>
    </w:p>
    <w:p w:rsidR="00AD7810" w:rsidRPr="00506EF2" w:rsidP="00AD7810" w14:paraId="388FBAFD" w14:textId="77777777">
      <w:pPr>
        <w:pStyle w:val="NormalHanging"/>
      </w:pPr>
      <w:r w:rsidRPr="00506EF2">
        <w:t>Ш.</w:t>
      </w:r>
      <w:r w:rsidRPr="00506EF2">
        <w:tab/>
        <w:t>като има предвид, че някои от международно признатите грузински територии остават под окупация; като има предвид, че Русия призна Абхазия и Цхинвали/Южна Осетия за независими държави през 2008 г. и че все още разполага хиляди войници в района в нарушение на международното право; като има предвид, че Русия продължава политиката си на „определяне на границите“, и по-точно издигането на физически бариери по протежението на административните граници на регионите Абхазия и Цхинвали/Южна Осетия, в нарушение на суверенитета и териториалната цялост на Грузия; като има предвид, че освен това Европейският съд по правата на човека установи, че това е довело до нарушения на правата на човека, например ограничаване на свободата на движение, ограничен достъп до собственост или земи и разделяне на членовете на семейства;</w:t>
      </w:r>
    </w:p>
    <w:p w:rsidR="00AD7810" w:rsidRPr="00506EF2" w:rsidP="00AD7810" w14:paraId="7D054EED" w14:textId="77777777">
      <w:pPr>
        <w:pStyle w:val="NormalHanging"/>
      </w:pPr>
      <w:r w:rsidRPr="00506EF2">
        <w:t>Щ.</w:t>
      </w:r>
      <w:r w:rsidRPr="00506EF2">
        <w:tab/>
        <w:t>като има предвид, че Русия упражнява все по-голямо влияние върху Грузия в резултат на политически, икономически и информационни кампании; като има предвид, че ЕС не може да остава пасивен и само да регистрира влошаването на положението в страната; като има предвид, че ЕС трябва да има към Грузия проактивен и стратегически подход, за да намали уязвимостите на страната на външна принуда и да гарантира регионалната свързаност;</w:t>
      </w:r>
    </w:p>
    <w:p w:rsidR="00AD7810" w:rsidRPr="00506EF2" w:rsidP="00AD7810" w14:paraId="4FB1E431" w14:textId="77777777">
      <w:pPr>
        <w:pStyle w:val="NormalHanging"/>
      </w:pPr>
      <w:r w:rsidRPr="00506EF2">
        <w:t>АА.</w:t>
      </w:r>
      <w:r w:rsidRPr="00506EF2">
        <w:tab/>
        <w:t xml:space="preserve">като има предвид, че от 2022 г. насам Грузия значително увеличи вноса си на стоки с двойна употреба от западни държави и Китай; като има предвид, че наличните статистически данни сочат, че Грузия служи като транзитна държава, която улеснява прехвърлянето на санкционирани стоки към Руската федерация, където тези стоки може да се използват за производството на военно оборудване и оръжия; като има предвид, че в множество случаи подобни нередности могат да бъдат приписани на умишлени стратегии за заобикаляне на международните санкции, наложени на Русия; като има предвид, че има сериозни опасения за ролята на неформалните управленски структури и лица, свързани с Бидзина Иванишвили, за създаването на среда, благоприятстваща заобикалянето на санкции; като има предвид, че близо 40 000 дружества – собственост на руски </w:t>
      </w:r>
      <w:r w:rsidRPr="00506EF2">
        <w:t>физически или юридически лица, понастоящем осъществяват дейност в Грузия, като 30 000 от тях са регистрирани след началото на агресивната война на Русия срещу Украйна; като има предвид, че дружества, търгуващи с Русия, включително със санкционирани стоки, често се учредяват чрез офшорни структури, което влошава прозрачността и затруднява установяването на действителната собственост, включително по отношение на бизнес мрежи, свързани с Бидзина Иванишвили; като има предвид, че продължават съобщенията за санкционирани стоки, включително превозни средства и технологии, които навлизат на руския пазар през Грузия;</w:t>
      </w:r>
    </w:p>
    <w:p w:rsidR="00AD7810" w:rsidRPr="00506EF2" w:rsidP="00AD7810" w14:paraId="768BFCA5" w14:textId="77777777">
      <w:pPr>
        <w:pStyle w:val="NormalHanging"/>
      </w:pPr>
      <w:r w:rsidRPr="00506EF2">
        <w:t>АБ.</w:t>
      </w:r>
      <w:r w:rsidRPr="00506EF2">
        <w:tab/>
        <w:t>като има предвид, че привлекателността на ЕС като модел на демократично управление, икономически растеж и основано на правила сътрудничество продължава да бъде главен източник на вдъхновение за грузинското гражданско общество; като има предвид, че проучванията на общественото мнение системно показват солидна подкрепа сред грузинското население за интеграцията с ЕС, като приблизително 75 % от гражданите изразяват подкрепа за европейския път на страната;</w:t>
      </w:r>
    </w:p>
    <w:p w:rsidR="00AD7810" w:rsidRPr="00506EF2" w:rsidP="00AD7810" w14:paraId="736845C4" w14:textId="77777777">
      <w:pPr>
        <w:pStyle w:val="NormalHanging"/>
      </w:pPr>
      <w:r w:rsidRPr="00506EF2">
        <w:t>АВ.</w:t>
      </w:r>
      <w:r w:rsidRPr="00506EF2">
        <w:tab/>
        <w:t>като има предвид, че пълномащабната агресивна война, която Русия води срещу Украйна от 2022 г. насам, промени обстановката в Европа от гледна точка на сигурността и увеличи стратегическото значение на разширяването на ЕС; като има предвид, че от началото на войната много грузинци оказват подкрепа на Украйна;</w:t>
      </w:r>
    </w:p>
    <w:p w:rsidR="00AD7810" w:rsidRPr="00506EF2" w:rsidP="00AD7810" w14:paraId="02496BEA" w14:textId="77777777">
      <w:pPr>
        <w:pStyle w:val="NormalHanging"/>
      </w:pPr>
      <w:r w:rsidRPr="00506EF2">
        <w:t>АГ.</w:t>
      </w:r>
      <w:r w:rsidRPr="00506EF2">
        <w:tab/>
        <w:t xml:space="preserve">като има предвид, че ЕС е най-големият търговски партньор на Грузия и че на него се падат близо 22,1 % от общия търговски обем на страната; като има предвид, че този търговски обмен се урежда от Споразумението за асоцииране между ЕС и Грузия и свързаната с него задълбочена и </w:t>
      </w:r>
      <w:r w:rsidRPr="00506EF2">
        <w:t>всeобхватна</w:t>
      </w:r>
      <w:r w:rsidRPr="00506EF2">
        <w:t xml:space="preserve"> зона за свободна търговия, влезли в сила в своята цялост през 2016 г., които осигурява на грузинските предприятия преференциален достъп до пазара на ЕС с над 450 милиона потребители;</w:t>
      </w:r>
    </w:p>
    <w:p w:rsidR="00AD7810" w:rsidRPr="00506EF2" w:rsidP="00AD7810" w14:paraId="55BD9F49" w14:textId="77777777">
      <w:pPr>
        <w:pStyle w:val="NormalHanging"/>
      </w:pPr>
      <w:r w:rsidRPr="00506EF2">
        <w:t>АД.</w:t>
      </w:r>
      <w:r w:rsidRPr="00506EF2">
        <w:tab/>
        <w:t>като има предвид, че на 6 март 2026 г. Комисията обяви, че прекратява безвизовите пътувания за притежателите на грузински дипломатически, официални и служебни паспорти поне до март 2027 г. поради опасения, свързани с влошаването на състоянието на демокрацията и върховенството на закона; като има предвид, че обикновените грузински граждани продължават да се възползват безвизово от краткотрайни посещения в Шенгенското пространство съгласно решението от 2017 г.;</w:t>
      </w:r>
    </w:p>
    <w:p w:rsidR="00AD7810" w:rsidRPr="00506EF2" w:rsidP="00AD7810" w14:paraId="6694A4F6" w14:textId="77777777">
      <w:pPr>
        <w:pStyle w:val="Normal12a"/>
      </w:pPr>
      <w:r w:rsidRPr="00506EF2">
        <w:rPr>
          <w:b/>
          <w:i/>
        </w:rPr>
        <w:t>Спиране на интеграцията на Грузия в ЕС</w:t>
      </w:r>
    </w:p>
    <w:p w:rsidR="00AD7810" w:rsidRPr="00506EF2" w:rsidP="00AD7810" w14:paraId="6F89625B" w14:textId="77777777">
      <w:pPr>
        <w:pStyle w:val="NormalHanging12a"/>
      </w:pPr>
      <w:r w:rsidRPr="00506EF2">
        <w:t>1.</w:t>
      </w:r>
      <w:r w:rsidRPr="00506EF2">
        <w:tab/>
        <w:t>изразява пълната си солидарност с грузинския народ, който продължава борбата си за европейска и демократична Грузия в условията на отстъпление от демокрацията, нарастващи репресии, незаконни арести, нестихваща враждебна реторика, дезинформация и заплахи; подчертава, че близо 75 % от населението на Грузия продължава да подкрепя по-нататъшната интеграция с ЕС; отново подчертава, че вратата на ЕС остава широко отворена за грузинския народ, за да може той да се завърне на европейския си път;</w:t>
      </w:r>
    </w:p>
    <w:p w:rsidR="00AD7810" w:rsidRPr="00506EF2" w:rsidP="00AD7810" w14:paraId="048F39F8" w14:textId="77777777">
      <w:pPr>
        <w:pStyle w:val="NormalHanging12a"/>
      </w:pPr>
      <w:r w:rsidRPr="00506EF2">
        <w:t>2.</w:t>
      </w:r>
      <w:r w:rsidRPr="00506EF2">
        <w:tab/>
        <w:t xml:space="preserve">отбелязва с дълбоко разочарование, че „Грузинска мечта“ не само спря, но и ефективно обърна хода на европейската интеграция на Грузия; изразява </w:t>
      </w:r>
      <w:r w:rsidRPr="00506EF2">
        <w:t>съжаление относно факта, че се наблюдава отстъпление в изпълнението на всичките девет приоритета, които бяха условията за предоставяне на Грузия на статут на страна кандидатка; подчертава несъстоятелността на твърденията на „Грузинска мечта“, че интеграцията в ЕС продължава да бъде основен приоритет, като същевременно нейните най-висши длъжностни лица и свързани с правителството медии провеждат организирана системна кампания за разпространение на манипулативни послания в руски стил, дезинформация и конспиративни теории срещу ЕС и неговите длъжностни лица и дипломати;</w:t>
      </w:r>
    </w:p>
    <w:p w:rsidR="00AD7810" w:rsidRPr="00506EF2" w:rsidP="00AD7810" w14:paraId="05AF8AC8" w14:textId="77777777">
      <w:pPr>
        <w:pStyle w:val="NormalHanging12a"/>
      </w:pPr>
      <w:r w:rsidRPr="00506EF2">
        <w:t>3.</w:t>
      </w:r>
      <w:r w:rsidRPr="00506EF2">
        <w:tab/>
        <w:t>изразява съжаление относно факта, че след манипулираните парламентарни избори през октомври 2024 г. „Грузинска мечта“ допълнително засили курса си към пълен авторитаризъм; изразява разочарование от бързото разрушаване на демократичните основи на Грузия чрез целенасочени атаки срещу нейните демократични институции, основни свободи и демократичен плурализъм, което е в разрез с демократичното развитие, необходимо за членството в ЕС; споделя оценката на Комисията, че ключови институции като Централната избирателна комисия, Комисията по съобщенията, Висшия съдебен съвет, Конституционния съд, прокуратурата, Националната банка, правоприлагащите органи и агенциите за сигурност не разполагат с безпристрастност, независимост и надзор; подчертава, че Грузия не може да постигне напредък в процеса на присъединяване към ЕС, докато не се върне към пътя на демократичните реформи и, наред с другото, докато не гарантира свободни, честни и конкурентни избори, не защити независимостта на официалните институции, не се справи ефективно с олигархичния контрол и не подобри защитата на правата на човека и свободата на медиите;</w:t>
      </w:r>
    </w:p>
    <w:p w:rsidR="00AD7810" w:rsidRPr="00506EF2" w:rsidP="00AD7810" w14:paraId="3A6BCA29" w14:textId="77777777">
      <w:pPr>
        <w:pStyle w:val="NormalHanging12a"/>
      </w:pPr>
      <w:r w:rsidRPr="00506EF2">
        <w:t>4.</w:t>
      </w:r>
      <w:r w:rsidRPr="00506EF2">
        <w:tab/>
        <w:t>като има предвид, че целенасочените лични санкции, наложени от ЕС и неговите държави членки срещу Бидзина Иванишвили, ключови лидери на „Грузинска мечта“, съдии, прокурори и други длъжностни лица, отговорни за продължаващото отстъпление от демокрацията в Грузия, изборните измами, сериозните нарушения на правата на човека и преследването на политически опоненти и активисти, както и срещу съучастници – собственици на дружества и медии, свързани с „Грузинска мечта“, биха били важен инструмент срещу безнаказаността; приветства факта, че при липсата на единодушие на равнището на ЕС все по-голям брой държави членки въведоха индивидуални забрани за издаване на визи и други санкции срещу грузински длъжностни лица; настоятелно призовава другите държави членки да последват този пример;</w:t>
      </w:r>
    </w:p>
    <w:p w:rsidR="00AD7810" w:rsidRPr="00506EF2" w:rsidP="00AD7810" w14:paraId="543766E0" w14:textId="77777777">
      <w:pPr>
        <w:pStyle w:val="NormalHanging12a"/>
      </w:pPr>
      <w:r w:rsidRPr="00506EF2">
        <w:t>5.</w:t>
      </w:r>
      <w:r w:rsidRPr="00506EF2">
        <w:tab/>
        <w:t>отново призовава настоятелно ЕС и неговите държави членки да въведат незабавни и целенасочени лични санкции срещу Бидзина Иванишвили, членовете на неговото семейство и неговите дружества и призовава ЕС да замрази неговите активи и да си сътрудничи по този въпрос с други юрисдикции, по-специално Обединеното кралство и Съединените щати;</w:t>
      </w:r>
    </w:p>
    <w:p w:rsidR="00AD7810" w:rsidRPr="00506EF2" w:rsidP="00AD7810" w14:paraId="6C72935D" w14:textId="77777777">
      <w:pPr>
        <w:pStyle w:val="NormalHanging12a"/>
      </w:pPr>
      <w:r w:rsidRPr="00506EF2">
        <w:t>6.</w:t>
      </w:r>
      <w:r w:rsidRPr="00506EF2">
        <w:tab/>
        <w:t xml:space="preserve">осъжда системната безнаказаност на длъжностните лица и институциите, отговорни за политическите репресии, тормоза над журналисти и защитници на правата на човека и преследването на опозиционни фигури; подчертава, че отговорът на ЕС до момента е недостатъчен и закъснял с оглед на ускоряването на авторитарната консолидация в Грузия; настоятелно призовава Съвета и държавите членки спешно да приемат координирани ограничителни мерки в целия ЕС срещу всички отговорни политици, длъжностни лица и способстващи лица, в т.ч. разширяване на списъците със санкции, всеобхватно замразяване на активи и </w:t>
      </w:r>
      <w:r w:rsidRPr="00506EF2">
        <w:t>забрана за издаване на визи, насочени срещу лицата, отговорни за завземането на държавата, репресиите и спонсорираната от режима пропаганда; настоятелно призовава новото унгарско правителство да отмени блокадата, наложена от предишното правителство върху целенасочените санкции в целия ЕС срещу Иванишвили и по-широкото ръководство на „Грузинска мечта“; призовава Съвета, когато единодушието не е възможно, да проучи колективни механизми, за да се гарантира ефективен и единен отговор на ЕС;</w:t>
      </w:r>
    </w:p>
    <w:p w:rsidR="00AD7810" w:rsidRPr="00506EF2" w:rsidP="00AD7810" w14:paraId="028C3786" w14:textId="77777777">
      <w:pPr>
        <w:pStyle w:val="Normal12a"/>
      </w:pPr>
      <w:r w:rsidRPr="00506EF2">
        <w:rPr>
          <w:b/>
          <w:i/>
        </w:rPr>
        <w:t>Непрекъснато отстъпление от демокрацията и от върховенството на закона и автократична консолидация на властта</w:t>
      </w:r>
    </w:p>
    <w:p w:rsidR="00AD7810" w:rsidRPr="00506EF2" w:rsidP="00AD7810" w14:paraId="583AAFF9" w14:textId="77777777">
      <w:pPr>
        <w:pStyle w:val="NormalHanging12a"/>
      </w:pPr>
      <w:r w:rsidRPr="00506EF2">
        <w:t>7.</w:t>
      </w:r>
      <w:r w:rsidRPr="00506EF2">
        <w:tab/>
        <w:t xml:space="preserve">изразява съжаление, че „Грузинска мечта“ не предприема никакви стъпки за обръщане на своя антидемократичен и антиевропейски курс; счита, че ангажиментът с грузинските органи следва да бъде строго обвързан с предприемането от тяхна страна на осезаеми и проверими стъпки, които да обърнат настоящия им курс на отстъпление от демокрацията и на репресии, ограничения и ожесточена дезинформация от руски тип, насочена срещу ЕС; поради това поддържа предишните си позиции за непризнаване на легитимността на парламента и на назначения от него президент; изразява съжаление във връзка с факта, че парламентът на Грузия фактически е еднопартиен парламент, който одобрява законодателни инициативи, насочени към разрушаване на основите на плуралистичната парламентарна демокрация; отбелязва със загриженост, че фактическият парламент на Грузия обяви временното си оттегляне от Парламентарната асамблея </w:t>
      </w:r>
      <w:r w:rsidRPr="00506EF2">
        <w:t>Евронест</w:t>
      </w:r>
      <w:r w:rsidRPr="00506EF2">
        <w:t>;</w:t>
      </w:r>
    </w:p>
    <w:p w:rsidR="00AD7810" w:rsidRPr="00506EF2" w:rsidP="00AD7810" w14:paraId="5E7DC850" w14:textId="77777777">
      <w:pPr>
        <w:pStyle w:val="NormalHanging12a"/>
      </w:pPr>
      <w:r w:rsidRPr="00506EF2">
        <w:t>8.</w:t>
      </w:r>
      <w:r w:rsidRPr="00506EF2">
        <w:tab/>
        <w:t>отново призовава представителите и членовете на парламента на ЕС и на държавите членки да се въздържат от срещи с представители на режима, като се започне с настоящия фактически президент, докато грузинските органи продължават своето отстъпление от демокрацията и репресиите; призовава държавите членки да консолидират единен и координиран подход на ограничаване на политическите контакти с органите на „Грузинска мечта“ до въпроси от изключителна необходимост, като същевременно поддържат и укрепват ангажираността с грузинското гражданско общество, независимите медии и академичните институции; осъжда непрестанната агресивна реторика срещу дипломати, политици и длъжностни лица от ЕС и държавите членки; подчертава, че е важно да продължи насърчаването на европейските норми, демократичните ценности и европейския път сред грузинското население и политическите сили, ангажирани с демократичните принципи;</w:t>
      </w:r>
    </w:p>
    <w:p w:rsidR="00AD7810" w:rsidRPr="00506EF2" w:rsidP="00AD7810" w14:paraId="1A7A8247" w14:textId="77777777">
      <w:pPr>
        <w:pStyle w:val="NormalHanging12a"/>
      </w:pPr>
      <w:r w:rsidRPr="00506EF2">
        <w:t>9.</w:t>
      </w:r>
      <w:r w:rsidRPr="00506EF2">
        <w:tab/>
        <w:t>отбелязва със загриженост агресивната реторика срещу Съединените щати, Обединеното кралство и други съюзници;</w:t>
      </w:r>
    </w:p>
    <w:p w:rsidR="00AD7810" w:rsidRPr="00506EF2" w:rsidP="00AD7810" w14:paraId="68E48FC5" w14:textId="77777777">
      <w:pPr>
        <w:pStyle w:val="NormalHanging12a"/>
      </w:pPr>
      <w:r w:rsidRPr="00506EF2">
        <w:t>10.</w:t>
      </w:r>
      <w:r w:rsidRPr="00506EF2">
        <w:tab/>
        <w:t>призовава грузинските органи да възстановят гаранциите за основана на заслуги държавна служба, да възстановят ефективната правна защита срещу политически мотивирани освобождавания от длъжност и да гарантират ефективното прилагане на правото на достъп до публична информация;</w:t>
      </w:r>
    </w:p>
    <w:p w:rsidR="00AD7810" w:rsidRPr="00506EF2" w:rsidP="00AD7810" w14:paraId="236C5854" w14:textId="77777777">
      <w:pPr>
        <w:pStyle w:val="NormalHanging12a"/>
      </w:pPr>
      <w:r w:rsidRPr="00506EF2">
        <w:t>11.</w:t>
      </w:r>
      <w:r w:rsidRPr="00506EF2">
        <w:tab/>
        <w:t xml:space="preserve">посочва, че общинските избори от 4 октомври 2025 г. бяха бойкотирани от мнозинството от опозиционните партии, което отразява дълбокото недоверие на обществото в независимостта на изборния процес; изразява съжаление, че измененията на Избирателния закон на Грузия, направени през декември 2024 г. и март и април 2025 г., допълнително засилиха господстващото положение на </w:t>
      </w:r>
      <w:r w:rsidRPr="00506EF2">
        <w:t xml:space="preserve">управляващата партия и въведоха нови ограничения за регистрация на местни наблюдатели, медии и изборни субекти; отново заявява, че грузинските органи пренебрегнаха призивите на Венецианската комисия да отменят промените, направени през 2024 г.; подчертава, че прозрачността на изборния процес и надеждността на резултатите от него бяха сериозно засегнати от липсата на наблюдение от страна на ОССЕ/БДИПЧ, поради закъснялата покана, и от страна на местни организации за наблюдение, поради наложените им ограничения; отново призовава за </w:t>
      </w:r>
      <w:r w:rsidRPr="00506EF2">
        <w:t>подобрeна</w:t>
      </w:r>
      <w:r w:rsidRPr="00506EF2">
        <w:t xml:space="preserve"> изборна среда, създадена от независима и безпристрастна изборна администрация, и за бъдещи избори под внимателното наблюдение от страна на международни и национални неправителствени организации (НПО); изразява дълбоката си загриженост относно изменението на Изборния кодекс от декември 2025 г., с което се забранява на грузинските граждани да гласуват от чужбина; подчертава, че участието в изборите е основно конституционно право на всеки гражданин и трябва да бъде възможно независимо от мястото на пребиваване;</w:t>
      </w:r>
    </w:p>
    <w:p w:rsidR="00AD7810" w:rsidRPr="00506EF2" w:rsidP="00AD7810" w14:paraId="0E85473D" w14:textId="77777777">
      <w:pPr>
        <w:pStyle w:val="NormalHanging12a"/>
      </w:pPr>
      <w:r w:rsidRPr="00506EF2">
        <w:t>12.</w:t>
      </w:r>
      <w:r w:rsidRPr="00506EF2">
        <w:tab/>
        <w:t>осъжда приемането на безпрецедентно, все по-рестриктивно законодателство, което цели да направи практически невъзможно достигането на международна подкрепа, в т.ч. финансова, до гражданското общество и до медиите, така че те да останат без каквото и да било независимо финансиране; подчертава последните изменения на Закона за безвъзмездните средства, влезли в сила на 5 март 2026 г., които значително разширяват обхвата на това, което се счита за „безвъзмездни средства“, и превръщат получаването на безвъзмездни средства или финансиране от чужбина без предварително разрешение от правителството в престъпление, наказуемо с лишаване от свобода до шест години; отбелязва, че това е пряко нарушение на Споразумението за асоцииране между ЕС и Грузия; призовава за защита на политическите фондации, международните НПО и агенциите за развитие; припомня на грузинските органи, че тормозът над организации на държавите членки на ЕС ще доведе до преки последици;</w:t>
      </w:r>
    </w:p>
    <w:p w:rsidR="00AD7810" w:rsidRPr="00506EF2" w:rsidP="00AD7810" w14:paraId="2A0AB5E5" w14:textId="77777777">
      <w:pPr>
        <w:pStyle w:val="NormalHanging12a"/>
      </w:pPr>
      <w:r w:rsidRPr="00506EF2">
        <w:t>13.</w:t>
      </w:r>
      <w:r w:rsidRPr="00506EF2">
        <w:tab/>
        <w:t>отбелязва, че тези изменения идват след други подобни изменения на Закона за безвъзмездните средства, приети през април 2025 г., с които възможностите за международна финансова подкрепа вече бяха значително ограничени и се въведе изискване международните донори да искат предварително одобрение от държавните органи за отпускане на безвъзмездни средства, както и ограничителен мониторинг и наказателна административна отговорност за получателите, насочени към възпиране на организациите да приемат международна помощ, включително от ЕС; подчертава, че широкото определение за „безвъзмездни средства“ може да обхване широк кръг от трансакции, подлежащи на предварително одобрение, и може да превърне всеки гражданин в потенциална цел на преследване от страна на правителството; отбелязва със загриженост осемгодишната забрана за членуване в партия за всяко лице, което някога е било наемано от организация, ползвала се от чуждестранно финансиране, като по този начин се забранява на голям брой социално активни лица да участват в партийна политика; настоятелно призовава ЕС и неговите държави членки да предприемат незабавни действия за защита и поддържане на медиите и гражданското общество в Грузия, които са останали независими;</w:t>
      </w:r>
    </w:p>
    <w:p w:rsidR="00AD7810" w:rsidRPr="00506EF2" w:rsidP="00AD7810" w14:paraId="77F0D7A6" w14:textId="77777777">
      <w:pPr>
        <w:pStyle w:val="NormalHanging12a"/>
      </w:pPr>
      <w:r w:rsidRPr="00506EF2">
        <w:t>14.</w:t>
      </w:r>
      <w:r w:rsidRPr="00506EF2">
        <w:tab/>
        <w:t xml:space="preserve">изразява съжаление във връзка с продължаващите опити на управляващата партия „Грузинска мечта“ да преследва политически опоненти, включително чрез незаконен арест и задържане, заплахи и физически нападения; осъжда лишаването от свобода на политически опоненти заради отказа им да се явят пред Временната </w:t>
      </w:r>
      <w:r w:rsidRPr="00506EF2">
        <w:t>следствена комисия на фактическия парламент на Грузия, което беше използвано от „Грузинска мечта“ като политически показен процес, откриващ пътя към бъдещи преследвания на политически опоненти и забрани на опозиционни партии; подчертава, че наличието на политически затворници е несъвместимо със задълженията на Грузия съгласно Споразумението за асоцииране между ЕС и Грузия; призовава за незабавното и безусловно освобождаване на всички лица, лишени от свобода по политически причини, в т.ч. политици от опозицията и бивши длъжностни лица; отбелязва, че двама политици от опозицията бяха помилвани от фактическия президент преди общинските избори, за да се гарантира провеждане на привидно конкурентни избори; настоятелно повтаря искането си за незабавното освобождаване на бившия президент Михаил Саакашвили по хуманитарни причини, за да може да потърси необходимото му лечение в чужбина; освен това призовава органите на „Грузинска мечта“ да гарантират, че на членовете на Европейския парламент се предоставя безпрепятствен достъп до Михаил Саакашвили и до други политически затворници;</w:t>
      </w:r>
    </w:p>
    <w:p w:rsidR="00AD7810" w:rsidRPr="00506EF2" w:rsidP="00AD7810" w14:paraId="6D8DE3C1" w14:textId="77777777">
      <w:pPr>
        <w:pStyle w:val="NormalHanging12a"/>
      </w:pPr>
      <w:r w:rsidRPr="00506EF2">
        <w:t>15.</w:t>
      </w:r>
      <w:r w:rsidRPr="00506EF2">
        <w:tab/>
        <w:t xml:space="preserve">отбелязва, че въпреки признанието за вина и наличието на достоверни публични факти, сочещи за корупция, лишаването от свобода на бившия министър-председател Иракли </w:t>
      </w:r>
      <w:r w:rsidRPr="00506EF2">
        <w:t>Гарибашвили</w:t>
      </w:r>
      <w:r w:rsidRPr="00506EF2">
        <w:t xml:space="preserve"> поражда сериозни опасения относно това дали производството отговаря на стандартите за справедлив съдебен процес; изтъква, че делото отразява по-широката загриженост относно политически повлияното правосъдие, неформалните властови структури и вътрешните разделения в рамките на управляващата партия „Грузинска мечта“, включително ролята на Бидзина Иванишвили;</w:t>
      </w:r>
    </w:p>
    <w:p w:rsidR="00AD7810" w:rsidRPr="00506EF2" w:rsidP="00AD7810" w14:paraId="7767450B" w14:textId="77777777">
      <w:pPr>
        <w:pStyle w:val="NormalHanging12a"/>
      </w:pPr>
      <w:r w:rsidRPr="00506EF2">
        <w:t>16.</w:t>
      </w:r>
      <w:r w:rsidRPr="00506EF2">
        <w:tab/>
        <w:t>призовава грузинските органи да прилагат независими механизми за отчетност, да гарантират съдебна безпристрастност и да търсят отговорност от извършителите на политически мотивирани злоупотреби в съответствие с международните стандарти в областта на правата на човека;</w:t>
      </w:r>
    </w:p>
    <w:p w:rsidR="00AD7810" w:rsidRPr="00506EF2" w:rsidP="00AD7810" w14:paraId="4FD0A06B" w14:textId="77777777">
      <w:pPr>
        <w:pStyle w:val="NormalHanging12a"/>
      </w:pPr>
      <w:r w:rsidRPr="00506EF2">
        <w:t>17.</w:t>
      </w:r>
      <w:r w:rsidRPr="00506EF2">
        <w:tab/>
        <w:t xml:space="preserve">призовава за всеобхватна реформа на Висшия съдебен съвет в съответствие с препоръките на Венецианската комисия, като например въвеждането на фиксирани </w:t>
      </w:r>
      <w:r w:rsidRPr="00506EF2">
        <w:t>неподновяеми</w:t>
      </w:r>
      <w:r w:rsidRPr="00506EF2">
        <w:t xml:space="preserve"> мандати, прозрачни процедури за назначаване и извънредни проверки за почтеност за висшите съдебни служители със съдържателното участие на международни експерти, за да се укрепи независимостта на съдебната власт и общественото доверие в съдебната система; отбелязва с разочарование разпускането на Бюрото за борба с корупцията, което беше създадено през 2022 г. в отговор на едно от ключовите изисквания на ЕС за предоставяне на Грузия на статут на държава кандидатка; призовава грузинските органи да изменят процедурата за назначаване на главния прокурор, като изискват квалифицирано парламентарно мнозинство, и да приведат Закона за прокуратурата в съответствие с европейските стандарти;</w:t>
      </w:r>
    </w:p>
    <w:p w:rsidR="00AD7810" w:rsidRPr="00506EF2" w:rsidP="00AD7810" w14:paraId="11A71898" w14:textId="77777777">
      <w:pPr>
        <w:pStyle w:val="NormalHanging12a"/>
      </w:pPr>
      <w:r w:rsidRPr="00506EF2">
        <w:t>18.</w:t>
      </w:r>
      <w:r w:rsidRPr="00506EF2">
        <w:tab/>
        <w:t xml:space="preserve">настоятелно призовава обществения защитник на Грузия да засили изпълнението на своя мандат и да използва всички налични механизми за защита на правата на човека, като същевременно участва в конструктивен диалог и сътрудничество със защитниците на правата на човека и гражданското общество в Грузия; подчертава необходимостта да се предотврати всяко избирателно прилагане на неговия мандат, както се посочва в доклада на Комисията относно Грузия от 2025 г.; подчертава различните правомощия на обществения защитник да изисква </w:t>
      </w:r>
      <w:r w:rsidRPr="00506EF2">
        <w:t>законодателни становища от ОССЕ/БДИПЧ относно авторитарното или недемократичното законодателство;</w:t>
      </w:r>
    </w:p>
    <w:p w:rsidR="00AD7810" w:rsidRPr="00506EF2" w:rsidP="00AD7810" w14:paraId="52672C06" w14:textId="77777777">
      <w:pPr>
        <w:pStyle w:val="NormalHanging12a"/>
      </w:pPr>
      <w:r w:rsidRPr="00506EF2">
        <w:t>19.</w:t>
      </w:r>
      <w:r w:rsidRPr="00506EF2">
        <w:tab/>
        <w:t>изразява съжаление относно липсата на напредък по отношение на премахването на олигархичните структури и призовава грузинските органи да възприемат системен подход съгласно съответните препоръки на Венецианската комисия, включително чрез засилени изисквания за прозрачност, ефективни правила относно конфликтите на интереси и гаранции срещу неправомерно влияние върху вземането на политически и икономически решения;</w:t>
      </w:r>
    </w:p>
    <w:p w:rsidR="00AD7810" w:rsidRPr="00506EF2" w:rsidP="00AD7810" w14:paraId="5B10D3D8" w14:textId="77777777">
      <w:pPr>
        <w:pStyle w:val="NormalHanging12a"/>
      </w:pPr>
      <w:r w:rsidRPr="00506EF2">
        <w:t>20.</w:t>
      </w:r>
      <w:r w:rsidRPr="00506EF2">
        <w:tab/>
        <w:t xml:space="preserve">решително осъжда опитите на грузинските органи да забранят опозиционните партии; призовава властите незабавно да прекратят тези опити и да оттеглят конституционното дело, заведено от 88 членове на фактическия парламент на Грузия, с искане дейностите на три основни опозиционни партии – Обединено национално движение, Коалиция за промяна и Коалиция „Силна Грузия – </w:t>
      </w:r>
      <w:r w:rsidRPr="00506EF2">
        <w:t>Лело</w:t>
      </w:r>
      <w:r w:rsidRPr="00506EF2">
        <w:t>“, да бъдат обявени за противоконституционни и регистрацията им да бъде отменена; изтъква факта, че тези действия представляват опасна заплаха за основни демократични принципи и за политическия плурализъм; подчертава, че за една здрава демокрация се изисква справедлива и свободна конкуренция между различни политически партии;</w:t>
      </w:r>
    </w:p>
    <w:p w:rsidR="00AD7810" w:rsidRPr="00506EF2" w:rsidP="00AD7810" w14:paraId="2F9BF45D" w14:textId="77777777">
      <w:pPr>
        <w:pStyle w:val="NormalHanging12a"/>
      </w:pPr>
      <w:r w:rsidRPr="00506EF2">
        <w:t>21.</w:t>
      </w:r>
      <w:r w:rsidRPr="00506EF2">
        <w:tab/>
        <w:t>изразява дълбоко неодобрение във връзка с неотдавнашното въвеждане на нов член в Наказателния кодекс, който забранява „публични и систематични“ критики към властите или поставя под въпрос тяхната легитимност, както и “всякакви други публични и систематични действия от страна на същото лице“, който остава отворен за тълкуване, но все пак предвижда лишаване от свобода до три години; подчертава, че това позволява фактическо криминализиране на свободата на изразяване на мнение, и призовава правителството да отмени този закон;</w:t>
      </w:r>
    </w:p>
    <w:p w:rsidR="00AD7810" w:rsidRPr="00506EF2" w:rsidP="00AD7810" w14:paraId="0CFA6709" w14:textId="77777777">
      <w:pPr>
        <w:pStyle w:val="Normal12a"/>
      </w:pPr>
      <w:r w:rsidRPr="00506EF2">
        <w:rPr>
          <w:b/>
          <w:i/>
        </w:rPr>
        <w:t>Репресии срещу гражданските свободи и основните права</w:t>
      </w:r>
    </w:p>
    <w:p w:rsidR="00AD7810" w:rsidRPr="00506EF2" w:rsidP="00AD7810" w14:paraId="7D4F702D" w14:textId="77777777">
      <w:pPr>
        <w:pStyle w:val="NormalHanging12a"/>
      </w:pPr>
      <w:r w:rsidRPr="00506EF2">
        <w:t>22.</w:t>
      </w:r>
      <w:r w:rsidRPr="00506EF2">
        <w:tab/>
        <w:t>изразява изключителна загриженост, че „Грузинска мечта“ вече е приела редица законодателни актове, които имат за цел да задушат гражданското общество и независимите медии и да ограничат плурализма, като Закона за регистрация на чуждестранни агенти, ограничителните изменения на Закона за радио- и телевизионното разпръскване, Закона за публичната служба, Закона за събранията и манифестациите и по-строгите разпоредби в Наказателния кодекс и Закона за административните нарушения; по-конкретно осъжда законодателните мерки, чрез които се увеличават глобите по наказателните закони, което води до все по-нарастващо лишаване от свобода на протестиращи, които не могат да платят тези глоби; отново призовава за незабавно освобождаване на всички политически затворници и други незаконно задържани лица; предупреждава, че усилията на грузинските органи да превърнат жизненото гражданско общество на Грузия в строго контролирана среда на свързани с правителството организации представляват допълнителна стъпка към превръщането му в авторитарен режим; припомня, че повечето от тези закони възпроизвеждат ранния етап на развитие в управлението на тоталитарния режим на Путин в Русия; призовава грузинските органи да отменят тези законодателни актове като осезаема стъпка назад по пътя към ЕС;</w:t>
      </w:r>
    </w:p>
    <w:p w:rsidR="00AD7810" w:rsidRPr="00506EF2" w:rsidP="00AD7810" w14:paraId="6B8F591E" w14:textId="77777777">
      <w:pPr>
        <w:pStyle w:val="NormalHanging12a"/>
      </w:pPr>
      <w:r w:rsidRPr="00506EF2">
        <w:t>23.</w:t>
      </w:r>
      <w:r w:rsidRPr="00506EF2">
        <w:tab/>
        <w:t xml:space="preserve">осъжда унизителното и нечовешко отношение, за което се твърди, че е било упражнено спрямо </w:t>
      </w:r>
      <w:r w:rsidRPr="00506EF2">
        <w:t>Елене</w:t>
      </w:r>
      <w:r w:rsidRPr="00506EF2">
        <w:t xml:space="preserve"> </w:t>
      </w:r>
      <w:r w:rsidRPr="00506EF2">
        <w:t>Хощария</w:t>
      </w:r>
      <w:r w:rsidRPr="00506EF2">
        <w:t xml:space="preserve"> по време на задържането ѝ; изисква нейното </w:t>
      </w:r>
      <w:r w:rsidRPr="00506EF2">
        <w:t>незабавно и безусловно освобождаване и незабавното оттегляне на политически мотивираните обвинения срещу нея;</w:t>
      </w:r>
    </w:p>
    <w:p w:rsidR="00AD7810" w:rsidRPr="00506EF2" w:rsidP="00AD7810" w14:paraId="755ACDF4" w14:textId="77777777">
      <w:pPr>
        <w:pStyle w:val="NormalHanging12a"/>
      </w:pPr>
      <w:r w:rsidRPr="00506EF2">
        <w:t>24.</w:t>
      </w:r>
      <w:r w:rsidRPr="00506EF2">
        <w:tab/>
        <w:t xml:space="preserve">изразява дълбока загриженост във връзка с продължаващата злоупотреба с административното задържане на протестиращи и активисти; отбелязва решението на Европейския съд по правата на човека по делото </w:t>
      </w:r>
      <w:r w:rsidRPr="00506EF2">
        <w:t>Меквабишвили</w:t>
      </w:r>
      <w:r w:rsidRPr="00506EF2">
        <w:t xml:space="preserve"> срещу Грузия, в което се констатира, че разчитането единствено на полицейски показания без независими доказателства подкопава гаранциите за справедлив съдебен процес и допринася за налагането на непропорционални санкции срещу мирни демонстранти;  призовава грузинските органи да реформират своите процедури за административни нарушения, за да ги приведат в съответствие с Европейската конвенция за правата на човека;</w:t>
      </w:r>
    </w:p>
    <w:p w:rsidR="00AD7810" w:rsidRPr="00506EF2" w:rsidP="00AD7810" w14:paraId="379C05CC" w14:textId="77777777">
      <w:pPr>
        <w:pStyle w:val="NormalHanging12a"/>
      </w:pPr>
      <w:r w:rsidRPr="00506EF2">
        <w:t>25.</w:t>
      </w:r>
      <w:r w:rsidRPr="00506EF2">
        <w:tab/>
        <w:t>осъжда посочените в достоверни доклади случаи на прекомерна употреба на сила, изтезания и малтретиране на протестиращи и задържани лица, включително неотдавнашните констатации на Европейския комитет против изтезанията и нечовешкото или унизително отнасяне или наказание (КПИ), в които се документират твърдения за полицейско насилие и системни недостатъци в гаранциите и отчетността; призовава грузинските органи да гарантират бързи, независими и ефективни разследвания, да преследват по съдебен ред отговорните лица и да изпълнят изцяло препоръките на КПИ;</w:t>
      </w:r>
    </w:p>
    <w:p w:rsidR="00AD7810" w:rsidRPr="00506EF2" w:rsidP="00AD7810" w14:paraId="77973C32" w14:textId="77777777">
      <w:pPr>
        <w:pStyle w:val="NormalHanging12a"/>
      </w:pPr>
      <w:r w:rsidRPr="00506EF2">
        <w:t>26.</w:t>
      </w:r>
      <w:r w:rsidRPr="00506EF2">
        <w:tab/>
        <w:t>осъжда нарастващата тенденция служители на грузинските правоприлагащи органи да използват словесно и физическо насилие срещу протестиращи, заплахи за изнасилване и друго основано на пола насилие и незаконни претърсвания с разсъбличане като част от кампания за сплашване на дисиденти, особено на жени демонстранти, и потискане на човешките права на грузинците на свобода на изразяване на мнение и на мирни събрания;</w:t>
      </w:r>
    </w:p>
    <w:p w:rsidR="00AD7810" w:rsidRPr="00506EF2" w:rsidP="00AD7810" w14:paraId="7FED493D" w14:textId="77777777">
      <w:pPr>
        <w:pStyle w:val="NormalHanging12a"/>
      </w:pPr>
      <w:r w:rsidRPr="00506EF2">
        <w:t>27.</w:t>
      </w:r>
      <w:r w:rsidRPr="00506EF2">
        <w:tab/>
        <w:t>осъжда приетото законодателство, което съдържа автоматично задържане и налагане на последващи наказателноправни санкции, включително лишаване от свобода до една година, за лица, протестиращи мирно по тротоарите и в пешеходните зони; подчертава, че тези мерки са репресивни инструменти, предназначени за потискане на несъгласието за политически цели; изразява съжаление относно честото задържане на лица заради споделяне на мнението им в социалните медии;</w:t>
      </w:r>
    </w:p>
    <w:p w:rsidR="00AD7810" w:rsidRPr="00506EF2" w:rsidP="00AD7810" w14:paraId="4D1FABC2" w14:textId="77777777">
      <w:pPr>
        <w:pStyle w:val="NormalHanging12a"/>
      </w:pPr>
      <w:r w:rsidRPr="00506EF2">
        <w:t>28.</w:t>
      </w:r>
      <w:r w:rsidRPr="00506EF2">
        <w:tab/>
        <w:t>изразява сериозна загриженост във връзка с твърденията, че по време на протестите в Грузия срещу граждани може да е бил използван забранен химичен агент; изтъква, че потвърждаването на употребата на химичен агент срещу цивилни граждани би съставлявало тежко нарушение на основни права на човека, международни хуманитарни норми и задълженията на Грузия според националното право, в т.ч. забраната за използване на химически оръжия; изразява съжаление относно неадекватното разследване, проведено от грузинските органи по този казус; призовава за незабавно, независимо и прозрачно разследване на тези твърдения; призовава за разглеждане от Организацията за забрана на химическото оръжие към ООН и настоятелно приканва държавите членки да отнесат този случай за по-нататъшно разследване;</w:t>
      </w:r>
    </w:p>
    <w:p w:rsidR="00AD7810" w:rsidRPr="00506EF2" w:rsidP="00AD7810" w14:paraId="530D2265" w14:textId="77777777">
      <w:pPr>
        <w:pStyle w:val="NormalHanging12a"/>
      </w:pPr>
      <w:r w:rsidRPr="00506EF2">
        <w:t>29.</w:t>
      </w:r>
      <w:r w:rsidRPr="00506EF2">
        <w:tab/>
        <w:t xml:space="preserve">изразява дълбока загриженост относно системното нарушаване на правата на човека в Грузия и дискриминацията срещу уязвими групи, включително ЛГБТИК+ лица; подчертава, че тези нарушения са несъвместими със </w:t>
      </w:r>
      <w:r w:rsidRPr="00506EF2">
        <w:t>задълженията на Грузия съгласно Споразумението за асоцииране между ЕС и Грузия и международните стандарти в областта на правата на човека; призовава грузинските органи да зачитат правото на свобода на изразяване на мнение, на събрания, на сдружаване и на политическо участие и да гарантират безопасността, закрилата и достъпа до ефективни средства за правна защита за всички защитници на правата на човека и активисти; настоятелно призовава ЕС и държавите членки да наблюдават тези нарушения, да предоставят подкрепа и защита на изложените на риск лица и да обвържат напредъка във връзка с помощта, сътрудничеството и присъединяването към ЕС с осезаеми подобрения в областта на защитата на правата на човека;</w:t>
      </w:r>
    </w:p>
    <w:p w:rsidR="00AD7810" w:rsidRPr="00506EF2" w:rsidP="00AD7810" w14:paraId="39ED4C44" w14:textId="77777777">
      <w:pPr>
        <w:pStyle w:val="NormalHanging12a"/>
      </w:pPr>
      <w:r w:rsidRPr="00506EF2">
        <w:t>30.</w:t>
      </w:r>
      <w:r w:rsidRPr="00506EF2">
        <w:tab/>
        <w:t>настоятелно призовава фактическия парламент на Грузия да отмени Закона за семейните ценности и защитата на малолетните и непълнолетните лица, чиито разпоредби грубо нарушават правата на човека, включително правата на равенство, недискриминация, образование, здравеопазване, свобода на изразяване на мнение, мирни събрания и сдружаване, както и неприкосновеността на личния живот, свободата и сигурността; подкрепя общността на ЛГБТИК+ лицата в Грузия и разглежда с абсолютно възмущение невярното приравняване от страна на закона между отношения по взаимно съгласие между лица от един и същи пол и кръвосмешение; припомня, че подобни закони в Русия под режима на Путин проправиха пътя за масирани репресии срещу малцинствата и в крайна сметка атмосфера на сплашване и дискриминация в Русия;</w:t>
      </w:r>
    </w:p>
    <w:p w:rsidR="00AD7810" w:rsidRPr="00506EF2" w:rsidP="00AD7810" w14:paraId="5F93A2CB" w14:textId="77777777">
      <w:pPr>
        <w:pStyle w:val="NormalHanging12a"/>
      </w:pPr>
      <w:r w:rsidRPr="00506EF2">
        <w:t>31.</w:t>
      </w:r>
      <w:r w:rsidRPr="00506EF2">
        <w:tab/>
        <w:t xml:space="preserve">изразява сериозна загриженост относно положението в грузинския регион </w:t>
      </w:r>
      <w:r w:rsidRPr="00506EF2">
        <w:t>Чиатура</w:t>
      </w:r>
      <w:r w:rsidRPr="00506EF2">
        <w:t xml:space="preserve"> вследствие на добива на манган за пазара на ЕС и призовава за прилагането на ДДГДУ, тъй като ЕС носи отговорност за благосъстоянието на местните жители и за опазването на околната среда, засегната от причинените щети;</w:t>
      </w:r>
    </w:p>
    <w:p w:rsidR="00AD7810" w:rsidRPr="00506EF2" w:rsidP="00AD7810" w14:paraId="3DD93AA2" w14:textId="77777777">
      <w:pPr>
        <w:pStyle w:val="NormalHanging12a"/>
      </w:pPr>
      <w:r w:rsidRPr="00506EF2">
        <w:t>32.</w:t>
      </w:r>
      <w:r w:rsidRPr="00506EF2">
        <w:tab/>
        <w:t>отново се противопоставя на отстъплението от трудовото законодателство и трудовите права в Грузия, като например измененията от 2024 г. на Закона за публичната служба; призовава грузинските органи да спазват стандартите на трудовото право и да се въздържат от ограничения на трудовите права; припомня, че достиженията на правото на ЕС включват привеждане в съответствие с конвенциите на Международната организация на труда (МОТ), Европейската социална харта и законодателството на ЕС относно условията на труд;</w:t>
      </w:r>
    </w:p>
    <w:p w:rsidR="00AD7810" w:rsidRPr="00506EF2" w:rsidP="00AD7810" w14:paraId="51AB407A" w14:textId="77777777">
      <w:pPr>
        <w:pStyle w:val="NormalHanging12a"/>
      </w:pPr>
      <w:r w:rsidRPr="00506EF2">
        <w:t>33.</w:t>
      </w:r>
      <w:r w:rsidRPr="00506EF2">
        <w:tab/>
        <w:t xml:space="preserve">приветства задействането на т.нар. Московски механизъм от ОССЕ по инициатива на 24 участващи държави, което даде възможност за изпращане на експертна мисия за оценка на изпълнението от страна на Грузия на ангажиментите към ОССЕ, по-специално във връзка с положението с правата на човека и основните свободи от пролетта на 2024 г. насам; призовава грузинските органи да се ангажират по същество с нейните констатации и да изпълнят препоръките ѝ в ясни срокове, включително относно освобождаването на лица, задържани по политически причини, отмяната на законодателство, несъвместимо с международните задължения, и отчетността за малтретиране; подчертава, че ако органите не предприемат конкретни и проверими стъпки за изпълнение на неговите препоръки, участващите държави и съответните международни институции следва да обмислят подходящи последващи мерки, за да се гарантира отчетност, включително целенасочени санкции и използване на съответните международни правни механизми; призовава държавите – членки на ЕС, участващи в ОССЕ, активно да подкрепят удължаването на мандата на мисията, </w:t>
      </w:r>
      <w:r w:rsidRPr="00506EF2">
        <w:t>като се имат предвид системните и добре документирани нарушения, които изискват цялостна независима оценка;</w:t>
      </w:r>
    </w:p>
    <w:p w:rsidR="00AD7810" w:rsidRPr="00506EF2" w:rsidP="00AD7810" w14:paraId="31D56A2E" w14:textId="77777777">
      <w:pPr>
        <w:pStyle w:val="NormalHanging12a"/>
      </w:pPr>
      <w:r w:rsidRPr="00506EF2">
        <w:t>34.</w:t>
      </w:r>
      <w:r w:rsidRPr="00506EF2">
        <w:tab/>
        <w:t>приветства резолюцията на Парламентарната асамблея на Съвета на Европа от октомври 2025 г., в която настоятелно се призовават органите на Съвета на Европа да „използват всички налични средства“, включително член 52 от Европейската конвенция за правата на човека и междудържавните жалби до Европейския съд по правата на човека съгласно член 33, за да се гарантира, че Грузия спазва задълженията си като държава членка на Съвета на Европа; призовава държавите – членки на ЕС и на Съвета на Европа, да обмислят изпълнението на тази препоръка;</w:t>
      </w:r>
    </w:p>
    <w:p w:rsidR="00AD7810" w:rsidRPr="00506EF2" w:rsidP="00AD7810" w14:paraId="635722BA" w14:textId="77777777">
      <w:pPr>
        <w:pStyle w:val="NormalHanging12a"/>
      </w:pPr>
      <w:r w:rsidRPr="00506EF2">
        <w:t>35.</w:t>
      </w:r>
      <w:r w:rsidRPr="00506EF2">
        <w:tab/>
        <w:t xml:space="preserve">решително осъжда ролята на свързаните с „Грузинска мечта“ медии, включително </w:t>
      </w:r>
      <w:r w:rsidRPr="00506EF2">
        <w:t>Imedi</w:t>
      </w:r>
      <w:r w:rsidRPr="00506EF2">
        <w:t xml:space="preserve"> TV, </w:t>
      </w:r>
      <w:r w:rsidRPr="00506EF2">
        <w:t>PosTV</w:t>
      </w:r>
      <w:r w:rsidRPr="00506EF2">
        <w:t xml:space="preserve"> и </w:t>
      </w:r>
      <w:r w:rsidRPr="00506EF2">
        <w:t>Rustavi</w:t>
      </w:r>
      <w:r w:rsidRPr="00506EF2">
        <w:t xml:space="preserve"> 2 TV, за разпространението на систематична дезинформация, кампании за оклеветяване и враждебна пропаганда срещу ЕС и неговите институции и представители, по-специално ръководителя на делегацията на ЕС в Грузия и дипломати от държавите – членки на ЕС; отбелязва неотдавнашното решение на Обединеното кралство да наложи санкции срещу </w:t>
      </w:r>
      <w:r w:rsidRPr="00506EF2">
        <w:t>Imedi</w:t>
      </w:r>
      <w:r w:rsidRPr="00506EF2">
        <w:t xml:space="preserve"> TV и </w:t>
      </w:r>
      <w:r w:rsidRPr="00506EF2">
        <w:t>PosTV</w:t>
      </w:r>
      <w:r w:rsidRPr="00506EF2">
        <w:t>; призовава институциите на ЕС да преразгледат акредитацията на такива медии в рамките на институциите на ЕС и насърчава държавите – членки на ЕС, да последват примера на Обединеното кралство и да приемат подходящи и пропорционални ограничителни мерки срещу лица и образувания, отговорни за организирането и финансирането на тези кампании за дезинформация, включително в рамките на глобалния режим на ЕС на санкции за нарушения на правата на човека; призовава за включване в списъка със санкции на ЕС на членове на ръководството на грузинската национална комисия по комуникации и грузинския обществен радио- и телевизионен оператор;</w:t>
      </w:r>
    </w:p>
    <w:p w:rsidR="00AD7810" w:rsidRPr="00506EF2" w:rsidP="00AD7810" w14:paraId="20DC265E" w14:textId="77777777">
      <w:pPr>
        <w:pStyle w:val="NormalHanging12a"/>
      </w:pPr>
      <w:r w:rsidRPr="00506EF2">
        <w:t>36.</w:t>
      </w:r>
      <w:r w:rsidRPr="00506EF2">
        <w:tab/>
        <w:t>изразява загриженост относно натиска върху независимите медии и съдебните производства срещу тях; изтъква, че медийният плурализъм и безопасността на журналистите са основни предпоставки за едно демократично общество;</w:t>
      </w:r>
    </w:p>
    <w:p w:rsidR="00AD7810" w:rsidRPr="00506EF2" w:rsidP="00AD7810" w14:paraId="38B8B419" w14:textId="77777777">
      <w:pPr>
        <w:pStyle w:val="NormalHanging12a"/>
      </w:pPr>
      <w:r w:rsidRPr="00506EF2">
        <w:t>37.</w:t>
      </w:r>
      <w:r w:rsidRPr="00506EF2">
        <w:tab/>
        <w:t>отбелязва със загриженост неотдавнашните реформи в образованието в Грузия, които изглежда централизират контрола върху академичните институции, отслабват академичната свобода и автономията на университетите и възпрепятстват интеграцията на Грузия в европейската система за висше образование; предупреждава за мерките, насочени към промяна на структурата и продължителността на академичните програми, както и въвеждането на принципа „един град – един факултет“, ограничаващ набора от дисциплини, предлагани от отделните университети; изразява загриженост относно регулаторния натиск върху институции като Държавния университет в Илия вследствие на публично изразената подкрепа за студентски протести, като същевременно се предоставя подкрепа за частни институции, свързани с лица, близки до управляващия елит; подчертава, че независимите експерти в областта на образованието предупреждават, че кумулативният ефект от тези мерки рискува да намали академичния плурализъм и допълнително да политизира системата на висшето образование;</w:t>
      </w:r>
    </w:p>
    <w:p w:rsidR="00AD7810" w:rsidRPr="00506EF2" w:rsidP="00AD7810" w14:paraId="20E1F5A8" w14:textId="77777777">
      <w:pPr>
        <w:pStyle w:val="NormalHanging12a"/>
      </w:pPr>
      <w:r w:rsidRPr="00506EF2">
        <w:t>38.</w:t>
      </w:r>
      <w:r w:rsidRPr="00506EF2">
        <w:tab/>
        <w:t xml:space="preserve">изразява загриженост относно организираните измамни мрежи на центрове за обаждания, действащи от Грузия, насочени по-специално към граждани на ЕС; подчертава, че международните журналистически разследвания предполагат, че високопоставени служители на „Грузинска мечта“ предлагат защита на тези </w:t>
      </w:r>
      <w:r w:rsidRPr="00506EF2">
        <w:t>измамни мрежи в замяна на финансови компенсации, което им помага да понасят икономическите санкции;</w:t>
      </w:r>
    </w:p>
    <w:p w:rsidR="00AD7810" w:rsidP="00AD7810" w14:paraId="1799E7F4" w14:textId="77777777">
      <w:pPr>
        <w:pStyle w:val="NormalHanging12a"/>
      </w:pPr>
      <w:r w:rsidRPr="00506EF2">
        <w:t>39.</w:t>
      </w:r>
      <w:r w:rsidRPr="00506EF2">
        <w:tab/>
        <w:t>приветства решението на Комисията за спиране на безвизовото пътуване за притежателите на грузински дипломатически, служебни и издадени на длъжностни лица паспорти, влязло в сила считано от 6 март 2026 г., във всички държави – членки на ЕС, съгласно преразгледания и по-гъвкав механизъм за суспендиране на безвизовия режим, който влезе в сила на 30 декември 2025 г., като пряко следствие от действията на режима на „Грузинска мечта“ в нарушение на основните ценности; насърчава държавите членки да извършват задълбочен скрининг, да провеждат събеседване и да изискват придружаващи документи от тези кандидати за визи, както и да отказват визи, ако има съмнения относно надеждността на информацията, предоставена от тях; изразява съжаление, че забраните за издаване на визи в целия ЕС за грузински длъжностни лица, отговорни за тежки нарушения на правата на човека, отстъпление от демокрацията и репресии, не бяха възможни поради опозицията от Унгария и Словакия; отбелязва, че в осмия доклад относно механизма за суспендиране на безвизовия режим се подчертава неспазването от страна на Грузия на ключови критерии и предишни препоръки; предупреждава, че продължаващото бездействие от страна на грузинските органи би могло да доведе до спиране на безвизовото пътуване за цялото население, за което „Грузинска мечта“ ще носи пълна отговорност; призовава Комисията да създаде механизъм, чрез който активистите на гражданското общество, журналистите и студентите да могат да продължат да имат безвизов достъп до ЕС, и да увеличи пряката подкрепа за програмите за обмен между хората, като например „Еразъм +“, „Хоризонт Европа“, Европейския корпус за солидарност и „Творческа Европа“;</w:t>
      </w:r>
    </w:p>
    <w:p w:rsidR="00C226E9" w:rsidRPr="00506EF2" w:rsidP="00AD7810" w14:paraId="24F1CA5F" w14:textId="5B2B6E50">
      <w:pPr>
        <w:pStyle w:val="NormalHanging12a"/>
      </w:pPr>
      <w:r>
        <w:t>40</w:t>
      </w:r>
      <w:r w:rsidRPr="00C226E9">
        <w:t>.</w:t>
      </w:r>
      <w:r w:rsidRPr="00C226E9">
        <w:tab/>
        <w:t xml:space="preserve">подчертава, че липсата на задълбочени академични изследвания, историческо образование и обществена осведоменост относно съветската окупация и нейните дългосрочни последици позволява разпространението на кампании за манипулиране на историята и за дезинформация, каквито Руската федерация използва, за да подкопае евроатлантическите стремежи на грузинското общество; поради това подчертава значението на академичните изследвания, документирането и разпространението на знания за историята на Грузия под съветска окупация, включващи политическите репресии, масовите екзекуции и историята на съпротивата срещу съветско-руската окупация, както и възстановяването на колективната памет за тези събития; изразява съжаление, че през последните години, поне с пасивното съгласие на органите, се наблюдават усилия за релативизиране на комунистическите престъпления и за обръщане на процеса на десталинизация; във връзка с това подчертава важната роля на независимите историци, изследователи и организации на гражданското общество, като например </w:t>
      </w:r>
      <w:r w:rsidRPr="00C226E9">
        <w:t>SovLab</w:t>
      </w:r>
      <w:r w:rsidRPr="00C226E9">
        <w:t xml:space="preserve">, за изучаването на съветската окупация и нейните политически, правни и морални последици, както и за идентифицирането на места, където са погребани жертви на комунистическия терор, установяването на тяхната самоличност и осигуряването на достойно възпоменание за тях; насърчава съответните институции в държавите членки, ангажирани с документирането на последиците от съветската окупация и престъпленията на комунизма и на други тоталитарни режими, да задълбочат сътрудничеството със своите грузински партньори, да подкрепят съвместни научноизследователски проекти и да участват в образователни програми и инициативи, насочени към разкриване, документиране и разпространение на знания за тази глава от историята на Грузия; изразява загриженост от системното възпрепятстване на </w:t>
      </w:r>
      <w:r w:rsidRPr="00C226E9">
        <w:t>достъпа до архивите, свързани с репресиите и престъпленията, извършени по време на съветската окупация; призовава грузинските органи да гарантират на учените, изследователите и организациите на гражданското общество пълен, прозрачен и недискриминационен достъп до архивите, свързани със съветския период;</w:t>
      </w:r>
    </w:p>
    <w:p w:rsidR="00AD7810" w:rsidRPr="00506EF2" w:rsidP="00AD7810" w14:paraId="06643EC8" w14:textId="77777777">
      <w:pPr>
        <w:pStyle w:val="Normal12a"/>
      </w:pPr>
      <w:r w:rsidRPr="00506EF2">
        <w:rPr>
          <w:b/>
          <w:i/>
        </w:rPr>
        <w:t>Привеждане в съответствие на въпроси от външната политика и сигурността</w:t>
      </w:r>
    </w:p>
    <w:p w:rsidR="00AD7810" w:rsidRPr="00506EF2" w:rsidP="00AD7810" w14:paraId="4EC9288A" w14:textId="3ECA6315">
      <w:pPr>
        <w:pStyle w:val="NormalHanging12a"/>
      </w:pPr>
      <w:r>
        <w:t>41</w:t>
      </w:r>
      <w:r w:rsidRPr="00506EF2">
        <w:t>.</w:t>
      </w:r>
      <w:r w:rsidRPr="00506EF2">
        <w:tab/>
        <w:t>изразява съжаление, че степента на привеждане на Грузия в съответствие с изявленията на заместник-председателя на Комисията/върховен представител на Съюза по въпросите на външните работи и политиката на сигурност и с решенията на Съвета относно санкциите допълнително е намаляла от 53 % през 2024 г. до 40%, което демонстрира липсата на ангажираност на Грузия с европейската интеграция; изразява особено разочарование, че Грузия не се е присъединявала систематично към международните инициативи и инициативите на ЕС в подкрепа на Украйна, включително резолюциите, приети от Общото събрание на ООН, Съвета по правата на човека на ООН и Съвета на Европа, а вместо това засили отношенията си с Русия и подкрепи руските послания, които имат за цел да прехвърлят отговорността за агресивната война и престъпленията, извършени от Русия;</w:t>
      </w:r>
    </w:p>
    <w:p w:rsidR="00AD7810" w:rsidRPr="00506EF2" w:rsidP="00AD7810" w14:paraId="16252494" w14:textId="7547E455">
      <w:pPr>
        <w:pStyle w:val="NormalHanging12a"/>
      </w:pPr>
      <w:r>
        <w:t>42</w:t>
      </w:r>
      <w:r w:rsidRPr="00506EF2">
        <w:t>.</w:t>
      </w:r>
      <w:r w:rsidRPr="00506EF2">
        <w:tab/>
        <w:t>изразява дълбока благодарност за силната солидарност с Украйна, засвидетелствана от грузинския народ по време на агресивната война на Русия. Тази солидарност отразява широката обществена съпротива срещу руските империалистически политики, собствения опит на страната с руската военна агресия и силната воля на народа да запази своята независимост и да остане извън сферата на влияние на Москва; посочва, че много грузински доброволци са воювали заедно с украинските въоръжени сили, особено в грузинския легион, и че грузинското гражданско общество е участвало в кампании за хуманитарна помощ в подкрепа на Украйна;</w:t>
      </w:r>
    </w:p>
    <w:p w:rsidR="00AD7810" w:rsidRPr="00506EF2" w:rsidP="00AD7810" w14:paraId="29F91191" w14:textId="620F8A90">
      <w:pPr>
        <w:pStyle w:val="NormalHanging12a"/>
      </w:pPr>
      <w:r>
        <w:t>43</w:t>
      </w:r>
      <w:r w:rsidRPr="00506EF2">
        <w:t>.</w:t>
      </w:r>
      <w:r w:rsidRPr="00506EF2">
        <w:tab/>
        <w:t xml:space="preserve">отбелязва, че Грузия все още не се е присъединила към по-голямата част от санкциите срещу Русия, Беларус и Иран; призовава грузинските органи да въведат проверими мерки и да засилят сътрудничеството и митническия надзор, за да предотвратят използването на територията на Грузия и/или на юридически лица, регистрирани в Грузия, за заобикаляне на ограничителните мерки на ЕС; счита, че настоящото равнище на усилията за привеждане в съответствие и прилагане е очевидно недостатъчно и несъвместимо с отговорностите на държава – кандидатка за членство в ЕС; подчертава, че спешно са необходими по-решителни действия, включително пълно привеждане в съответствие с ограничителните мерки на ЕС, ефективни механизми за мониторинг и прилагане и прозрачно сътрудничество с институциите на ЕС, за да се предотврати избягването на санкции, включително по отношение на стоките с двойна употреба, износа на петрол и финансовите потоци, свързани с руски и ирански субекти; предупреждава, че продължаващото </w:t>
      </w:r>
      <w:r w:rsidRPr="00506EF2">
        <w:t>непривеждане</w:t>
      </w:r>
      <w:r w:rsidRPr="00506EF2">
        <w:t xml:space="preserve"> в съответствие с външната политика и режима на санкции на ЕС ще има преки последици за процеса на присъединяване на Грузия към ЕС; призовава ЕС и неговите държави членки да продължат да следят отблизо спазването от страна на Грузия на режима на санкции на ЕС, включително рисковете от заобикаляне на санкциите през грузинска територия или посредством субекти, регистрирани в Грузия;</w:t>
      </w:r>
    </w:p>
    <w:p w:rsidR="00AD7810" w:rsidRPr="00506EF2" w:rsidP="00AD7810" w14:paraId="5323AC4F" w14:textId="09438F8E">
      <w:pPr>
        <w:pStyle w:val="NormalHanging12a"/>
      </w:pPr>
      <w:r>
        <w:t>44</w:t>
      </w:r>
      <w:r w:rsidRPr="00506EF2">
        <w:t>.</w:t>
      </w:r>
      <w:r w:rsidRPr="00506EF2">
        <w:tab/>
        <w:t>призовава ЕС и неговите държави членки да предприемат спешни и решителни действия за прекратяване на системното заобикаляне на санкциите на ЕС от страна на Русия, подпомагано от грузинските органи, включително чрез създаване на специален механизъм на ЕС за мониторинг с цел проследяване на търговските потоци на високоприоритетни стоки с двойна употреба и авиационни компоненти, преминаващи транзитно през Грузия; освен това призовава грузинските органи да сътрудничат изцяло на тези усилия и да публикуват редовни и прозрачни доклади относно тези търговски потоци, за да се засили правоприлагането от страна на митническите органи и да се предотврати по-нататъшното избягване на санкции;</w:t>
      </w:r>
    </w:p>
    <w:p w:rsidR="00AD7810" w:rsidRPr="00506EF2" w:rsidP="00AD7810" w14:paraId="1A963B3A" w14:textId="7FE6FADF">
      <w:pPr>
        <w:pStyle w:val="NormalHanging12a"/>
      </w:pPr>
      <w:r>
        <w:t>45</w:t>
      </w:r>
      <w:r w:rsidRPr="00506EF2">
        <w:t>.</w:t>
      </w:r>
      <w:r w:rsidRPr="00506EF2">
        <w:tab/>
        <w:t>изразява загриженост във връзка с потенциалното използване на грузински пристанища, инфраструктура за рафиниране и съоръжения за боравене с нефт, за да се улесни реекспортът или смесването на руски нефтопродукти с цел заобикаляне на международните режими на санкции; изразява сериозна загриженост във връзка със сведенията, че руски суров нефт се превозва до новопостроената, отчасти с държавно финансиране, грузинска рафинерия „Кулеви“ на Черноморското крайбрежие; призовава грузинските органи незабавно да спрат и предотвратят всякакви подобни дейности и да гарантират, че грузинската инфраструктура не се използва за улесняване на заобикалянето на санкциите на ЕС срещу Русия; отбелязва, че петролният терминал „Кулеви“ не беше включен в 20-ия пакет от санкции на ЕС срещу Русия поради ангажиментите, поети от грузинските органи и оператора на терминала, че те ще спазват стриктно санкциите на ЕС; призовава за включването му в бъдещи санкции, ако грузинските органи и операторите на терминала не спазват стриктно санкциите на ЕС; призовава за засилено сътрудничество между ЕС и международните партньори, за да се гарантира пълното прилагане на ограничителните мерки;</w:t>
      </w:r>
    </w:p>
    <w:p w:rsidR="00AD7810" w:rsidRPr="00506EF2" w:rsidP="00AD7810" w14:paraId="106AE276" w14:textId="5B33375E">
      <w:pPr>
        <w:pStyle w:val="NormalHanging12a"/>
      </w:pPr>
      <w:r>
        <w:t>46</w:t>
      </w:r>
      <w:r w:rsidRPr="00506EF2">
        <w:t>.</w:t>
      </w:r>
      <w:r w:rsidRPr="00506EF2">
        <w:tab/>
        <w:t>призовава Комисията, в сътрудничество с Органа за борба с изпирането на пари, да направи оценка на правната и регулаторната рамка на Грузия, включително разпоредбите на Данъчния кодекс, които могат да улеснят използването на регистрирани в чужбина дружества и да прикрият действителния собственик, като по този начин се дава възможност за заобикаляне на санкциите и изпиране на пари; призовава за засилен мониторинг и контрол на регистрираните в Грузия дружества, притежавани или контролирани от руски граждани или образувания, по-специално създадените от февруари 2022 г. насам; призовава грузинските органи да създадат служба за възстановяване на активи, служба за управление на активи и регистър на крайните действителни собственици, за да се засилят гаранциите за борба с изпирането на пари и да се намали рискът от заобикаляне на санкциите;</w:t>
      </w:r>
    </w:p>
    <w:p w:rsidR="00AD7810" w:rsidRPr="00506EF2" w:rsidP="00AD7810" w14:paraId="6F7E79CB" w14:textId="56E002D0">
      <w:pPr>
        <w:pStyle w:val="NormalHanging12a"/>
      </w:pPr>
      <w:r>
        <w:t>47</w:t>
      </w:r>
      <w:r w:rsidRPr="00506EF2">
        <w:t>.</w:t>
      </w:r>
      <w:r w:rsidRPr="00506EF2">
        <w:tab/>
        <w:t>отбелязва, че след като изостави пътя на евроатлантическата интеграция, „Грузинска мечта“ поема стратегически курс към сътрудничество с Китай, Русия и Иран, както бе потвърдено от множество свидетелства; подчертава, че това преориентиране показва незачитане на конституционния ангажимент на Грузия за евроатлантическа интеграция и ясната и последователно изразена воля на грузинското общество; изразява възмущение, че вместо да се предприемат действия във връзка с достоверни констатации относно нарастващото влияние на авторитарните сили, са започнати разследвания срещу авторите на такива доклади, включително изследователя на института „Хъдсън“ Георги Канделаки и Тинатин Хидашели;</w:t>
      </w:r>
    </w:p>
    <w:p w:rsidR="00AD7810" w:rsidRPr="00506EF2" w:rsidP="00AD7810" w14:paraId="62135209" w14:textId="6AD8D474">
      <w:pPr>
        <w:pStyle w:val="NormalHanging12a"/>
      </w:pPr>
      <w:r>
        <w:t>48</w:t>
      </w:r>
      <w:r w:rsidRPr="00506EF2">
        <w:t>.</w:t>
      </w:r>
      <w:r w:rsidRPr="00506EF2">
        <w:tab/>
        <w:t xml:space="preserve">изразява загриженост относно участието на китайски държавни предприятия в стратегически проекти, като например за дълбоководното пристанище </w:t>
      </w:r>
      <w:r w:rsidRPr="00506EF2">
        <w:t>Анаклия</w:t>
      </w:r>
      <w:r w:rsidRPr="00506EF2">
        <w:t xml:space="preserve">, който първоначално беше разработен със западни партньори и имаше за цел да укрепи свързаността между Изтока и Запада независимо от руското и китайското влияние; припомня на грузинските органи, че успехът на Средния коридор е свързан със спазването от страна на Грузия на принципите на правовата държава и че инвестициите по линия на </w:t>
      </w:r>
      <w:r w:rsidRPr="00506EF2">
        <w:t>Global</w:t>
      </w:r>
      <w:r w:rsidRPr="00506EF2">
        <w:t xml:space="preserve"> </w:t>
      </w:r>
      <w:r w:rsidRPr="00506EF2">
        <w:t>Gateway</w:t>
      </w:r>
      <w:r w:rsidRPr="00506EF2">
        <w:t xml:space="preserve"> изискват Грузия да бъде стабилен и прозрачен партньор;</w:t>
      </w:r>
    </w:p>
    <w:p w:rsidR="00AD7810" w:rsidRPr="00506EF2" w:rsidP="00AD7810" w14:paraId="1A3F15B0" w14:textId="1B5B5FC0">
      <w:pPr>
        <w:pStyle w:val="NormalHanging12a"/>
      </w:pPr>
      <w:r>
        <w:t>49</w:t>
      </w:r>
      <w:r w:rsidRPr="00506EF2">
        <w:t>.</w:t>
      </w:r>
      <w:r w:rsidRPr="00506EF2">
        <w:tab/>
        <w:t>отбелязва инициативите за стратегически проекти за свързаност в Черноморския регион, включително подводния кабелен електропровод за цифрова свързаност на Черно море и подводния електропровод на Черно море, които могат да подобрят енергийните и цифровите връзки между ЕС и Южен Кавказ;</w:t>
      </w:r>
    </w:p>
    <w:p w:rsidR="00AD7810" w:rsidRPr="00506EF2" w:rsidP="00AD7810" w14:paraId="012FC26E" w14:textId="1B751B19">
      <w:pPr>
        <w:pStyle w:val="NormalHanging12a"/>
      </w:pPr>
      <w:r>
        <w:t>50</w:t>
      </w:r>
      <w:r w:rsidRPr="00506EF2">
        <w:t>.</w:t>
      </w:r>
      <w:r w:rsidRPr="00506EF2">
        <w:tab/>
        <w:t xml:space="preserve">отбелязва, че грузинската православна църква продължава да бъде влиятелна институция в грузинското общество и играе важна роля в оформянето на обществения дискурс; изразява загриженост относно използването на религиозни мрежи от Русия като канали за операции за дезинформация и влияние в Грузия с цел подкопаване на проевропейската ориентация и демократичната устойчивост; припомня, че някои духовници в Грузия се противопоставиха на това </w:t>
      </w:r>
      <w:r w:rsidRPr="00506EF2">
        <w:t>инструментализиране</w:t>
      </w:r>
      <w:r w:rsidRPr="00506EF2">
        <w:t xml:space="preserve"> и се изказаха както срещу руското влияние, така и срещу политиките на режима на „Грузинска мечта“; подчертава, че грузинската православна епархия и грузинските православни общности също присъстват в ЕС, което подчертава необходимостта от бдителност и устойчивост срещу транснационалните усилия за дезинформация;</w:t>
      </w:r>
    </w:p>
    <w:p w:rsidR="00AD7810" w:rsidRPr="00506EF2" w:rsidP="00AD7810" w14:paraId="20429FFF" w14:textId="769D5975">
      <w:pPr>
        <w:pStyle w:val="NormalHanging12a"/>
      </w:pPr>
      <w:r>
        <w:t>51</w:t>
      </w:r>
      <w:r w:rsidRPr="00506EF2">
        <w:t>.</w:t>
      </w:r>
      <w:r w:rsidRPr="00506EF2">
        <w:tab/>
        <w:t>отбелязва с особена загриженост нарастващото влияние на Иран в страната, по-специално чрез религиозни и образователни институции и мобилизиране на младите хора, както и чрез икономически структури, които на практика позволяват на Иран да избягва санкциите; освен това изразява загриженост във връзка с нарастващото влияние на икономическите участници, свързани с иранския режим, които извършват дейност в Грузия; подчертава, че тези участници могат да бъдат използвани за заобикаляне на финансовите санкции, за изпиране на пари и за незаконен износ на ирански стоки, което ще бъде от полза за участниците, свързани както с режима на Иран, така и с режима на „Грузинска мечта“, чрез корупция и манипулирани публични търгове;</w:t>
      </w:r>
    </w:p>
    <w:p w:rsidR="00AD7810" w:rsidRPr="00506EF2" w:rsidP="00AD7810" w14:paraId="3700CFA8" w14:textId="0D7DD35F">
      <w:pPr>
        <w:pStyle w:val="NormalHanging12a"/>
      </w:pPr>
      <w:r>
        <w:t>52</w:t>
      </w:r>
      <w:r w:rsidRPr="00506EF2">
        <w:t>.</w:t>
      </w:r>
      <w:r w:rsidRPr="00506EF2">
        <w:tab/>
        <w:t>счита, че Грузия следва да играе конструктивна роля за улесняване на достъпа на Армения до международните морски търговски маршрути, като по този начин допринася за регионалната свързаност, икономическата устойчивост и стабилността в Южен Кавказ;</w:t>
      </w:r>
    </w:p>
    <w:p w:rsidR="00AD7810" w:rsidRPr="00506EF2" w:rsidP="00AD7810" w14:paraId="352B3317" w14:textId="2F228C59">
      <w:pPr>
        <w:pStyle w:val="NormalHanging12a"/>
      </w:pPr>
      <w:r>
        <w:t>53</w:t>
      </w:r>
      <w:r w:rsidRPr="00506EF2">
        <w:t>.</w:t>
      </w:r>
      <w:r w:rsidRPr="00506EF2">
        <w:tab/>
        <w:t xml:space="preserve">отново заявява своята непоколебима подкрепа за суверенитета и териториалната цялост на Грузия; осъжда най-категорично продължаващата окупация от страна на Русия на грузинските региони Абхазия и Цхинвали/Южна Осетия и продължаващия процес на „определяне на границите“, който представлява нарушение на суверенитета и териториалната цялост на Грузия; настоятелно призовава грузинското правителство да поддържа ясна и последователна позиция относно руската агресия; решително осъжда усилията на Русия за политическо, военно и икономическо интегриране на окупираните територии в Руската федерация; отбелязва с дълбока загриженост продължаващите незаконни задържания и нападения срещу етнически грузинци в Абхазия и региона на </w:t>
      </w:r>
      <w:r w:rsidRPr="00506EF2">
        <w:t xml:space="preserve">Цхинвали, включително жени и млади хора, по изфабрикувани обвинения, като например шпионаж или притежаване на грузински паспорт; осъжда тези практики като сериозни нарушения на правата на човека, допринасящи за сплашването, дискриминацията и принудителното разселване на грузинското население; решително осъжда продължаващото развитие на руската военноморска база в </w:t>
      </w:r>
      <w:r w:rsidRPr="00506EF2">
        <w:t>Очамчира</w:t>
      </w:r>
      <w:r w:rsidRPr="00506EF2">
        <w:t>, което е не само нарушение на териториалната цялост, но и пряка заплаха за сигурността на целия Черноморски басейн и собствените амбиции на Грузия в областта на морската търговия; отново призовава за незабавно и безусловно изтегляне на руските сили от грузинските региони Абхазия и Цхинвали/Южна Осетия;</w:t>
      </w:r>
    </w:p>
    <w:p w:rsidR="00AD7810" w:rsidRPr="00506EF2" w:rsidP="00AD7810" w14:paraId="5553CD6D" w14:textId="5B6F0BF2">
      <w:pPr>
        <w:pStyle w:val="NormalHanging12a"/>
      </w:pPr>
      <w:r>
        <w:t>54</w:t>
      </w:r>
      <w:r w:rsidRPr="00506EF2">
        <w:t>.</w:t>
      </w:r>
      <w:r w:rsidRPr="00506EF2">
        <w:tab/>
        <w:t xml:space="preserve">призовава за целенасочени ограничителни мерки срещу лицата, отговорни за нарушения на правата на човека в окупираните територии, въз основа на прецеденти като „Списъка </w:t>
      </w:r>
      <w:r w:rsidRPr="00506EF2">
        <w:t>Отхозория</w:t>
      </w:r>
      <w:r w:rsidRPr="00506EF2">
        <w:t>–</w:t>
      </w:r>
      <w:r w:rsidRPr="00506EF2">
        <w:t>Татунашвили</w:t>
      </w:r>
      <w:r w:rsidRPr="00506EF2">
        <w:t>“ от 2018 г.;</w:t>
      </w:r>
    </w:p>
    <w:p w:rsidR="00AD7810" w:rsidRPr="00506EF2" w:rsidP="00AD7810" w14:paraId="0AFCA0CC" w14:textId="4E2A260B">
      <w:pPr>
        <w:pStyle w:val="NormalHanging12a"/>
      </w:pPr>
      <w:r>
        <w:t>55</w:t>
      </w:r>
      <w:r w:rsidRPr="00506EF2">
        <w:t>.</w:t>
      </w:r>
      <w:r w:rsidRPr="00506EF2">
        <w:tab/>
        <w:t>отново подчертава значението на работата на мисията за наблюдение на ЕС в Грузия (EUMM) във връзка с разрешаването на конфликти, наблюдението на правата на човека и подкрепата за засегнатите общности; решително осъжда продължаващото възпрепятстване от страна на Руската федерация на достъпа на EUMM до окупираните региони на Грузия, както и предишните действия за сплашване на наблюдателите на EUMM, включително незаконни задържания и други инциденти, включващи заплахи и намеса в работата на EUMM; счита, че видимото и публично изпълнение на мандата на EUMM следва да бъде допълнително засилено чрез повече подкрепа и допълнителен персонал и да се представи по-отчетливо, тъй като то допринася значително за ангажимента на ЕС в региона и излага агресивната тактика на Русия, която след войната срещу Грузия през 2008 г. продължава да причинява смърт, страдания и нестабилност в региона;</w:t>
      </w:r>
    </w:p>
    <w:p w:rsidR="00AD7810" w:rsidRPr="00506EF2" w:rsidP="00AD7810" w14:paraId="18B16F8E" w14:textId="77777777">
      <w:pPr>
        <w:pStyle w:val="NormalCenter12a"/>
      </w:pPr>
      <w:r w:rsidRPr="00506EF2">
        <w:t>°</w:t>
      </w:r>
    </w:p>
    <w:p w:rsidR="00AD7810" w:rsidRPr="00506EF2" w:rsidP="00AD7810" w14:paraId="6A114BF6" w14:textId="77777777">
      <w:pPr>
        <w:pStyle w:val="NormalCenter12a"/>
      </w:pPr>
      <w:r w:rsidRPr="00506EF2">
        <w:t>°</w:t>
      </w:r>
      <w:r w:rsidRPr="00506EF2">
        <w:tab/>
        <w:t>°</w:t>
      </w:r>
    </w:p>
    <w:p w:rsidR="00506EF2" w:rsidRPr="00506EF2" w:rsidP="00506EF2" w14:paraId="349C111B" w14:textId="420259C0">
      <w:pPr>
        <w:pStyle w:val="NormalHanging12a"/>
      </w:pPr>
      <w:r>
        <w:t>56</w:t>
      </w:r>
      <w:r w:rsidRPr="00506EF2" w:rsidR="00AD7810">
        <w:t>.</w:t>
      </w:r>
      <w:r w:rsidRPr="00506EF2" w:rsidR="00AD7810">
        <w:tab/>
        <w:t>възлага на своя председател да предаде настоящата резолюция съответно на Съвета, на заместник-председателя на Комисията / върховен представител на Съюза по въпросите на външните работи и политиката на сигурност, на Комисията, на правителствата и парламентите на държавите членки, на Съвета на Европа, на Организацията за сигурност и сътрудничество в Европа, президента на Грузия Саломе Зурабишвили, както и на фактическите власти на Грузия.</w:t>
      </w:r>
    </w:p>
    <w:p w:rsidR="00E365E1" w:rsidRPr="00506EF2" w:rsidP="00974D8A" w14:paraId="51658DB6" w14:textId="004EDE31"/>
    <w:sectPr w:rsidSect="00506EF2">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4D8A" w:rsidRPr="00506EF2" w14:paraId="63A137C1" w14:textId="77777777">
      <w:r w:rsidRPr="00506EF2">
        <w:separator/>
      </w:r>
    </w:p>
  </w:footnote>
  <w:footnote w:type="continuationSeparator" w:id="1">
    <w:p w:rsidR="00974D8A" w:rsidRPr="00506EF2" w14:paraId="7A430354" w14:textId="77777777">
      <w:r w:rsidRPr="00506EF2">
        <w:continuationSeparator/>
      </w:r>
    </w:p>
  </w:footnote>
  <w:footnote w:id="2">
    <w:p w:rsidR="005D4317" w:rsidRPr="00506EF2" w:rsidP="00506EF2" w14:paraId="1803F48E" w14:textId="14B8611A">
      <w:pPr>
        <w:pStyle w:val="FootnoteText"/>
        <w:ind w:left="567" w:hanging="567"/>
        <w:rPr>
          <w:sz w:val="24"/>
          <w:lang w:val="bg-BG"/>
        </w:rPr>
      </w:pPr>
      <w:r>
        <w:rPr>
          <w:rStyle w:val="FootnoteReference"/>
        </w:rPr>
        <w:footnoteRef/>
      </w:r>
      <w:r w:rsidRPr="00506EF2">
        <w:rPr>
          <w:sz w:val="24"/>
          <w:lang w:val="bg-BG"/>
        </w:rPr>
        <w:t xml:space="preserve"> </w:t>
      </w:r>
      <w:r w:rsidRPr="00506EF2">
        <w:rPr>
          <w:sz w:val="24"/>
          <w:lang w:val="bg-BG"/>
        </w:rPr>
        <w:tab/>
        <w:t xml:space="preserve">ОВ L 261, 30.8.2014 г., стр. 4, ELI: </w:t>
      </w:r>
      <w:hyperlink r:id="rId1" w:tgtFrame="http://data.europa.eu/eli/agree_internation/2014/494/oj" w:history="1">
        <w:r w:rsidRPr="00506EF2">
          <w:rPr>
            <w:rStyle w:val="Hyperlink"/>
            <w:sz w:val="24"/>
            <w:lang w:val="bg-BG"/>
          </w:rPr>
          <w:t>http://data.europa.eu/eli/agree_internation/2014/494/oj</w:t>
        </w:r>
      </w:hyperlink>
      <w:r w:rsidRPr="00506EF2">
        <w:rPr>
          <w:sz w:val="24"/>
          <w:lang w:val="bg-BG"/>
        </w:rPr>
        <w:t>.</w:t>
      </w:r>
    </w:p>
  </w:footnote>
  <w:footnote w:id="3">
    <w:p w:rsidR="005D4317" w:rsidRPr="00506EF2" w:rsidP="00506EF2" w14:paraId="52AA7788" w14:textId="07C3985E">
      <w:pPr>
        <w:pStyle w:val="FootnoteText"/>
        <w:ind w:left="567" w:hanging="567"/>
        <w:rPr>
          <w:sz w:val="24"/>
          <w:lang w:val="bg-BG"/>
        </w:rPr>
      </w:pPr>
      <w:r>
        <w:rPr>
          <w:rStyle w:val="FootnoteReference"/>
        </w:rPr>
        <w:footnoteRef/>
      </w:r>
      <w:r w:rsidRPr="00506EF2">
        <w:rPr>
          <w:sz w:val="24"/>
          <w:lang w:val="bg-BG"/>
        </w:rPr>
        <w:t xml:space="preserve"> </w:t>
      </w:r>
      <w:r w:rsidRPr="00506EF2">
        <w:rPr>
          <w:sz w:val="24"/>
          <w:lang w:val="bg-BG"/>
        </w:rPr>
        <w:tab/>
        <w:t xml:space="preserve">OВ L, 2025/2441, 10.12.2025 г., ELI: </w:t>
      </w:r>
      <w:hyperlink r:id="rId2" w:tgtFrame="http://data.europa.eu/eli/reg/2025/2441/oj" w:history="1">
        <w:r w:rsidRPr="00506EF2">
          <w:rPr>
            <w:rStyle w:val="Hyperlink"/>
            <w:sz w:val="24"/>
            <w:lang w:val="bg-BG"/>
          </w:rPr>
          <w:t>http://data.europa.eu/eli/reg/2025/2441/oj</w:t>
        </w:r>
      </w:hyperlink>
      <w:r w:rsidRPr="00506EF2">
        <w:rPr>
          <w:sz w:val="24"/>
          <w:lang w:val="bg-BG"/>
        </w:rPr>
        <w:t>.</w:t>
      </w:r>
    </w:p>
  </w:footnote>
  <w:footnote w:id="4">
    <w:p w:rsidR="005D4317" w:rsidRPr="00506EF2" w:rsidP="00506EF2" w14:paraId="689281D8" w14:textId="08F1DE60">
      <w:pPr>
        <w:pStyle w:val="FootnoteText"/>
        <w:ind w:left="567" w:hanging="567"/>
        <w:rPr>
          <w:sz w:val="24"/>
          <w:lang w:val="bg-BG"/>
        </w:rPr>
      </w:pPr>
      <w:r>
        <w:rPr>
          <w:rStyle w:val="FootnoteReference"/>
        </w:rPr>
        <w:footnoteRef/>
      </w:r>
      <w:r w:rsidRPr="00506EF2">
        <w:rPr>
          <w:sz w:val="24"/>
          <w:lang w:val="bg-BG"/>
        </w:rPr>
        <w:t xml:space="preserve"> </w:t>
      </w:r>
      <w:r w:rsidRPr="00506EF2">
        <w:rPr>
          <w:sz w:val="24"/>
          <w:lang w:val="bg-BG"/>
        </w:rPr>
        <w:tab/>
        <w:t>Приети текстове, P10_TA(2026)0077.</w:t>
      </w:r>
    </w:p>
  </w:footnote>
  <w:footnote w:id="5">
    <w:p w:rsidR="005D4317" w:rsidRPr="00506EF2" w:rsidP="00506EF2" w14:paraId="102ED903" w14:textId="03C8F169">
      <w:pPr>
        <w:pStyle w:val="FootnoteText"/>
        <w:ind w:left="567" w:hanging="567"/>
        <w:rPr>
          <w:sz w:val="24"/>
          <w:lang w:val="bg-BG"/>
        </w:rPr>
      </w:pPr>
      <w:r>
        <w:rPr>
          <w:rStyle w:val="FootnoteReference"/>
        </w:rPr>
        <w:footnoteRef/>
      </w:r>
      <w:r w:rsidRPr="00506EF2">
        <w:rPr>
          <w:sz w:val="24"/>
          <w:lang w:val="bg-BG"/>
        </w:rPr>
        <w:t xml:space="preserve"> </w:t>
      </w:r>
      <w:r w:rsidRPr="00506EF2">
        <w:rPr>
          <w:sz w:val="24"/>
          <w:lang w:val="bg-BG"/>
        </w:rPr>
        <w:tab/>
        <w:t xml:space="preserve">ОВ L, 2024/1760, 5.7.2024 г., ELI: </w:t>
      </w:r>
      <w:hyperlink r:id="rId3" w:tgtFrame="http://data.europa.eu/eli/dir/2024/1760/oj" w:history="1">
        <w:r w:rsidRPr="00506EF2">
          <w:rPr>
            <w:rStyle w:val="Hyperlink"/>
            <w:sz w:val="24"/>
            <w:lang w:val="bg-BG"/>
          </w:rPr>
          <w:t>http://data.europa.eu/eli/dir/2024/1760/oj</w:t>
        </w:r>
      </w:hyperlink>
      <w:r w:rsidRPr="00506EF2">
        <w:rPr>
          <w:sz w:val="24"/>
          <w:lang w:val="bg-BG"/>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23023636">
    <w:abstractNumId w:val="9"/>
  </w:num>
  <w:num w:numId="2" w16cid:durableId="1625384476">
    <w:abstractNumId w:val="9"/>
  </w:num>
  <w:num w:numId="3" w16cid:durableId="1401513019">
    <w:abstractNumId w:val="7"/>
  </w:num>
  <w:num w:numId="4" w16cid:durableId="2140604682">
    <w:abstractNumId w:val="7"/>
  </w:num>
  <w:num w:numId="5" w16cid:durableId="1691687411">
    <w:abstractNumId w:val="6"/>
  </w:num>
  <w:num w:numId="6" w16cid:durableId="1438022047">
    <w:abstractNumId w:val="6"/>
  </w:num>
  <w:num w:numId="7" w16cid:durableId="212356580">
    <w:abstractNumId w:val="5"/>
  </w:num>
  <w:num w:numId="8" w16cid:durableId="713428427">
    <w:abstractNumId w:val="5"/>
  </w:num>
  <w:num w:numId="9" w16cid:durableId="1501391301">
    <w:abstractNumId w:val="4"/>
  </w:num>
  <w:num w:numId="10" w16cid:durableId="1543059453">
    <w:abstractNumId w:val="4"/>
  </w:num>
  <w:num w:numId="11" w16cid:durableId="1211846331">
    <w:abstractNumId w:val="8"/>
  </w:num>
  <w:num w:numId="12" w16cid:durableId="1792164916">
    <w:abstractNumId w:val="8"/>
  </w:num>
  <w:num w:numId="13" w16cid:durableId="160317259">
    <w:abstractNumId w:val="3"/>
  </w:num>
  <w:num w:numId="14" w16cid:durableId="349336330">
    <w:abstractNumId w:val="3"/>
  </w:num>
  <w:num w:numId="15" w16cid:durableId="179705930">
    <w:abstractNumId w:val="2"/>
  </w:num>
  <w:num w:numId="16" w16cid:durableId="1149322001">
    <w:abstractNumId w:val="2"/>
  </w:num>
  <w:num w:numId="17" w16cid:durableId="95292250">
    <w:abstractNumId w:val="1"/>
  </w:num>
  <w:num w:numId="18" w16cid:durableId="285357365">
    <w:abstractNumId w:val="1"/>
  </w:num>
  <w:num w:numId="19" w16cid:durableId="1257596287">
    <w:abstractNumId w:val="0"/>
  </w:num>
  <w:num w:numId="20" w16cid:durableId="2108888842">
    <w:abstractNumId w:val="0"/>
  </w:num>
  <w:num w:numId="21" w16cid:durableId="1540243875">
    <w:abstractNumId w:val="9"/>
  </w:num>
  <w:num w:numId="22" w16cid:durableId="409079143">
    <w:abstractNumId w:val="7"/>
  </w:num>
  <w:num w:numId="23" w16cid:durableId="754279931">
    <w:abstractNumId w:val="6"/>
  </w:num>
  <w:num w:numId="24" w16cid:durableId="1894582658">
    <w:abstractNumId w:val="5"/>
  </w:num>
  <w:num w:numId="25" w16cid:durableId="775294625">
    <w:abstractNumId w:val="4"/>
  </w:num>
  <w:num w:numId="26" w16cid:durableId="1912812136">
    <w:abstractNumId w:val="8"/>
  </w:num>
  <w:num w:numId="27" w16cid:durableId="965355647">
    <w:abstractNumId w:val="3"/>
  </w:num>
  <w:num w:numId="28" w16cid:durableId="428350587">
    <w:abstractNumId w:val="2"/>
  </w:num>
  <w:num w:numId="29" w16cid:durableId="1930773725">
    <w:abstractNumId w:val="1"/>
  </w:num>
  <w:num w:numId="30" w16cid:durableId="1108768260">
    <w:abstractNumId w:val="0"/>
  </w:num>
  <w:num w:numId="31" w16cid:durableId="746849654">
    <w:abstractNumId w:val="9"/>
  </w:num>
  <w:num w:numId="32" w16cid:durableId="1112046145">
    <w:abstractNumId w:val="7"/>
  </w:num>
  <w:num w:numId="33" w16cid:durableId="1978099208">
    <w:abstractNumId w:val="6"/>
  </w:num>
  <w:num w:numId="34" w16cid:durableId="744962249">
    <w:abstractNumId w:val="5"/>
  </w:num>
  <w:num w:numId="35" w16cid:durableId="1281035024">
    <w:abstractNumId w:val="4"/>
  </w:num>
  <w:num w:numId="36" w16cid:durableId="1978223179">
    <w:abstractNumId w:val="8"/>
  </w:num>
  <w:num w:numId="37" w16cid:durableId="1613055703">
    <w:abstractNumId w:val="3"/>
  </w:num>
  <w:num w:numId="38" w16cid:durableId="732970540">
    <w:abstractNumId w:val="2"/>
  </w:num>
  <w:num w:numId="39" w16cid:durableId="995567272">
    <w:abstractNumId w:val="1"/>
  </w:num>
  <w:num w:numId="40" w16cid:durableId="735007684">
    <w:abstractNumId w:val="0"/>
  </w:num>
  <w:num w:numId="41" w16cid:durableId="877009346">
    <w:abstractNumId w:val="10"/>
  </w:num>
  <w:num w:numId="42" w16cid:durableId="797719820">
    <w:abstractNumId w:val="10"/>
  </w:num>
  <w:num w:numId="43" w16cid:durableId="2091006040">
    <w:abstractNumId w:val="10"/>
  </w:num>
  <w:num w:numId="44" w16cid:durableId="13425101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8A"/>
    <w:rsid w:val="00002272"/>
    <w:rsid w:val="00064002"/>
    <w:rsid w:val="000677B9"/>
    <w:rsid w:val="000831BA"/>
    <w:rsid w:val="000A42CC"/>
    <w:rsid w:val="000D506E"/>
    <w:rsid w:val="000E7DD9"/>
    <w:rsid w:val="0010095E"/>
    <w:rsid w:val="00125B37"/>
    <w:rsid w:val="00127CE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6EF2"/>
    <w:rsid w:val="005072A1"/>
    <w:rsid w:val="00514517"/>
    <w:rsid w:val="00545827"/>
    <w:rsid w:val="00560270"/>
    <w:rsid w:val="005C2568"/>
    <w:rsid w:val="005D4317"/>
    <w:rsid w:val="005F1B17"/>
    <w:rsid w:val="006037C0"/>
    <w:rsid w:val="006631B6"/>
    <w:rsid w:val="00680577"/>
    <w:rsid w:val="006F74FA"/>
    <w:rsid w:val="00731ADD"/>
    <w:rsid w:val="00734777"/>
    <w:rsid w:val="0074212B"/>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D8A"/>
    <w:rsid w:val="00981893"/>
    <w:rsid w:val="00984713"/>
    <w:rsid w:val="009C0EC3"/>
    <w:rsid w:val="00A1687D"/>
    <w:rsid w:val="00A43E52"/>
    <w:rsid w:val="00A45438"/>
    <w:rsid w:val="00A4678D"/>
    <w:rsid w:val="00A778C7"/>
    <w:rsid w:val="00AB441E"/>
    <w:rsid w:val="00AB6293"/>
    <w:rsid w:val="00AD7810"/>
    <w:rsid w:val="00AE0928"/>
    <w:rsid w:val="00AF3B82"/>
    <w:rsid w:val="00B12E95"/>
    <w:rsid w:val="00B22876"/>
    <w:rsid w:val="00B558F0"/>
    <w:rsid w:val="00BD48FE"/>
    <w:rsid w:val="00BD7BD8"/>
    <w:rsid w:val="00BE6ADC"/>
    <w:rsid w:val="00C05BFE"/>
    <w:rsid w:val="00C226E9"/>
    <w:rsid w:val="00C23CD4"/>
    <w:rsid w:val="00C61C0C"/>
    <w:rsid w:val="00C941CB"/>
    <w:rsid w:val="00CC108F"/>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0/2026"/>
    <w:docVar w:name="dvlangue" w:val="BG"/>
    <w:docVar w:name="dvnumam" w:val="0"/>
    <w:docVar w:name="dvpe" w:val="782.288"/>
    <w:docVar w:name="dvrapporteur" w:val="Докладчик: "/>
    <w:docVar w:name="dvtitre" w:val="Резолюция на Европейския парламент от ... 2026 г. относно доклада на Комисията за Грузия за 2025 г.(2025/2257(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8CDA1BA"/>
  <w15:chartTrackingRefBased/>
  <w15:docId w15:val="{C352D443-2706-4D10-B18E-9942E18E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D7810"/>
    <w:pPr>
      <w:widowControl/>
      <w:spacing w:after="240"/>
    </w:pPr>
    <w:rPr>
      <w:szCs w:val="24"/>
      <w:lang w:eastAsia="en-US"/>
    </w:rPr>
  </w:style>
  <w:style w:type="paragraph" w:customStyle="1" w:styleId="NormalHanging12a">
    <w:name w:val="NormalHanging12a"/>
    <w:basedOn w:val="Normal"/>
    <w:rsid w:val="00AD7810"/>
    <w:pPr>
      <w:widowControl/>
      <w:spacing w:after="240"/>
      <w:ind w:left="566" w:hanging="566"/>
    </w:pPr>
    <w:rPr>
      <w:szCs w:val="24"/>
      <w:lang w:eastAsia="en-US"/>
    </w:rPr>
  </w:style>
  <w:style w:type="paragraph" w:customStyle="1" w:styleId="Normal12">
    <w:name w:val="Normal12"/>
    <w:basedOn w:val="Normal"/>
    <w:rsid w:val="00AD7810"/>
    <w:pPr>
      <w:spacing w:after="240"/>
    </w:pPr>
    <w:rPr>
      <w:szCs w:val="24"/>
      <w:lang w:eastAsia="en-US"/>
    </w:rPr>
  </w:style>
  <w:style w:type="paragraph" w:customStyle="1" w:styleId="NormalHanging">
    <w:name w:val="NormalHanging"/>
    <w:basedOn w:val="Normal"/>
    <w:rsid w:val="00AD7810"/>
    <w:pPr>
      <w:spacing w:after="240"/>
      <w:ind w:left="566" w:hanging="566"/>
    </w:pPr>
    <w:rPr>
      <w:szCs w:val="24"/>
      <w:lang w:eastAsia="en-US"/>
    </w:rPr>
  </w:style>
  <w:style w:type="paragraph" w:customStyle="1" w:styleId="NormalCenter12a">
    <w:name w:val="NormalCenter12a"/>
    <w:basedOn w:val="Normal"/>
    <w:rsid w:val="00AD7810"/>
    <w:pPr>
      <w:widowControl/>
      <w:spacing w:after="240"/>
      <w:jc w:val="center"/>
    </w:pPr>
    <w:rPr>
      <w:szCs w:val="24"/>
      <w:lang w:eastAsia="en-US"/>
    </w:rPr>
  </w:style>
  <w:style w:type="character" w:styleId="Hyperlink">
    <w:name w:val="Hyperlink"/>
    <w:basedOn w:val="DefaultParagraphFont"/>
    <w:rsid w:val="00AD7810"/>
    <w:rPr>
      <w:color w:val="0000FF"/>
      <w:u w:val="single"/>
    </w:rPr>
  </w:style>
  <w:style w:type="paragraph" w:styleId="Revision">
    <w:name w:val="Revision"/>
    <w:hidden/>
    <w:uiPriority w:val="99"/>
    <w:semiHidden/>
    <w:rsid w:val="005D4317"/>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494/oj" TargetMode="External" /><Relationship Id="rId2" Type="http://schemas.openxmlformats.org/officeDocument/2006/relationships/hyperlink" Target="http://data.europa.eu/eli/reg/2025/2441/oj" TargetMode="External" /><Relationship Id="rId3" Type="http://schemas.openxmlformats.org/officeDocument/2006/relationships/hyperlink" Target="http://data.europa.eu/eli/dir/2024/176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8804</Words>
  <Characters>53855</Characters>
  <Application>Microsoft Office Word</Application>
  <DocSecurity>0</DocSecurity>
  <Lines>2154</Lines>
  <Paragraphs>435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2026-07-14T06:32:00Z</dcterms:created>
  <dcterms:modified xsi:type="dcterms:W3CDTF">2026-07-14T06:32:00Z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A10-0140/2026</vt:lpwstr>
  </property>
  <property fmtid="{D5CDD505-2E9C-101B-9397-08002B2CF9AE}" pid="4" name="&lt;Type&gt;">
    <vt:lpwstr>RR</vt:lpwstr>
  </property>
</Properties>
</file>