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21A9727" w14:textId="77777777" w:rsidTr="0010095E">
        <w:tblPrEx>
          <w:tblW w:w="9072" w:type="dxa"/>
          <w:tblLook w:val="01E0"/>
        </w:tblPrEx>
        <w:trPr>
          <w:trHeight w:hRule="exact" w:val="1418"/>
        </w:trPr>
        <w:tc>
          <w:tcPr>
            <w:tcW w:w="6804" w:type="dxa"/>
            <w:shd w:val="clear" w:color="auto" w:fill="auto"/>
            <w:vAlign w:val="center"/>
          </w:tcPr>
          <w:p w:rsidR="00751A4A" w:rsidRPr="00AA2406" w:rsidP="0010095E" w14:paraId="218992A4" w14:textId="77777777">
            <w:pPr>
              <w:pStyle w:val="EPName"/>
            </w:pPr>
            <w:r w:rsidRPr="00AA2406">
              <w:t>Europa-Parlamentet</w:t>
            </w:r>
          </w:p>
          <w:p w:rsidR="00751A4A" w:rsidRPr="00AA2406" w:rsidP="005F1B17" w14:paraId="35CB539A" w14:textId="4D428816">
            <w:pPr>
              <w:pStyle w:val="EPTerm"/>
              <w:rPr>
                <w:rStyle w:val="HideTWBExt"/>
                <w:noProof w:val="0"/>
                <w:vanish w:val="0"/>
                <w:color w:val="auto"/>
              </w:rPr>
            </w:pPr>
            <w:r w:rsidRPr="00AA2406">
              <w:t>2024</w:t>
            </w:r>
            <w:r w:rsidRPr="00AA2406" w:rsidR="00817416">
              <w:t>-</w:t>
            </w:r>
            <w:r w:rsidRPr="00AA2406">
              <w:t>2029</w:t>
            </w:r>
          </w:p>
        </w:tc>
        <w:tc>
          <w:tcPr>
            <w:tcW w:w="2268" w:type="dxa"/>
            <w:shd w:val="clear" w:color="auto" w:fill="auto"/>
          </w:tcPr>
          <w:p w:rsidR="00751A4A" w:rsidRPr="00AA2406" w:rsidP="0010095E" w14:paraId="5453135C" w14:textId="77777777">
            <w:pPr>
              <w:pStyle w:val="EPLogo"/>
            </w:pPr>
            <w:r w:rsidRPr="00AA24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A2406" w:rsidP="004C5D52" w14:paraId="212567C5" w14:textId="77777777">
      <w:pPr>
        <w:pStyle w:val="LineTop"/>
      </w:pPr>
    </w:p>
    <w:p w:rsidR="00680577" w:rsidRPr="00AA2406" w:rsidP="00680577" w14:paraId="330AB7AD" w14:textId="77777777">
      <w:pPr>
        <w:pStyle w:val="EPBodyTA1"/>
      </w:pPr>
      <w:r w:rsidRPr="00AA2406">
        <w:t>VEDTAGNE TEKSTER</w:t>
      </w:r>
    </w:p>
    <w:p w:rsidR="00D058B8" w:rsidRPr="00AA2406" w:rsidP="00D058B8" w14:paraId="3D3529C9" w14:textId="77777777">
      <w:pPr>
        <w:pStyle w:val="LineBottom"/>
      </w:pPr>
    </w:p>
    <w:p w:rsidR="00C22C94" w:rsidRPr="00AA2406" w:rsidP="00C22C94" w14:paraId="3B90D7DD" w14:textId="53455B14">
      <w:pPr>
        <w:pStyle w:val="ATHeading1"/>
      </w:pPr>
      <w:bookmarkStart w:id="0" w:name="TANumber"/>
      <w:r w:rsidRPr="00AA2406">
        <w:t>P</w:t>
      </w:r>
      <w:r w:rsidRPr="00AA2406" w:rsidR="008A1261">
        <w:t>10</w:t>
      </w:r>
      <w:r w:rsidRPr="00AA2406">
        <w:t>_</w:t>
      </w:r>
      <w:r w:rsidRPr="00AA2406">
        <w:t>TA(</w:t>
      </w:r>
      <w:r w:rsidRPr="00AA2406" w:rsidR="008A1261">
        <w:t>2026</w:t>
      </w:r>
      <w:r w:rsidRPr="00AA2406">
        <w:t>)</w:t>
      </w:r>
      <w:r w:rsidRPr="00AA2406" w:rsidR="008A1261">
        <w:t>0</w:t>
      </w:r>
      <w:r w:rsidR="00101F82">
        <w:t>222</w:t>
      </w:r>
      <w:bookmarkEnd w:id="0"/>
    </w:p>
    <w:p w:rsidR="00C22C94" w:rsidRPr="00AA2406" w:rsidP="00C22C94" w14:paraId="3EB61CF1" w14:textId="57623F6C">
      <w:pPr>
        <w:pStyle w:val="ATHeading2"/>
      </w:pPr>
      <w:bookmarkStart w:id="1" w:name="title"/>
      <w:r w:rsidRPr="00AA2406">
        <w:t xml:space="preserve">Kommissionens </w:t>
      </w:r>
      <w:r w:rsidRPr="00AA2406" w:rsidR="008A1261">
        <w:t>2025</w:t>
      </w:r>
      <w:r w:rsidRPr="00AA2406">
        <w:t>-rapport om Georgien</w:t>
      </w:r>
      <w:bookmarkEnd w:id="1"/>
    </w:p>
    <w:p w:rsidR="00C22C94" w:rsidRPr="00AA2406" w:rsidP="00C22C94" w14:paraId="6B81135A" w14:textId="6CA0995A">
      <w:pPr>
        <w:rPr>
          <w:i/>
          <w:vanish/>
        </w:rPr>
      </w:pPr>
      <w:r>
        <w:rPr>
          <w:i/>
        </w:rPr>
        <w:fldChar w:fldCharType="begin"/>
      </w:r>
      <w:r w:rsidRPr="00AA2406">
        <w:rPr>
          <w:i/>
        </w:rPr>
        <w:instrText xml:space="preserve"> TC"(</w:instrText>
      </w:r>
      <w:bookmarkStart w:id="2" w:name="DocNumber"/>
      <w:r w:rsidRPr="00AA2406">
        <w:rPr>
          <w:i/>
        </w:rPr>
        <w:instrText>A</w:instrText>
      </w:r>
      <w:r w:rsidRPr="00AA2406" w:rsidR="008A1261">
        <w:rPr>
          <w:i/>
        </w:rPr>
        <w:instrText>10</w:instrText>
      </w:r>
      <w:r w:rsidRPr="00AA2406">
        <w:rPr>
          <w:i/>
        </w:rPr>
        <w:instrText>-</w:instrText>
      </w:r>
      <w:r w:rsidRPr="00AA2406" w:rsidR="008A1261">
        <w:rPr>
          <w:i/>
        </w:rPr>
        <w:instrText>0140</w:instrText>
      </w:r>
      <w:r w:rsidRPr="00AA2406">
        <w:rPr>
          <w:i/>
        </w:rPr>
        <w:instrText>/</w:instrText>
      </w:r>
      <w:r w:rsidRPr="00AA2406" w:rsidR="008A1261">
        <w:rPr>
          <w:i/>
        </w:rPr>
        <w:instrText>20</w:instrText>
      </w:r>
      <w:bookmarkEnd w:id="2"/>
      <w:r w:rsidRPr="00AA2406" w:rsidR="008A1261">
        <w:rPr>
          <w:i/>
        </w:rPr>
        <w:instrText>26</w:instrText>
      </w:r>
      <w:r w:rsidRPr="00AA2406">
        <w:rPr>
          <w:i/>
        </w:rPr>
        <w:instrText xml:space="preserve"> - Ordfører: Rasa </w:instrText>
      </w:r>
      <w:r w:rsidRPr="00AA2406">
        <w:rPr>
          <w:i/>
        </w:rPr>
        <w:instrText>Juknevičienė</w:instrText>
      </w:r>
      <w:r w:rsidRPr="00AA2406">
        <w:rPr>
          <w:i/>
        </w:rPr>
        <w:instrText>)"\l</w:instrText>
      </w:r>
      <w:r w:rsidRPr="00AA2406" w:rsidR="008A1261">
        <w:rPr>
          <w:i/>
        </w:rPr>
        <w:instrText>3</w:instrText>
      </w:r>
      <w:r w:rsidRPr="00AA2406">
        <w:rPr>
          <w:i/>
        </w:rPr>
        <w:instrText xml:space="preserve"> \n&gt; \* MERGEFORMAT </w:instrText>
      </w:r>
      <w:r>
        <w:rPr>
          <w:i/>
        </w:rPr>
        <w:fldChar w:fldCharType="end"/>
      </w:r>
    </w:p>
    <w:p w:rsidR="00C22C94" w:rsidRPr="00AA2406" w:rsidP="00C22C94" w14:paraId="51D060AD" w14:textId="77777777">
      <w:pPr>
        <w:rPr>
          <w:vanish/>
        </w:rPr>
      </w:pPr>
      <w:bookmarkStart w:id="3" w:name="Commission"/>
      <w:r w:rsidRPr="00AA2406">
        <w:rPr>
          <w:vanish/>
        </w:rPr>
        <w:t>Udenrigsudvalget</w:t>
      </w:r>
      <w:bookmarkEnd w:id="3"/>
    </w:p>
    <w:p w:rsidR="00C22C94" w:rsidRPr="00AA2406" w:rsidP="00C22C94" w14:paraId="4219A5CA" w14:textId="018EC3DB">
      <w:pPr>
        <w:rPr>
          <w:vanish/>
        </w:rPr>
      </w:pPr>
      <w:bookmarkStart w:id="4" w:name="PE"/>
      <w:r w:rsidRPr="00AA2406">
        <w:rPr>
          <w:vanish/>
        </w:rPr>
        <w:t>PE</w:t>
      </w:r>
      <w:r w:rsidRPr="00AA2406" w:rsidR="008A1261">
        <w:rPr>
          <w:vanish/>
        </w:rPr>
        <w:t>782</w:t>
      </w:r>
      <w:r w:rsidRPr="00AA2406">
        <w:rPr>
          <w:vanish/>
        </w:rPr>
        <w:t>.</w:t>
      </w:r>
      <w:r w:rsidRPr="00AA2406" w:rsidR="008A1261">
        <w:rPr>
          <w:vanish/>
        </w:rPr>
        <w:t>2</w:t>
      </w:r>
      <w:bookmarkEnd w:id="4"/>
      <w:r w:rsidRPr="00AA2406" w:rsidR="008A1261">
        <w:rPr>
          <w:vanish/>
        </w:rPr>
        <w:t>88</w:t>
      </w:r>
    </w:p>
    <w:p w:rsidR="00C22C94" w:rsidRPr="00AA2406" w:rsidP="00C22C94" w14:paraId="6CFA0129" w14:textId="71F6BD81">
      <w:pPr>
        <w:pStyle w:val="ATHeading3"/>
      </w:pPr>
      <w:bookmarkStart w:id="5" w:name="Sujet"/>
      <w:r w:rsidRPr="00AA2406">
        <w:t xml:space="preserve">Europa-Parlamentets beslutning af </w:t>
      </w:r>
      <w:r w:rsidRPr="00AA2406" w:rsidR="008A1261">
        <w:t>17</w:t>
      </w:r>
      <w:r w:rsidRPr="00AA2406">
        <w:t xml:space="preserve">. juni </w:t>
      </w:r>
      <w:r w:rsidRPr="00AA2406" w:rsidR="008A1261">
        <w:t>2026</w:t>
      </w:r>
      <w:r w:rsidRPr="00AA2406">
        <w:t xml:space="preserve"> om Kommissionens </w:t>
      </w:r>
      <w:r w:rsidRPr="00AA2406" w:rsidR="008A1261">
        <w:t>2025</w:t>
      </w:r>
      <w:r w:rsidRPr="00AA2406">
        <w:t>-rapport om Georgien</w:t>
      </w:r>
      <w:bookmarkEnd w:id="5"/>
      <w:r w:rsidRPr="00AA2406">
        <w:t xml:space="preserve"> </w:t>
      </w:r>
      <w:bookmarkStart w:id="6" w:name="References"/>
      <w:r w:rsidRPr="00AA2406">
        <w:t>(</w:t>
      </w:r>
      <w:r w:rsidRPr="00AA2406" w:rsidR="008A1261">
        <w:t>2025</w:t>
      </w:r>
      <w:r w:rsidRPr="00AA2406">
        <w:t>/</w:t>
      </w:r>
      <w:r w:rsidRPr="00AA2406" w:rsidR="008A1261">
        <w:t>2257</w:t>
      </w:r>
      <w:r w:rsidRPr="00AA2406">
        <w:t>(INI))</w:t>
      </w:r>
      <w:bookmarkEnd w:id="6"/>
    </w:p>
    <w:p w:rsidR="00E31D38" w:rsidRPr="00D06910" w:rsidP="00D06910" w14:paraId="3FDC368C" w14:textId="77777777">
      <w:pPr>
        <w:pStyle w:val="Normal12"/>
        <w:spacing w:before="480"/>
        <w:rPr>
          <w:i/>
          <w:iCs/>
        </w:rPr>
      </w:pPr>
      <w:r w:rsidRPr="00D06910">
        <w:rPr>
          <w:i/>
          <w:iCs/>
        </w:rPr>
        <w:t>Europa-Parlamentet,</w:t>
      </w:r>
    </w:p>
    <w:p w:rsidR="00E31D38" w:rsidRPr="00AA2406" w:rsidP="00E31D38" w14:paraId="7E257C36" w14:textId="2FCC863D">
      <w:pPr>
        <w:pStyle w:val="NormalHanging"/>
      </w:pPr>
      <w:r w:rsidRPr="00AA2406">
        <w:t>–</w:t>
      </w:r>
      <w:r w:rsidRPr="00AA2406">
        <w:tab/>
        <w:t xml:space="preserve">der henviser til Kommissionens meddelelse af </w:t>
      </w:r>
      <w:r w:rsidRPr="00AA2406" w:rsidR="008A1261">
        <w:t>4</w:t>
      </w:r>
      <w:r w:rsidRPr="00AA2406">
        <w:t xml:space="preserve">. november </w:t>
      </w:r>
      <w:r w:rsidRPr="00AA2406" w:rsidR="008A1261">
        <w:t>2025</w:t>
      </w:r>
      <w:r w:rsidRPr="00AA2406">
        <w:t xml:space="preserve"> med titlen "Meddelelse om EU's udvidelsespolitik </w:t>
      </w:r>
      <w:r w:rsidRPr="00AA2406" w:rsidR="008A1261">
        <w:t>2025</w:t>
      </w:r>
      <w:r w:rsidRPr="00AA2406">
        <w:t>" (</w:t>
      </w:r>
      <w:r w:rsidRPr="00D06910" w:rsidR="00A51CBC">
        <w:t>COM(</w:t>
      </w:r>
      <w:r w:rsidRPr="00D06910" w:rsidR="008A1261">
        <w:t>2025</w:t>
      </w:r>
      <w:r w:rsidRPr="00D06910" w:rsidR="00A51CBC">
        <w:t>)</w:t>
      </w:r>
      <w:r w:rsidRPr="00D06910" w:rsidR="008A1261">
        <w:t>0690</w:t>
      </w:r>
      <w:r w:rsidRPr="00AA2406">
        <w:t xml:space="preserve">), som blev ledsaget af et arbejdsdokument fra Kommissionens tjenestegrene med titlen "Georgia </w:t>
      </w:r>
      <w:r w:rsidRPr="00AA2406" w:rsidR="008A1261">
        <w:t>2025</w:t>
      </w:r>
      <w:r w:rsidRPr="00AA2406">
        <w:t xml:space="preserve"> Report" (Rapport om Georgien for </w:t>
      </w:r>
      <w:r w:rsidRPr="00AA2406" w:rsidR="008A1261">
        <w:t>2025</w:t>
      </w:r>
      <w:r w:rsidRPr="00AA2406">
        <w:t>) (SWD(</w:t>
      </w:r>
      <w:r w:rsidRPr="00AA2406" w:rsidR="008A1261">
        <w:t>2025</w:t>
      </w:r>
      <w:r w:rsidRPr="00AA2406">
        <w:t>)</w:t>
      </w:r>
      <w:r w:rsidRPr="00AA2406" w:rsidR="008A1261">
        <w:t>0757</w:t>
      </w:r>
      <w:r w:rsidRPr="00AA2406">
        <w:t>),</w:t>
      </w:r>
    </w:p>
    <w:p w:rsidR="00E31D38" w:rsidRPr="00AA2406" w:rsidP="00E31D38" w14:paraId="7F1B1E45" w14:textId="13DAC2A2">
      <w:pPr>
        <w:pStyle w:val="NormalHanging"/>
      </w:pPr>
      <w:r w:rsidRPr="00AA2406">
        <w:t>–</w:t>
      </w:r>
      <w:r w:rsidRPr="00AA2406">
        <w:tab/>
        <w:t>der henviser til associeringsaftalen mellem Den Europæiske Union og Det Europæiske Atomenergifællesskab og deres medlemsstater på den ene side og Georgien på den anden side</w:t>
      </w:r>
      <w:r>
        <w:rPr>
          <w:rStyle w:val="FootnoteReference"/>
        </w:rPr>
        <w:footnoteReference w:id="2"/>
      </w:r>
      <w:r w:rsidRPr="00AA2406">
        <w:t>,</w:t>
      </w:r>
    </w:p>
    <w:p w:rsidR="00E31D38" w:rsidRPr="00AA2406" w:rsidP="00E31D38" w14:paraId="4E654A9B" w14:textId="5E1FEB2F">
      <w:pPr>
        <w:pStyle w:val="NormalHanging"/>
      </w:pPr>
      <w:r w:rsidRPr="00AA2406">
        <w:t>–</w:t>
      </w:r>
      <w:r w:rsidRPr="00AA2406">
        <w:tab/>
        <w:t xml:space="preserve">der henviser til Europa-Parlamentets og Rådets forordning (EU) </w:t>
      </w:r>
      <w:r w:rsidRPr="00AA2406" w:rsidR="008A1261">
        <w:t>2025</w:t>
      </w:r>
      <w:r w:rsidRPr="00AA2406">
        <w:t>/</w:t>
      </w:r>
      <w:r w:rsidRPr="00AA2406" w:rsidR="008A1261">
        <w:t>2441</w:t>
      </w:r>
      <w:r w:rsidRPr="00AA2406">
        <w:t xml:space="preserve"> af </w:t>
      </w:r>
      <w:r w:rsidRPr="00AA2406" w:rsidR="008A1261">
        <w:t>26</w:t>
      </w:r>
      <w:r w:rsidRPr="00AA2406">
        <w:t xml:space="preserve">. november </w:t>
      </w:r>
      <w:r w:rsidRPr="00AA2406" w:rsidR="008A1261">
        <w:t>2025</w:t>
      </w:r>
      <w:r w:rsidRPr="00AA2406">
        <w:t xml:space="preserve"> om ændring af forordning (EU) </w:t>
      </w:r>
      <w:r w:rsidRPr="00AA2406" w:rsidR="008A1261">
        <w:t>2018</w:t>
      </w:r>
      <w:r w:rsidRPr="00AA2406">
        <w:t>/</w:t>
      </w:r>
      <w:r w:rsidRPr="00AA2406" w:rsidR="008A1261">
        <w:t>1806</w:t>
      </w:r>
      <w:r w:rsidRPr="00AA2406">
        <w:t xml:space="preserve"> for så vidt angår revision af suspensionsmekanismen</w:t>
      </w:r>
      <w:r>
        <w:rPr>
          <w:rStyle w:val="FootnoteReference"/>
        </w:rPr>
        <w:footnoteReference w:id="3"/>
      </w:r>
    </w:p>
    <w:p w:rsidR="00E31D38" w:rsidRPr="00AA2406" w:rsidP="00E31D38" w14:paraId="1EEBFACC" w14:textId="0538194C">
      <w:pPr>
        <w:pStyle w:val="NormalHanging"/>
      </w:pPr>
      <w:r w:rsidRPr="00AA2406">
        <w:t>–</w:t>
      </w:r>
      <w:r w:rsidRPr="00AA2406">
        <w:tab/>
        <w:t xml:space="preserve">der henviser til artikel </w:t>
      </w:r>
      <w:r w:rsidRPr="00AA2406" w:rsidR="008A1261">
        <w:t>78</w:t>
      </w:r>
      <w:r w:rsidRPr="00AA2406">
        <w:t xml:space="preserve"> i Georgiens forfatning, som kræver, at der træffes enhver mulig foranstaltning for at sikre Georgiens fuldstændige integration i EU og NATO,</w:t>
      </w:r>
    </w:p>
    <w:p w:rsidR="00E31D38" w:rsidRPr="00AA2406" w:rsidP="00E31D38" w14:paraId="5E011975" w14:textId="58391B43">
      <w:pPr>
        <w:pStyle w:val="NormalHanging"/>
      </w:pPr>
      <w:r w:rsidRPr="00AA2406">
        <w:t>–</w:t>
      </w:r>
      <w:r w:rsidRPr="00AA2406">
        <w:tab/>
        <w:t xml:space="preserve">der henviser til den hasteudtalelse om ændringerne af Georgiens lov om retsstridige forhold og Georgiens straffelov, som kom fra Kontoret for Demokratiske Institutioner og Menneskerettigheder (ODIHR) under Organisationen for Sikkerhed og Samarbejde i Europa (OSCE), der blev vedtaget den </w:t>
      </w:r>
      <w:r w:rsidRPr="00AA2406" w:rsidR="008A1261">
        <w:t>12</w:t>
      </w:r>
      <w:r w:rsidRPr="00AA2406">
        <w:t xml:space="preserve">. november </w:t>
      </w:r>
      <w:r w:rsidRPr="00AA2406" w:rsidR="008A1261">
        <w:t>2025</w:t>
      </w:r>
      <w:r w:rsidRPr="00AA2406">
        <w:t>,</w:t>
      </w:r>
    </w:p>
    <w:p w:rsidR="00E31D38" w:rsidRPr="00AA2406" w:rsidP="00E31D38" w14:paraId="6B3A83EE" w14:textId="77777777">
      <w:pPr>
        <w:pStyle w:val="NormalHanging"/>
      </w:pPr>
      <w:r w:rsidRPr="00AA2406">
        <w:t>–</w:t>
      </w:r>
      <w:r w:rsidRPr="00AA2406">
        <w:tab/>
        <w:t>der henviser til den europæiske menneskerettighedskonvention, som Georgien er part i,</w:t>
      </w:r>
    </w:p>
    <w:p w:rsidR="00E31D38" w:rsidRPr="00AA2406" w:rsidP="00E31D38" w14:paraId="3EE426EA" w14:textId="77777777">
      <w:pPr>
        <w:pStyle w:val="NormalHanging"/>
      </w:pPr>
      <w:r w:rsidRPr="00AA2406">
        <w:t>–</w:t>
      </w:r>
      <w:r w:rsidRPr="00AA2406">
        <w:tab/>
        <w:t>der henviser til Kommissionens tidligere udvidelsesrapporter om Georgien,</w:t>
      </w:r>
    </w:p>
    <w:p w:rsidR="00E31D38" w:rsidRPr="00AA2406" w:rsidP="00E31D38" w14:paraId="51B5B6C0" w14:textId="4938F15A">
      <w:pPr>
        <w:pStyle w:val="NormalHanging"/>
      </w:pPr>
      <w:r w:rsidRPr="00AA2406">
        <w:t>–</w:t>
      </w:r>
      <w:r w:rsidRPr="00AA2406">
        <w:tab/>
        <w:t xml:space="preserve">der henviser til "Freedom in the World </w:t>
      </w:r>
      <w:r w:rsidRPr="00AA2406" w:rsidR="008A1261">
        <w:t>2025</w:t>
      </w:r>
      <w:r w:rsidRPr="00AA2406">
        <w:t xml:space="preserve">"-rapporten, som er offentliggjort af </w:t>
      </w:r>
      <w:r w:rsidRPr="00AA2406">
        <w:t>Freedom House,</w:t>
      </w:r>
    </w:p>
    <w:p w:rsidR="00E31D38" w:rsidRPr="00AA2406" w:rsidP="00E31D38" w14:paraId="4330B220" w14:textId="2587367C">
      <w:pPr>
        <w:pStyle w:val="NormalHanging"/>
      </w:pPr>
      <w:r w:rsidRPr="00AA2406">
        <w:t>–</w:t>
      </w:r>
      <w:r w:rsidRPr="00AA2406">
        <w:tab/>
        <w:t xml:space="preserve">der henviser til World Justice Project </w:t>
      </w:r>
      <w:r w:rsidRPr="00AA2406">
        <w:t>Rule</w:t>
      </w:r>
      <w:r w:rsidRPr="00AA2406">
        <w:t xml:space="preserve"> of Law Index </w:t>
      </w:r>
      <w:r w:rsidRPr="00AA2406" w:rsidR="008A1261">
        <w:t>2025</w:t>
      </w:r>
      <w:r w:rsidRPr="00AA2406">
        <w:t>,</w:t>
      </w:r>
    </w:p>
    <w:p w:rsidR="00E31D38" w:rsidRPr="00AA2406" w:rsidP="00E31D38" w14:paraId="3E2E4F51" w14:textId="05927C0C">
      <w:pPr>
        <w:pStyle w:val="NormalHanging"/>
      </w:pPr>
      <w:r w:rsidRPr="00AA2406">
        <w:t>–</w:t>
      </w:r>
      <w:r w:rsidRPr="00AA2406">
        <w:tab/>
        <w:t xml:space="preserve">der henviser til </w:t>
      </w:r>
      <w:r w:rsidRPr="00AA2406">
        <w:t>Transparency</w:t>
      </w:r>
      <w:r w:rsidRPr="00AA2406">
        <w:t xml:space="preserve"> </w:t>
      </w:r>
      <w:r w:rsidRPr="00AA2406">
        <w:t>Internationals</w:t>
      </w:r>
      <w:r w:rsidRPr="00AA2406">
        <w:t xml:space="preserve"> korruptionsindeks for </w:t>
      </w:r>
      <w:r w:rsidRPr="00AA2406" w:rsidR="008A1261">
        <w:t>2025</w:t>
      </w:r>
      <w:r w:rsidRPr="00AA2406">
        <w:t>,</w:t>
      </w:r>
    </w:p>
    <w:p w:rsidR="00E31D38" w:rsidRPr="00AA2406" w:rsidP="00E31D38" w14:paraId="11A59A2A" w14:textId="1B730654">
      <w:pPr>
        <w:pStyle w:val="NormalHanging"/>
      </w:pPr>
      <w:r w:rsidRPr="00AA2406">
        <w:t>–</w:t>
      </w:r>
      <w:r w:rsidRPr="00AA2406">
        <w:tab/>
        <w:t xml:space="preserve">der henviser til rapporten fra </w:t>
      </w:r>
      <w:r w:rsidRPr="00AA2406">
        <w:t>OSCE's</w:t>
      </w:r>
      <w:r w:rsidRPr="00AA2406">
        <w:t xml:space="preserve"> undersøgelsesmission om Georgien (</w:t>
      </w:r>
      <w:r w:rsidRPr="00AA2406" w:rsidR="008A1261">
        <w:t>2026</w:t>
      </w:r>
      <w:r w:rsidRPr="00AA2406">
        <w:t xml:space="preserve">) i henhold til punkt </w:t>
      </w:r>
      <w:r w:rsidRPr="00AA2406" w:rsidR="008A1261">
        <w:t>12</w:t>
      </w:r>
      <w:r w:rsidRPr="00AA2406">
        <w:t xml:space="preserve"> i Moskvamekanismens dokument med titlen "Developments in Georgia in </w:t>
      </w:r>
      <w:r w:rsidRPr="00AA2406">
        <w:t>Respect</w:t>
      </w:r>
      <w:r w:rsidRPr="00AA2406">
        <w:t xml:space="preserve"> of Human Rights and Fundamental Freedoms </w:t>
      </w:r>
      <w:r w:rsidRPr="00AA2406">
        <w:t>since</w:t>
      </w:r>
      <w:r w:rsidRPr="00AA2406">
        <w:t xml:space="preserve"> Spring </w:t>
      </w:r>
      <w:r w:rsidRPr="00AA2406" w:rsidR="008A1261">
        <w:t>2024</w:t>
      </w:r>
      <w:r w:rsidRPr="00AA2406">
        <w:t>",</w:t>
      </w:r>
    </w:p>
    <w:p w:rsidR="00E31D38" w:rsidRPr="00AA2406" w:rsidP="00E31D38" w14:paraId="1917F887" w14:textId="482D805B">
      <w:pPr>
        <w:pStyle w:val="NormalHanging"/>
      </w:pPr>
      <w:r w:rsidRPr="00AA2406">
        <w:t>–</w:t>
      </w:r>
      <w:r w:rsidRPr="00AA2406">
        <w:tab/>
        <w:t xml:space="preserve">der henviser til konklusioner fra formandskabet for Rådet af </w:t>
      </w:r>
      <w:r w:rsidRPr="00AA2406" w:rsidR="008A1261">
        <w:t>16</w:t>
      </w:r>
      <w:r w:rsidRPr="00AA2406">
        <w:t xml:space="preserve">. december </w:t>
      </w:r>
      <w:r w:rsidRPr="00AA2406" w:rsidR="008A1261">
        <w:t>2025</w:t>
      </w:r>
      <w:r w:rsidRPr="00AA2406">
        <w:t xml:space="preserve"> om udvidelse,</w:t>
      </w:r>
    </w:p>
    <w:p w:rsidR="00E31D38" w:rsidRPr="00AA2406" w:rsidP="00E31D38" w14:paraId="47A62085" w14:textId="4C51A242">
      <w:pPr>
        <w:pStyle w:val="NormalHanging"/>
      </w:pPr>
      <w:r w:rsidRPr="00AA2406">
        <w:t>–</w:t>
      </w:r>
      <w:r w:rsidRPr="00AA2406">
        <w:tab/>
        <w:t xml:space="preserve">der henviser til udtalelsen om loven om registrering af udenlandske agenter, ændringerne af loven om tilskud og andre love vedrørende "udenlandsk indflydelse", som blev vedtaget af Venedigkommissionen den </w:t>
      </w:r>
      <w:r w:rsidRPr="00AA2406" w:rsidR="008A1261">
        <w:t>9</w:t>
      </w:r>
      <w:r w:rsidRPr="00AA2406">
        <w:t>.-</w:t>
      </w:r>
      <w:r w:rsidRPr="00AA2406" w:rsidR="008A1261">
        <w:t>10</w:t>
      </w:r>
      <w:r w:rsidRPr="00AA2406">
        <w:t xml:space="preserve">. oktober </w:t>
      </w:r>
      <w:r w:rsidRPr="00AA2406" w:rsidR="008A1261">
        <w:t>2025</w:t>
      </w:r>
      <w:r w:rsidRPr="00AA2406">
        <w:t>,</w:t>
      </w:r>
    </w:p>
    <w:p w:rsidR="00E31D38" w:rsidRPr="00AA2406" w:rsidP="00E31D38" w14:paraId="4B3A611D" w14:textId="77777777">
      <w:pPr>
        <w:pStyle w:val="NormalHanging"/>
      </w:pPr>
      <w:r w:rsidRPr="00AA2406">
        <w:t>–</w:t>
      </w:r>
      <w:r w:rsidRPr="00AA2406">
        <w:tab/>
        <w:t>der henviser til sine tidligere beslutninger om Georgien,</w:t>
      </w:r>
    </w:p>
    <w:p w:rsidR="00E31D38" w:rsidRPr="00AA2406" w:rsidP="00E31D38" w14:paraId="19AC645D" w14:textId="2493DC63">
      <w:pPr>
        <w:pStyle w:val="NormalHanging"/>
      </w:pPr>
      <w:r w:rsidRPr="00AA2406">
        <w:t>–</w:t>
      </w:r>
      <w:r w:rsidRPr="00AA2406">
        <w:tab/>
        <w:t xml:space="preserve">der henviser til sin beslutning af </w:t>
      </w:r>
      <w:r w:rsidRPr="00AA2406" w:rsidR="008A1261">
        <w:t>11</w:t>
      </w:r>
      <w:r w:rsidRPr="00AA2406">
        <w:t xml:space="preserve">. marts </w:t>
      </w:r>
      <w:r w:rsidRPr="00AA2406" w:rsidR="008A1261">
        <w:t>2026</w:t>
      </w:r>
      <w:r w:rsidRPr="00AA2406">
        <w:t xml:space="preserve"> om EU's udvidelsesstrategi</w:t>
      </w:r>
      <w:r>
        <w:rPr>
          <w:rStyle w:val="FootnoteReference"/>
        </w:rPr>
        <w:footnoteReference w:id="4"/>
      </w:r>
      <w:r w:rsidRPr="00AA2406">
        <w:t>,</w:t>
      </w:r>
    </w:p>
    <w:p w:rsidR="00E31D38" w:rsidRPr="00AA2406" w:rsidP="00E31D38" w14:paraId="0592FA90" w14:textId="422819C3">
      <w:pPr>
        <w:pStyle w:val="NormalHanging"/>
      </w:pPr>
      <w:r w:rsidRPr="00AA2406">
        <w:t>–</w:t>
      </w:r>
      <w:r w:rsidRPr="00AA2406">
        <w:tab/>
        <w:t>der henviser til forretningsordenens artikel </w:t>
      </w:r>
      <w:r w:rsidRPr="00AA2406" w:rsidR="008A1261">
        <w:t>55</w:t>
      </w:r>
      <w:r w:rsidRPr="00AA2406">
        <w:t>,</w:t>
      </w:r>
    </w:p>
    <w:p w:rsidR="00E31D38" w:rsidRPr="00AA2406" w:rsidP="00E31D38" w14:paraId="72A31152" w14:textId="65B5CEA2">
      <w:pPr>
        <w:pStyle w:val="NormalHanging"/>
      </w:pPr>
      <w:r w:rsidRPr="00AA2406">
        <w:t>–</w:t>
      </w:r>
      <w:r w:rsidRPr="00AA2406">
        <w:tab/>
        <w:t>der henviser til betænkning fra Udenrigsudvalget (A</w:t>
      </w:r>
      <w:r w:rsidRPr="00AA2406" w:rsidR="008A1261">
        <w:t>10</w:t>
      </w:r>
      <w:r w:rsidRPr="00AA2406">
        <w:t>-</w:t>
      </w:r>
      <w:r w:rsidRPr="00AA2406" w:rsidR="008A1261">
        <w:t>0140</w:t>
      </w:r>
      <w:r w:rsidRPr="00AA2406">
        <w:t>/</w:t>
      </w:r>
      <w:r w:rsidRPr="00AA2406" w:rsidR="008A1261">
        <w:t>2026</w:t>
      </w:r>
      <w:r w:rsidRPr="00AA2406">
        <w:t>),</w:t>
      </w:r>
    </w:p>
    <w:p w:rsidR="00E31D38" w:rsidRPr="00AA2406" w:rsidP="00E31D38" w14:paraId="74DC5AAA" w14:textId="308ADCA2">
      <w:pPr>
        <w:pStyle w:val="NormalHanging"/>
      </w:pPr>
      <w:r w:rsidRPr="00AA2406">
        <w:t>A.</w:t>
      </w:r>
      <w:r w:rsidRPr="00AA2406">
        <w:tab/>
        <w:t xml:space="preserve">der henviser til, at Georgien ansøgte om EU-medlemskab den </w:t>
      </w:r>
      <w:r w:rsidRPr="00AA2406" w:rsidR="008A1261">
        <w:t>3</w:t>
      </w:r>
      <w:r w:rsidRPr="00AA2406">
        <w:t xml:space="preserve">. marts </w:t>
      </w:r>
      <w:r w:rsidRPr="00AA2406" w:rsidR="008A1261">
        <w:t>2022</w:t>
      </w:r>
      <w:r w:rsidRPr="00AA2406">
        <w:t xml:space="preserve">; der henviser til, at Det Europæiske Råd på sit møde den </w:t>
      </w:r>
      <w:r w:rsidRPr="00AA2406" w:rsidR="008A1261">
        <w:t>14</w:t>
      </w:r>
      <w:r w:rsidRPr="00AA2406">
        <w:t>.-</w:t>
      </w:r>
      <w:r w:rsidRPr="00AA2406" w:rsidR="008A1261">
        <w:t>15</w:t>
      </w:r>
      <w:r w:rsidRPr="00AA2406">
        <w:t xml:space="preserve">. december </w:t>
      </w:r>
      <w:r w:rsidRPr="00AA2406" w:rsidR="008A1261">
        <w:t>2023</w:t>
      </w:r>
      <w:r w:rsidRPr="00AA2406">
        <w:t xml:space="preserve"> tildelte Georgien status som kandidatland, under forudsætning af at de relevante skridt, der er fastsat i Kommissionens henstilling af </w:t>
      </w:r>
      <w:r w:rsidRPr="00AA2406" w:rsidR="008A1261">
        <w:t>8</w:t>
      </w:r>
      <w:r w:rsidRPr="00AA2406">
        <w:t xml:space="preserve">. november </w:t>
      </w:r>
      <w:r w:rsidRPr="00AA2406" w:rsidR="008A1261">
        <w:t>2023</w:t>
      </w:r>
      <w:r w:rsidRPr="00AA2406">
        <w:t xml:space="preserve">, ville blive taget; der henviser til, at Georgiens tiltrædelsesproces i praksis reelt har været suspenderet siden </w:t>
      </w:r>
      <w:r w:rsidRPr="00AA2406" w:rsidR="008A1261">
        <w:t>2024</w:t>
      </w:r>
      <w:r w:rsidRPr="00AA2406">
        <w:t>;</w:t>
      </w:r>
    </w:p>
    <w:p w:rsidR="00E31D38" w:rsidRPr="00AA2406" w:rsidP="00E31D38" w14:paraId="448F30E8" w14:textId="5744F5E9">
      <w:pPr>
        <w:pStyle w:val="NormalHanging"/>
      </w:pPr>
      <w:r w:rsidRPr="00AA2406">
        <w:t>B.</w:t>
      </w:r>
      <w:r w:rsidRPr="00AA2406">
        <w:tab/>
        <w:t xml:space="preserve">der henviser til, at Kommissionen kun betragter Georgien som et kandidatland af navn på grund af Det Europæiske Råds konklusioner af </w:t>
      </w:r>
      <w:r w:rsidRPr="00AA2406" w:rsidR="008A1261">
        <w:t>19</w:t>
      </w:r>
      <w:r w:rsidRPr="00AA2406">
        <w:t xml:space="preserve">. december </w:t>
      </w:r>
      <w:r w:rsidRPr="00AA2406" w:rsidR="008A1261">
        <w:t>2024</w:t>
      </w:r>
      <w:r w:rsidRPr="00AA2406">
        <w:t xml:space="preserve">, hvori det blev konstateret, at den georgiske myndigheders handlinger de facto har ført til et stop i </w:t>
      </w:r>
      <w:r w:rsidRPr="00AA2406">
        <w:t>førtiltrædelsesprocessen</w:t>
      </w:r>
      <w:r w:rsidRPr="00AA2406">
        <w:t>, og i lyset af Georgiens fortsatte og alvorlige tilbageskridt med hensyn til grundprincipperne siden da;</w:t>
      </w:r>
    </w:p>
    <w:p w:rsidR="00E31D38" w:rsidRPr="00AA2406" w:rsidP="00E31D38" w14:paraId="44540594" w14:textId="29F2113F">
      <w:pPr>
        <w:pStyle w:val="NormalHanging"/>
      </w:pPr>
      <w:r w:rsidRPr="00AA2406">
        <w:t>C.</w:t>
      </w:r>
      <w:r w:rsidRPr="00AA2406">
        <w:tab/>
        <w:t xml:space="preserve">der henviser til, at kommissær Marta Kos med rette beskrev Kommissionens rapport om Georgien fra </w:t>
      </w:r>
      <w:r w:rsidRPr="00AA2406" w:rsidR="008A1261">
        <w:t>2025</w:t>
      </w:r>
      <w:r w:rsidRPr="00AA2406">
        <w:t xml:space="preserve"> som "den værste rapport, der nogensinde er udarbejdet for et kandidatland";</w:t>
      </w:r>
    </w:p>
    <w:p w:rsidR="00E31D38" w:rsidRPr="00AA2406" w:rsidP="00E31D38" w14:paraId="6666DBAD" w14:textId="77777777">
      <w:pPr>
        <w:pStyle w:val="NormalHanging"/>
      </w:pPr>
      <w:r w:rsidRPr="00AA2406">
        <w:t>D.</w:t>
      </w:r>
      <w:r w:rsidRPr="00AA2406">
        <w:tab/>
        <w:t>der henviser til, at situationen i Georgien fortsat er blevet dramatisk forværret med yderligere tilbageskridt med hensyn til demokrati, menneskerettigheder og retsstatsprincippet som følge af Den Georgiske Drøms handlinger; der henviser til, at undertrykkelsesmetoder, desinformationskampagner og politisk chikane afspejler russiske hybride taktikker;</w:t>
      </w:r>
    </w:p>
    <w:p w:rsidR="00E31D38" w:rsidRPr="00AA2406" w:rsidP="00E31D38" w14:paraId="13065EAE" w14:textId="714DAA12">
      <w:pPr>
        <w:pStyle w:val="NormalHanging"/>
      </w:pPr>
      <w:r w:rsidRPr="00AA2406">
        <w:t>E.</w:t>
      </w:r>
      <w:r w:rsidRPr="00AA2406">
        <w:tab/>
        <w:t xml:space="preserve">der henviser til, at </w:t>
      </w:r>
      <w:r w:rsidRPr="00AA2406" w:rsidR="008A1261">
        <w:t>24</w:t>
      </w:r>
      <w:r w:rsidRPr="00AA2406">
        <w:t xml:space="preserve"> OSCE-deltagende stater den </w:t>
      </w:r>
      <w:r w:rsidRPr="00AA2406" w:rsidR="008A1261">
        <w:t>29</w:t>
      </w:r>
      <w:r w:rsidRPr="00AA2406">
        <w:t xml:space="preserve">. januar </w:t>
      </w:r>
      <w:r w:rsidRPr="00AA2406" w:rsidR="008A1261">
        <w:t>2026</w:t>
      </w:r>
      <w:r w:rsidRPr="00AA2406">
        <w:t xml:space="preserve"> aktiverede Moskvamekanismen, hvilket gjorde det muligt for en uafhængig ekspertmission at undersøge påståede menneskerettighedskrænkelser, navnlig udviklingen siden foråret </w:t>
      </w:r>
      <w:r w:rsidRPr="00AA2406" w:rsidR="008A1261">
        <w:t>2024</w:t>
      </w:r>
      <w:r w:rsidRPr="00AA2406">
        <w:t xml:space="preserve">; der henviser til, at </w:t>
      </w:r>
      <w:r w:rsidRPr="00AA2406">
        <w:t>OSCE's</w:t>
      </w:r>
      <w:r w:rsidRPr="00AA2406">
        <w:t xml:space="preserve"> Moskvamekanismes ekspertrapport om Georgien, der </w:t>
      </w:r>
      <w:r w:rsidRPr="00AA2406">
        <w:t xml:space="preserve">blev offentliggjort den </w:t>
      </w:r>
      <w:r w:rsidRPr="00AA2406" w:rsidR="008A1261">
        <w:t>12</w:t>
      </w:r>
      <w:r w:rsidRPr="00AA2406">
        <w:t xml:space="preserve">. marts </w:t>
      </w:r>
      <w:r w:rsidRPr="00AA2406" w:rsidR="008A1261">
        <w:t>2026</w:t>
      </w:r>
      <w:r w:rsidRPr="00AA2406">
        <w:t>, fremhæver alvorlige bekymringer med hensyn til integriteten af valgprocesser, herunder beskyldninger om uregelmæssigheder og pres på den politiske opposition, samt anvendelse af retlige foranstaltninger mod oppositionsledere og politiske partier; der henviser til, at rapporten opfordrer til ophævelse af restriktiv lovgivning, herunder loven om gennemsigtighed i udenlandsk indflydelse og ændringer, som påvirker mediefrihed; der henviser til, at den dokumenterer tilfælde af uforholdsmæssig magtanvendelse over for demonstranter og påpeger problemer med hensyn til overtrædelser af forbuddet mod tortur og mishandling, hvor nogle tilfælde har nået "tærsklen for tortur"; der henviser til, at den endvidere opfordrer til øjeblikkelig løsladelse af personer, som tilbageholdes af politiske årsager, herunder oppositionsmedlemmer og journalister, og understreger behovet for, at Georgien samarbejder fuldt ud med internationale organer, herunder Venedigkommissionen og relevante internationale mekanismer;</w:t>
      </w:r>
    </w:p>
    <w:p w:rsidR="00E31D38" w:rsidRPr="00AA2406" w:rsidP="00E31D38" w14:paraId="766B0316" w14:textId="77777777">
      <w:pPr>
        <w:pStyle w:val="NormalHanging"/>
      </w:pPr>
      <w:r w:rsidRPr="00AA2406">
        <w:t>F.</w:t>
      </w:r>
      <w:r w:rsidRPr="00AA2406">
        <w:tab/>
        <w:t>der henviser til, at det regerende parti Den Georgiske Drøm systematisk har svækket landets magtdeling ved at undergrave retsvæsenets, anklagemyndighedens og forfatningsdomstolens uafhængighed, hvilket har gjort Georgien strukturelt ude af stand til at opfylde kriterierne for EU-medlemskab under de nuværende forhold;</w:t>
      </w:r>
    </w:p>
    <w:p w:rsidR="00E31D38" w:rsidRPr="00AA2406" w:rsidP="00E31D38" w14:paraId="026266F2" w14:textId="706DB797">
      <w:pPr>
        <w:pStyle w:val="NormalHanging"/>
      </w:pPr>
      <w:r w:rsidRPr="00AA2406">
        <w:t>G.</w:t>
      </w:r>
      <w:r w:rsidRPr="00AA2406">
        <w:tab/>
        <w:t xml:space="preserve">der henviser til, at protesterne mod Den Georgiske Drøms handlinger er fortsat siden den </w:t>
      </w:r>
      <w:r w:rsidRPr="00AA2406" w:rsidR="008A1261">
        <w:t>28</w:t>
      </w:r>
      <w:r w:rsidRPr="00AA2406">
        <w:t xml:space="preserve">. november </w:t>
      </w:r>
      <w:r w:rsidRPr="00AA2406" w:rsidR="008A1261">
        <w:t>2024</w:t>
      </w:r>
      <w:r w:rsidRPr="00AA2406">
        <w:t xml:space="preserve">, hvilket viser det georgiske folks fortsatte demokratiske vilje på trods af systematisk og uforholdsmæssig vold deltagere, deres fængsling og indførelsen af stadig mere drakoniske straffe for deltagelse; der henviser til, at der begyndte omfattende protester, efter at regeringen meddelte, at den suspenderede forberedelserne til EU-tiltrædelsesforhandlingerne indtil </w:t>
      </w:r>
      <w:r w:rsidRPr="00AA2406" w:rsidR="008A1261">
        <w:t>2028</w:t>
      </w:r>
      <w:r w:rsidRPr="00AA2406">
        <w:t>;</w:t>
      </w:r>
    </w:p>
    <w:p w:rsidR="00E31D38" w:rsidRPr="00AA2406" w:rsidP="00E31D38" w14:paraId="14140073" w14:textId="28796313">
      <w:pPr>
        <w:pStyle w:val="NormalHanging"/>
      </w:pPr>
      <w:r w:rsidRPr="00AA2406">
        <w:t>H.</w:t>
      </w:r>
      <w:r w:rsidRPr="00AA2406">
        <w:tab/>
        <w:t>der henviser til, at dokumentarfilmen med titlen "</w:t>
      </w:r>
      <w:r w:rsidRPr="00AA2406">
        <w:t>When</w:t>
      </w:r>
      <w:r w:rsidRPr="00AA2406">
        <w:t xml:space="preserve"> Water Burns" fra British Broadcasting Corporation, som blev sendt den </w:t>
      </w:r>
      <w:r w:rsidRPr="00AA2406" w:rsidR="008A1261">
        <w:t>1</w:t>
      </w:r>
      <w:r w:rsidRPr="00AA2406">
        <w:t xml:space="preserve">. december </w:t>
      </w:r>
      <w:r w:rsidRPr="00AA2406" w:rsidR="008A1261">
        <w:t>2025</w:t>
      </w:r>
      <w:r w:rsidRPr="00AA2406">
        <w:t xml:space="preserve">, fremlagde dokumentation, som tydede på, at der blev anvendt vand blandet med et giftigt kemikalie mod demonstranter i Georgien i november-december </w:t>
      </w:r>
      <w:r w:rsidRPr="00AA2406" w:rsidR="008A1261">
        <w:t>2024</w:t>
      </w:r>
      <w:r w:rsidRPr="00AA2406">
        <w:t>; der henviser til, at anvendelsen af giftige kemikalier kan forårsage langsigtede sundhedsproblemer;</w:t>
      </w:r>
    </w:p>
    <w:p w:rsidR="00E31D38" w:rsidRPr="00AA2406" w:rsidP="00E31D38" w14:paraId="5E61E789" w14:textId="0BE763C9">
      <w:pPr>
        <w:pStyle w:val="NormalHanging"/>
      </w:pPr>
      <w:r w:rsidRPr="00AA2406">
        <w:t>I.</w:t>
      </w:r>
      <w:r w:rsidRPr="00AA2406">
        <w:tab/>
        <w:t xml:space="preserve">der henviser til, at OSCE/ODIHR blev forhindret i at observere lokalvalget den </w:t>
      </w:r>
      <w:r w:rsidRPr="00AA2406" w:rsidR="008A1261">
        <w:t>4</w:t>
      </w:r>
      <w:r w:rsidRPr="00AA2406">
        <w:t xml:space="preserve">. oktober </w:t>
      </w:r>
      <w:r w:rsidRPr="00AA2406" w:rsidR="008A1261">
        <w:t>2025</w:t>
      </w:r>
      <w:r w:rsidRPr="00AA2406">
        <w:t xml:space="preserve"> på grund af en sen indbydelse fra de georgiske myndigheder;</w:t>
      </w:r>
    </w:p>
    <w:p w:rsidR="00E31D38" w:rsidRPr="00AA2406" w:rsidP="00E31D38" w14:paraId="6CFC669B" w14:textId="77777777">
      <w:pPr>
        <w:pStyle w:val="NormalHanging"/>
      </w:pPr>
      <w:r w:rsidRPr="00AA2406">
        <w:t>J.</w:t>
      </w:r>
      <w:r w:rsidRPr="00AA2406">
        <w:tab/>
        <w:t>der henviser til, at nyligt vedtagne lovændringer indfører yderligere restriktioner for udenlandsk økonomisk støtte og kriminaliserer såkaldt "ekstern lobbyvirksomhed"; der henviser til, at lovgivningen i høj grad udvider definitionen af "tilskud" til at omfatte teknisk eller gratis bistand og overførsler mellem udenlandske organisationer og deres lokale afdelinger, udvider anvendelsesområdet for enheder, der betragtes som tilskudsmodtagere, herunder udenlandsk baserede organisationer, som arbejder på problemstillinger i relation til Georgien, og indfører strafferetlige sanktioner for overtrædelser i forbindelse med tilskud; der henviser til, at lovgivningen endvidere indfører fængselsstraffe på op til seks år for "ekstern lobbyvirksomhed", otte års forbud mod medlemskab af politiske partier for personer, der har arbejdet i organisationer, som støttes økonomisk af andre lande, og yderligere sanktioner for virksomheder, som deltager i politiske aktiviteter, der ikke er forbundet med deres hovedaktivitet; der henviser til, at lovgivningen også indfører en "ekstremismeklausul", der gør det muligt at idømme fængselsstraffe på op til tre år for "systematiske handlinger", der har til formål at "fastslå opfattelsen" af, at regeringen mangler legitimitet;</w:t>
      </w:r>
    </w:p>
    <w:p w:rsidR="00E31D38" w:rsidRPr="00AA2406" w:rsidP="00E31D38" w14:paraId="29F94178" w14:textId="77777777">
      <w:pPr>
        <w:pStyle w:val="NormalHanging"/>
      </w:pPr>
      <w:r w:rsidRPr="00AA2406">
        <w:t>K.</w:t>
      </w:r>
      <w:r w:rsidRPr="00AA2406">
        <w:tab/>
        <w:t xml:space="preserve">der henviser til, at vedtagne ændringer af straffeloven indeholder bestemmelser om </w:t>
      </w:r>
      <w:r w:rsidRPr="00AA2406">
        <w:t>fængselsstraffe for personer, der nægter at anerkende legitimiteten af det regerende parti Den Georgiske Drøm, hvilket giver anledning til alvorlig bekymring med hensyn til ytringsfrihed, politisk pluralisme og demokratiske standarder;</w:t>
      </w:r>
    </w:p>
    <w:p w:rsidR="00E31D38" w:rsidRPr="00AA2406" w:rsidP="00E31D38" w14:paraId="5A51677E" w14:textId="77777777">
      <w:pPr>
        <w:pStyle w:val="NormalHanging"/>
      </w:pPr>
      <w:r w:rsidRPr="00AA2406">
        <w:t>L.</w:t>
      </w:r>
      <w:r w:rsidRPr="00AA2406">
        <w:tab/>
        <w:t>der henviser til, at USA som reaktion på demokratiske tilbageskridt i Georgien under Den Georgiske Drøm-regimet og landets geopolitiske nyorientering har suspenderet sit strategiske partnerskab med Georgien og indført sanktioner, der fortsat er i kraft; der henviser til, at den amerikanske Kongres har fremsat et lovforslag med titlen "</w:t>
      </w:r>
      <w:r w:rsidRPr="00AA2406">
        <w:t>Mobilizing</w:t>
      </w:r>
      <w:r w:rsidRPr="00AA2406">
        <w:t xml:space="preserve"> and </w:t>
      </w:r>
      <w:r w:rsidRPr="00AA2406">
        <w:t>Enhancing</w:t>
      </w:r>
      <w:r w:rsidRPr="00AA2406">
        <w:t xml:space="preserve"> </w:t>
      </w:r>
      <w:r w:rsidRPr="00AA2406">
        <w:t>Georgia’s</w:t>
      </w:r>
      <w:r w:rsidRPr="00AA2406">
        <w:t xml:space="preserve"> Options for Building </w:t>
      </w:r>
      <w:r w:rsidRPr="00AA2406">
        <w:t>Accountability</w:t>
      </w:r>
      <w:r w:rsidRPr="00AA2406">
        <w:t xml:space="preserve">, </w:t>
      </w:r>
      <w:r w:rsidRPr="00AA2406">
        <w:t>Resilience</w:t>
      </w:r>
      <w:r w:rsidRPr="00AA2406">
        <w:t xml:space="preserve">, and </w:t>
      </w:r>
      <w:r w:rsidRPr="00AA2406">
        <w:t>Independence</w:t>
      </w:r>
      <w:r w:rsidRPr="00AA2406">
        <w:t xml:space="preserve"> </w:t>
      </w:r>
      <w:r w:rsidRPr="00AA2406">
        <w:t>Act</w:t>
      </w:r>
      <w:r w:rsidRPr="00AA2406">
        <w:t xml:space="preserve">" (the MEGOBARI </w:t>
      </w:r>
      <w:r w:rsidRPr="00AA2406">
        <w:t>Act</w:t>
      </w:r>
      <w:r w:rsidRPr="00AA2406">
        <w:t xml:space="preserve">) (mobilisering og styrkelse af Georgiens muligheder for opbygning af ansvarlighed, robusthed og uafhængighed, </w:t>
      </w:r>
      <w:r w:rsidRPr="00AA2406">
        <w:t>Megobariloven</w:t>
      </w:r>
      <w:r w:rsidRPr="00AA2406">
        <w:t>), som har til formål at øge kontrollen med den georgiske regerings handlinger og dens forbindelser til Rusland og andre autoritære regimer, herunder Kina;</w:t>
      </w:r>
    </w:p>
    <w:p w:rsidR="00E31D38" w:rsidRPr="00AA2406" w:rsidP="00E31D38" w14:paraId="7FFC30E0" w14:textId="69BFCE06">
      <w:pPr>
        <w:pStyle w:val="NormalHanging"/>
      </w:pPr>
      <w:r w:rsidRPr="00AA2406">
        <w:t>M.</w:t>
      </w:r>
      <w:r w:rsidRPr="00AA2406">
        <w:tab/>
        <w:t xml:space="preserve">der henviser til, at USA i december </w:t>
      </w:r>
      <w:r w:rsidRPr="00AA2406" w:rsidR="008A1261">
        <w:t>2024</w:t>
      </w:r>
      <w:r w:rsidRPr="00AA2406">
        <w:t xml:space="preserve"> udpegede </w:t>
      </w:r>
      <w:r w:rsidRPr="00AA2406">
        <w:t>Bidzina</w:t>
      </w:r>
      <w:r w:rsidRPr="00AA2406">
        <w:t xml:space="preserve"> </w:t>
      </w:r>
      <w:r w:rsidRPr="00AA2406">
        <w:t>Ivanishvili</w:t>
      </w:r>
      <w:r w:rsidRPr="00AA2406">
        <w:t xml:space="preserve"> via sin sanktionsordning som undergravende for Georgiens demokratiske og euro-atlantiske fremtid og derved at gavne Den Russiske Føderation; der henviser til, at USA konstaterede, at </w:t>
      </w:r>
      <w:r w:rsidRPr="00AA2406">
        <w:t>Ivanishvilis</w:t>
      </w:r>
      <w:r w:rsidRPr="00AA2406">
        <w:t xml:space="preserve"> og Den Georgiske Drøms handlinger har svækket demokratiske institutioner, muliggjort krænkelser af menneskerettigheder og begrænset udøvelsen af grundlæggende frihedsrettigheder i Georgien; der henviser til, at disse handlinger har afsporet Georgiens euro-atlantiske fremtid yderligere og har gjort landet stadig mere sårbart over for Rusland, som fortsat besætter mere end </w:t>
      </w:r>
      <w:r w:rsidRPr="00AA2406" w:rsidR="008A1261">
        <w:t>20</w:t>
      </w:r>
      <w:r w:rsidRPr="00AA2406">
        <w:t> % af Georgiens territorium;</w:t>
      </w:r>
    </w:p>
    <w:p w:rsidR="00E31D38" w:rsidRPr="00AA2406" w:rsidP="00E31D38" w14:paraId="08EBF4FE" w14:textId="0EE006DE">
      <w:pPr>
        <w:pStyle w:val="NormalHanging"/>
      </w:pPr>
      <w:r w:rsidRPr="00AA2406">
        <w:t>N.</w:t>
      </w:r>
      <w:r w:rsidRPr="00AA2406">
        <w:tab/>
        <w:t xml:space="preserve">der henviser til, at ni oppositionspartier i Georgien den </w:t>
      </w:r>
      <w:r w:rsidRPr="00AA2406" w:rsidR="008A1261">
        <w:t>2</w:t>
      </w:r>
      <w:r w:rsidRPr="00AA2406">
        <w:t xml:space="preserve">. marts </w:t>
      </w:r>
      <w:r w:rsidRPr="00AA2406" w:rsidR="008A1261">
        <w:t>2026</w:t>
      </w:r>
      <w:r w:rsidRPr="00AA2406">
        <w:t xml:space="preserve"> meddelte, at der ville blive dannet en alliance som en modreaktion mod de igangværende demokratiske tilbageskridt og den autoritære konsolidering af magten, som Den Georgiske Drøm står bag, hvilket er udtryk for konsolidering af </w:t>
      </w:r>
      <w:r w:rsidRPr="00AA2406">
        <w:t>proeuropæiske</w:t>
      </w:r>
      <w:r w:rsidRPr="00AA2406">
        <w:t xml:space="preserve"> demokratiske kræfter og voksende samfundskrav om at forsvare Georgiens tiltrædelse af EU;</w:t>
      </w:r>
    </w:p>
    <w:p w:rsidR="00E31D38" w:rsidRPr="00AA2406" w:rsidP="00E31D38" w14:paraId="5F22723D" w14:textId="77777777">
      <w:pPr>
        <w:pStyle w:val="NormalHanging"/>
      </w:pPr>
      <w:r w:rsidRPr="00AA2406">
        <w:t>O.</w:t>
      </w:r>
      <w:r w:rsidRPr="00AA2406">
        <w:tab/>
        <w:t xml:space="preserve">der henviser til, at otte oppositionsledere og -politikere, navnlig Nika </w:t>
      </w:r>
      <w:r w:rsidRPr="00AA2406">
        <w:t>Gvaramia</w:t>
      </w:r>
      <w:r w:rsidRPr="00AA2406">
        <w:t xml:space="preserve">, </w:t>
      </w:r>
      <w:r w:rsidRPr="00AA2406">
        <w:t>Zurab</w:t>
      </w:r>
      <w:r w:rsidRPr="00AA2406">
        <w:t xml:space="preserve"> </w:t>
      </w:r>
      <w:r w:rsidRPr="00AA2406">
        <w:t>Japaridze</w:t>
      </w:r>
      <w:r w:rsidRPr="00AA2406">
        <w:t xml:space="preserve">, </w:t>
      </w:r>
      <w:r w:rsidRPr="00AA2406">
        <w:t>Badri</w:t>
      </w:r>
      <w:r w:rsidRPr="00AA2406">
        <w:t xml:space="preserve"> </w:t>
      </w:r>
      <w:r w:rsidRPr="00AA2406">
        <w:t>Japaridze</w:t>
      </w:r>
      <w:r w:rsidRPr="00AA2406">
        <w:t xml:space="preserve">, </w:t>
      </w:r>
      <w:r w:rsidRPr="00AA2406">
        <w:t>Mamuka</w:t>
      </w:r>
      <w:r w:rsidRPr="00AA2406">
        <w:t xml:space="preserve"> </w:t>
      </w:r>
      <w:r w:rsidRPr="00AA2406">
        <w:t>Khazaradze</w:t>
      </w:r>
      <w:r w:rsidRPr="00AA2406">
        <w:t xml:space="preserve">, Nika Melia, </w:t>
      </w:r>
      <w:r w:rsidRPr="00AA2406">
        <w:t>Irakli</w:t>
      </w:r>
      <w:r w:rsidRPr="00AA2406">
        <w:t xml:space="preserve"> </w:t>
      </w:r>
      <w:r w:rsidRPr="00AA2406">
        <w:t>Okruashvili</w:t>
      </w:r>
      <w:r w:rsidRPr="00AA2406">
        <w:t xml:space="preserve">, </w:t>
      </w:r>
      <w:r w:rsidRPr="00AA2406">
        <w:t>Givi</w:t>
      </w:r>
      <w:r w:rsidRPr="00AA2406">
        <w:t xml:space="preserve"> </w:t>
      </w:r>
      <w:r w:rsidRPr="00AA2406">
        <w:t>Targamadze</w:t>
      </w:r>
      <w:r w:rsidRPr="00AA2406">
        <w:t xml:space="preserve"> og </w:t>
      </w:r>
      <w:r w:rsidRPr="00AA2406">
        <w:t>Giorgi</w:t>
      </w:r>
      <w:r w:rsidRPr="00AA2406">
        <w:t xml:space="preserve"> </w:t>
      </w:r>
      <w:r w:rsidRPr="00AA2406">
        <w:t>Vashadze</w:t>
      </w:r>
      <w:r w:rsidRPr="00AA2406">
        <w:t>, blev idømt syv til otte måneders fængsel og fik forbud mod at bestride offentlige embeder i to år for at nægte at give møde for det georgiske de facto-parlaments midlertidige undersøgelseskommission;</w:t>
      </w:r>
    </w:p>
    <w:p w:rsidR="00E31D38" w:rsidRPr="00AA2406" w:rsidP="00E31D38" w14:paraId="47857051" w14:textId="77777777">
      <w:pPr>
        <w:pStyle w:val="NormalHanging"/>
      </w:pPr>
      <w:r w:rsidRPr="00AA2406">
        <w:t>P.</w:t>
      </w:r>
      <w:r w:rsidRPr="00AA2406">
        <w:tab/>
        <w:t>der henviser til, at myndighederne under Den Georgiske Drøm har skabt et system med politisk motiveret undertrykkelse, som har resulteret i fængsling af talrige politiske fanger, herunder oppositionspolitikere, aktivister, journalister og fredelige demonstranter, som er blevet frihedsberøvet udelukkende for at nægte at underkaste sig det regerende partis myndighed eller for at udøve deres grundlæggende rettigheder; der henviser til, at disse tilbageholdelser er en bevidst intimideringsstrategi, der har til formål at bringe systemkritikere til tavshed, nedbryde politisk pluralisme og konsolidere det autoritære styre; der henviser til, at den fortsatte fængsling af disse personer er en alvorlig krænkelse af Georgiens forfatningsmæssige orden, landets internationale menneskerettighedsforpligtelser og de grundlæggende værdier, der ligger til grund for Georgiens status som EU-kandidatland; der henviser til, at mange studerende, repræsentanter for civilsamfundet og kunstnere er blevet tilbageholdt eller idømt bøder for at have deltaget i demonstrationer;</w:t>
      </w:r>
    </w:p>
    <w:p w:rsidR="00E31D38" w:rsidRPr="00AA2406" w:rsidP="00E31D38" w14:paraId="6532AB51" w14:textId="77777777">
      <w:pPr>
        <w:pStyle w:val="NormalHanging"/>
      </w:pPr>
      <w:r w:rsidRPr="00AA2406">
        <w:t>Q.</w:t>
      </w:r>
      <w:r w:rsidRPr="00AA2406">
        <w:tab/>
        <w:t xml:space="preserve">der henviser til, at politisk forfølgelse af oppositionsmedlemmer fortsat giver anledning til stor bekymring, herunder de systemiske angreb på </w:t>
      </w:r>
      <w:r w:rsidRPr="00AA2406">
        <w:t>Giorgi</w:t>
      </w:r>
      <w:r w:rsidRPr="00AA2406">
        <w:t xml:space="preserve"> </w:t>
      </w:r>
      <w:r w:rsidRPr="00AA2406">
        <w:t>Gakharia</w:t>
      </w:r>
      <w:r w:rsidRPr="00AA2406">
        <w:t xml:space="preserve">, leder af partiet </w:t>
      </w:r>
      <w:r w:rsidRPr="00AA2406">
        <w:t>For Georgien, som har været udsat for to fysiske angreb og anklaget for politisk motiverede lovovertrædelser, hvilket har ført til hans nuværende ophold i eksil;</w:t>
      </w:r>
    </w:p>
    <w:p w:rsidR="00E31D38" w:rsidRPr="00AA2406" w:rsidP="00E31D38" w14:paraId="63E31EBC" w14:textId="77777777">
      <w:pPr>
        <w:pStyle w:val="NormalHanging"/>
      </w:pPr>
      <w:r w:rsidRPr="00AA2406">
        <w:t>R.</w:t>
      </w:r>
      <w:r w:rsidRPr="00AA2406">
        <w:tab/>
        <w:t xml:space="preserve">der henviser til, at den tidligere præsident </w:t>
      </w:r>
      <w:r w:rsidRPr="00AA2406">
        <w:t>Mikheil</w:t>
      </w:r>
      <w:r w:rsidRPr="00AA2406">
        <w:t xml:space="preserve"> </w:t>
      </w:r>
      <w:r w:rsidRPr="00AA2406">
        <w:t>Saakashvili</w:t>
      </w:r>
      <w:r w:rsidRPr="00AA2406">
        <w:t xml:space="preserve"> har været frihedsberøvet i mere end fire år og reelt er en politisk fange under oligarken </w:t>
      </w:r>
      <w:r w:rsidRPr="00AA2406">
        <w:t>Bidzina</w:t>
      </w:r>
      <w:r w:rsidRPr="00AA2406">
        <w:t xml:space="preserve"> </w:t>
      </w:r>
      <w:r w:rsidRPr="00AA2406">
        <w:t>Ivanishvilis</w:t>
      </w:r>
      <w:r w:rsidRPr="00AA2406">
        <w:t>, som udøver kontrol over staten samt ulovlig indflydelse på dens institutioner;</w:t>
      </w:r>
    </w:p>
    <w:p w:rsidR="00E31D38" w:rsidRPr="00AA2406" w:rsidP="00E31D38" w14:paraId="1B1F0A1C" w14:textId="43D643CC">
      <w:pPr>
        <w:pStyle w:val="NormalHanging"/>
      </w:pPr>
      <w:r w:rsidRPr="00AA2406">
        <w:t>S.</w:t>
      </w:r>
      <w:r w:rsidRPr="00AA2406">
        <w:tab/>
        <w:t xml:space="preserve">der henviser til, at det georgiske civilsamfund siden januar </w:t>
      </w:r>
      <w:r w:rsidRPr="00AA2406" w:rsidR="008A1261">
        <w:t>2026</w:t>
      </w:r>
      <w:r w:rsidRPr="00AA2406">
        <w:t xml:space="preserve"> har udpeget </w:t>
      </w:r>
      <w:r w:rsidRPr="00AA2406" w:rsidR="008A1261">
        <w:t>48</w:t>
      </w:r>
      <w:r w:rsidRPr="00AA2406">
        <w:t xml:space="preserve"> politiske fanger, som har været uretmæssigt fængslet som følge af deres deltagelse i og støtte til demonstrationerne, og </w:t>
      </w:r>
      <w:r w:rsidRPr="00AA2406" w:rsidR="008A1261">
        <w:t>68</w:t>
      </w:r>
      <w:r w:rsidRPr="00AA2406">
        <w:t xml:space="preserve"> andre, som fortsat er varetægtsfængslet på basis af politisk motiverede anklager;</w:t>
      </w:r>
    </w:p>
    <w:p w:rsidR="00E31D38" w:rsidRPr="00AA2406" w:rsidP="00E31D38" w14:paraId="10D398A9" w14:textId="77777777">
      <w:pPr>
        <w:pStyle w:val="NormalHanging"/>
      </w:pPr>
      <w:r w:rsidRPr="00AA2406">
        <w:t>T.</w:t>
      </w:r>
      <w:r w:rsidRPr="00AA2406">
        <w:tab/>
        <w:t>der henviser til, at kvindelige demonstranter i Georgien jævnligt fortæller, at de udsættes for nedværdigende behandling af politiet, herunder sexistiske verbale overgreb, rutinemæssige kropsvisitationer, trusler om voldtægt og andre trusler om fysisk vold under demonstrationer, i fængsler og under husransagninger; der henviser til, at denne tendens ses som led i et mere udbredt mønster af misbrug og straffrihed blandt Georgiens retshåndhævende myndigheder;</w:t>
      </w:r>
    </w:p>
    <w:p w:rsidR="00E31D38" w:rsidRPr="00AA2406" w:rsidP="00E31D38" w14:paraId="20943F9F" w14:textId="52457CB2">
      <w:pPr>
        <w:pStyle w:val="NormalHanging"/>
      </w:pPr>
      <w:r w:rsidRPr="00AA2406">
        <w:t>U.</w:t>
      </w:r>
      <w:r w:rsidRPr="00AA2406">
        <w:tab/>
        <w:t xml:space="preserve">der henviser til, at </w:t>
      </w:r>
      <w:r w:rsidRPr="00AA2406">
        <w:t>Mzia</w:t>
      </w:r>
      <w:r w:rsidRPr="00AA2406">
        <w:t xml:space="preserve"> </w:t>
      </w:r>
      <w:r w:rsidRPr="00AA2406">
        <w:t>Amaglobeli</w:t>
      </w:r>
      <w:r w:rsidRPr="00AA2406">
        <w:t xml:space="preserve"> (en fængslet georgisk journalist og direktør for onlinemedierne </w:t>
      </w:r>
      <w:r w:rsidRPr="00AA2406">
        <w:t>Batumelebi</w:t>
      </w:r>
      <w:r w:rsidRPr="00AA2406">
        <w:t xml:space="preserve"> og </w:t>
      </w:r>
      <w:r w:rsidRPr="00AA2406">
        <w:t>Netgazeti</w:t>
      </w:r>
      <w:r w:rsidRPr="00AA2406">
        <w:t xml:space="preserve">) blev tildelt </w:t>
      </w:r>
      <w:r w:rsidRPr="00AA2406">
        <w:t>Sakharovprisen</w:t>
      </w:r>
      <w:r w:rsidRPr="00AA2406">
        <w:t xml:space="preserve"> for tankefrihed </w:t>
      </w:r>
      <w:r w:rsidRPr="00AA2406" w:rsidR="008A1261">
        <w:t>2025</w:t>
      </w:r>
      <w:r w:rsidRPr="00AA2406">
        <w:t xml:space="preserve"> af Europa-Parlamentet sammen med Andrej </w:t>
      </w:r>
      <w:r w:rsidRPr="00AA2406">
        <w:t>Patjobut</w:t>
      </w:r>
      <w:r w:rsidRPr="00AA2406">
        <w:t xml:space="preserve"> fra Belarus; der henviser til, at Georgiens højesteret har afvist </w:t>
      </w:r>
      <w:r w:rsidRPr="00AA2406">
        <w:t>Mzia</w:t>
      </w:r>
      <w:r w:rsidRPr="00AA2406">
        <w:t xml:space="preserve"> </w:t>
      </w:r>
      <w:r w:rsidRPr="00AA2406">
        <w:t>Amaglobelis</w:t>
      </w:r>
      <w:r w:rsidRPr="00AA2406">
        <w:t xml:space="preserve"> appel, hvorved Den Europæiske Menneskerettighedsdomstol i Strasbourg bliver hendes eneste tilbageværende lovlige mulighed for domstolsprøvelse;</w:t>
      </w:r>
    </w:p>
    <w:p w:rsidR="00E31D38" w:rsidRPr="00AA2406" w:rsidP="00E31D38" w14:paraId="72598163" w14:textId="04DBF2BD">
      <w:pPr>
        <w:pStyle w:val="NormalHanging"/>
      </w:pPr>
      <w:r w:rsidRPr="00AA2406">
        <w:t>V.</w:t>
      </w:r>
      <w:r w:rsidRPr="00AA2406">
        <w:tab/>
        <w:t xml:space="preserve">der henviser til, at situationen for mediefrihed og ytringsfrihed er drastisk forværret; der henviser til, at der fra Europarådets platform for journalisters sikkerhed var </w:t>
      </w:r>
      <w:r w:rsidRPr="00AA2406" w:rsidR="008A1261">
        <w:t>32</w:t>
      </w:r>
      <w:r w:rsidRPr="00AA2406">
        <w:t xml:space="preserve"> indberetninger vedrørende Georgien i </w:t>
      </w:r>
      <w:r w:rsidRPr="00AA2406" w:rsidR="008A1261">
        <w:t>2025</w:t>
      </w:r>
      <w:r w:rsidRPr="00AA2406">
        <w:t xml:space="preserve">, hvilket er en stigning på </w:t>
      </w:r>
      <w:r w:rsidRPr="00AA2406" w:rsidR="008A1261">
        <w:t>78</w:t>
      </w:r>
      <w:r w:rsidRPr="00AA2406">
        <w:t xml:space="preserve"> % i forhold til </w:t>
      </w:r>
      <w:r w:rsidRPr="00AA2406" w:rsidR="008A1261">
        <w:t>2024</w:t>
      </w:r>
      <w:r w:rsidRPr="00AA2406">
        <w:t>;</w:t>
      </w:r>
    </w:p>
    <w:p w:rsidR="00E31D38" w:rsidRPr="00AA2406" w:rsidP="00E31D38" w14:paraId="6EC5AFDE" w14:textId="77777777">
      <w:pPr>
        <w:pStyle w:val="NormalHanging"/>
      </w:pPr>
      <w:r w:rsidRPr="00AA2406">
        <w:t>W.</w:t>
      </w:r>
      <w:r w:rsidRPr="00AA2406">
        <w:tab/>
        <w:t>der henviser til, at det stadigt større pres på uddannelsessystemet og forsøgene på at undergrave universiteternes uafhængighed som følge af Den Georgiske Drøms initiativ "én by, ét fakultet" indebærer en risiko for at svække en af de centrale institutionelle søjler, som støtter den demokratiske debat, aktivt medborgerskab og Georgiens europæiske integreringsforløb og risikerer at begrænse adgangen til uddannelse; der henviser til, at angreb på civilsamfundet, uafhængige medier og den akademiske sektor er udtryk for et mere omfattende mønster af pres på ytringsfriheden og den akademiske frihed i Georgien;</w:t>
      </w:r>
    </w:p>
    <w:p w:rsidR="00E31D38" w:rsidRPr="00AA2406" w:rsidP="00E31D38" w14:paraId="30F8D00F" w14:textId="046EE265">
      <w:pPr>
        <w:pStyle w:val="NormalHanging"/>
      </w:pPr>
      <w:r w:rsidRPr="00AA2406">
        <w:t>X.</w:t>
      </w:r>
      <w:r w:rsidRPr="00AA2406">
        <w:tab/>
        <w:t xml:space="preserve">der henviser til, at udvindingen af mangan i Georgien med henblik på eksport til EU har forårsaget jordskred, forurenet området og krænket arbejdstagerrettigheder i mineregionen </w:t>
      </w:r>
      <w:r w:rsidRPr="00AA2406">
        <w:t>Chiatura</w:t>
      </w:r>
      <w:r w:rsidRPr="00AA2406">
        <w:t xml:space="preserve">; der henviser til, at miljøorganisationer hævder, at der udledes affald direkte i </w:t>
      </w:r>
      <w:r w:rsidRPr="00AA2406">
        <w:t>Kvirilafloden</w:t>
      </w:r>
      <w:r w:rsidRPr="00AA2406">
        <w:t>; der henviser til, at de, der demonstrerer mod manganminedrift, har meldt om tilfælde af overvågning, intimidering og tilbageholdelse fra de georgiske myndigheders side; der henviser til, at direktivet om virksomheders due diligence i forbindelse med bæredygtighed</w:t>
      </w:r>
      <w:r>
        <w:rPr>
          <w:rStyle w:val="FootnoteReference"/>
        </w:rPr>
        <w:footnoteReference w:id="5"/>
      </w:r>
      <w:r w:rsidRPr="00AA2406">
        <w:t xml:space="preserve"> kræver, at europæiske virksomheder sikrer respekt for menneskerettigheder, gode arbejdsvilkår og hensyntagen til miljøet i deres forsyningskæder;</w:t>
      </w:r>
    </w:p>
    <w:p w:rsidR="00E31D38" w:rsidRPr="00AA2406" w:rsidP="00E31D38" w14:paraId="5452A564" w14:textId="047DE086">
      <w:pPr>
        <w:pStyle w:val="NormalHanging"/>
      </w:pPr>
      <w:r w:rsidRPr="00AA2406">
        <w:t>Y.</w:t>
      </w:r>
      <w:r w:rsidRPr="00AA2406">
        <w:tab/>
        <w:t xml:space="preserve">der henviser til, at nogle af Georgiens internationalt anerkendte territorier fortsat er under besættelse; der henviser til, at Rusland anerkendte Abkhasien og </w:t>
      </w:r>
      <w:r w:rsidRPr="00AA2406">
        <w:t>Tskhinvali</w:t>
      </w:r>
      <w:r w:rsidRPr="00AA2406">
        <w:t>/</w:t>
      </w:r>
      <w:r w:rsidRPr="00AA2406">
        <w:t>Sydossetien</w:t>
      </w:r>
      <w:r w:rsidRPr="00AA2406">
        <w:t xml:space="preserve"> som uafhængige stater i </w:t>
      </w:r>
      <w:r w:rsidRPr="00AA2406" w:rsidR="008A1261">
        <w:t>2008</w:t>
      </w:r>
      <w:r w:rsidRPr="00AA2406">
        <w:t xml:space="preserve"> og stadig har tusindvis af soldater i området i strid med folkeretten; der henviser til, at Rusland fortsætter sin "grænsedragningspolitik", navnlig opførelsen af fysiske barrierer langs de administrative grænser mellem regionerne Abkhasien og </w:t>
      </w:r>
      <w:r w:rsidRPr="00AA2406">
        <w:t>Tskhinvali</w:t>
      </w:r>
      <w:r w:rsidRPr="00AA2406">
        <w:t>/</w:t>
      </w:r>
      <w:r w:rsidRPr="00AA2406">
        <w:t>Sydossetien</w:t>
      </w:r>
      <w:r w:rsidRPr="00AA2406">
        <w:t>, hvilket er i strid med Georgiens suverænitet og territoriale integritet; der henviser til, at Den Europæiske Menneskerettighedsdomstol endvidere har fastslået, at dette har ført til krænkelser af menneskerettighederne såsom begrænsninger af den frie bevægelighed, begrænset adgang til ejendom eller jord og adskillelse af familiemedlemmer;</w:t>
      </w:r>
    </w:p>
    <w:p w:rsidR="00E31D38" w:rsidRPr="00AA2406" w:rsidP="00E31D38" w14:paraId="019FD449" w14:textId="77777777">
      <w:pPr>
        <w:pStyle w:val="NormalHanging"/>
      </w:pPr>
      <w:r w:rsidRPr="00AA2406">
        <w:t>Z.</w:t>
      </w:r>
      <w:r w:rsidRPr="00AA2406">
        <w:tab/>
        <w:t xml:space="preserve">der henviser til, at Rusland i stigende grad udøver indflydelse på Georgien som følge af politiske, økonomiske og oplysende kampagner; der henviser til, at EU ikke fortsat kan nøjes med blot at reagere og notere sig forværringen af situationen i landet; der henviser til, at EU i stedet skal følge en proaktiv og strategisk tilgang til Georgien for at mindske landets sårbarhed over for tvang udefra og sikre regional </w:t>
      </w:r>
      <w:r w:rsidRPr="00AA2406">
        <w:t>konnektivitet</w:t>
      </w:r>
      <w:r w:rsidRPr="00AA2406">
        <w:t>;</w:t>
      </w:r>
    </w:p>
    <w:p w:rsidR="00E31D38" w:rsidRPr="00AA2406" w:rsidP="00E31D38" w14:paraId="6B9F97A9" w14:textId="4EF54B50">
      <w:pPr>
        <w:pStyle w:val="NormalHanging"/>
      </w:pPr>
      <w:r w:rsidRPr="00AA2406">
        <w:t>AA.</w:t>
      </w:r>
      <w:r w:rsidRPr="00AA2406">
        <w:tab/>
        <w:t xml:space="preserve">der henviser til, at Georgien siden </w:t>
      </w:r>
      <w:r w:rsidRPr="00AA2406" w:rsidR="008A1261">
        <w:t>2022</w:t>
      </w:r>
      <w:r w:rsidRPr="00AA2406">
        <w:t xml:space="preserve"> i høj grad har øget importen af varer med dobbelt anvendelse fra vestlige lande og fra Kina; der henviser til, at tilgængelig statistisk dokumentation tyder på, at Georgien fungerer som transitland og muliggør overførsel af sanktionerede varer til Den Russiske Føderation, hvor de kan anvendes til fremstilling af militært udstyr og våben; der henviser til, at sådanne uregelmæssigheder i mange tilfælde kan tilskrives bevidste strategier, der har til formål at omgå internationale sanktioner mod Rusland; der henviser til, at der er givet udtryk for store bekymringer med hensyn til den rolle, som uformelle forvaltningsstrukturer og enkeltpersoner med tilknytning til </w:t>
      </w:r>
      <w:r w:rsidRPr="00AA2406">
        <w:t>Bidzina</w:t>
      </w:r>
      <w:r w:rsidRPr="00AA2406">
        <w:t xml:space="preserve"> </w:t>
      </w:r>
      <w:r w:rsidRPr="00AA2406">
        <w:t>Ivanishvili</w:t>
      </w:r>
      <w:r w:rsidRPr="00AA2406">
        <w:t xml:space="preserve"> spiller for at fremme forhold, som er befordrende for at omgå sanktioner; der henviser til, at omkring </w:t>
      </w:r>
      <w:r w:rsidRPr="00AA2406" w:rsidR="008A1261">
        <w:t>40</w:t>
      </w:r>
      <w:r w:rsidRPr="00AA2406">
        <w:t> </w:t>
      </w:r>
      <w:r w:rsidRPr="00AA2406" w:rsidR="008A1261">
        <w:t>000</w:t>
      </w:r>
      <w:r w:rsidRPr="00AA2406">
        <w:t xml:space="preserve"> virksomheder, som ejes af russiske borgere eller enheder, p.t. opererer i Georgien, hvoraf ca. </w:t>
      </w:r>
      <w:r w:rsidRPr="00AA2406" w:rsidR="008A1261">
        <w:t>30</w:t>
      </w:r>
      <w:r w:rsidRPr="00AA2406">
        <w:t> </w:t>
      </w:r>
      <w:r w:rsidRPr="00AA2406" w:rsidR="008A1261">
        <w:t>000</w:t>
      </w:r>
      <w:r w:rsidRPr="00AA2406">
        <w:t xml:space="preserve"> er blevet registreret siden begyndelsen af Ruslands angrebskrig mod Ukraine; der henviser til, at virksomheder, der handler med Rusland, herunder i varer, som er omfattet af sanktioner, ofte er etableret baseret på udenlandsk baserede konstruktioner, hvilket komplicerer gennemsigtigheden og identificeringen af reelt ejerskab, herunder i forbindelse med forretningsnetværk, der er tilknyttet </w:t>
      </w:r>
      <w:r w:rsidRPr="00AA2406">
        <w:t>Bidzina</w:t>
      </w:r>
      <w:r w:rsidRPr="00AA2406">
        <w:t xml:space="preserve"> </w:t>
      </w:r>
      <w:r w:rsidRPr="00AA2406">
        <w:t>Ivanishvili</w:t>
      </w:r>
      <w:r w:rsidRPr="00AA2406">
        <w:t>; der henviser til, at der er vedholdende forlydender om, at sanktionerede varer, herunder køretøjer og teknologi, fortsat kommer ind på det russiske marked via Georgien;</w:t>
      </w:r>
    </w:p>
    <w:p w:rsidR="00E31D38" w:rsidRPr="00AA2406" w:rsidP="00E31D38" w14:paraId="648A0F80" w14:textId="06965B0E">
      <w:pPr>
        <w:pStyle w:val="NormalHanging"/>
      </w:pPr>
      <w:r w:rsidRPr="00AA2406">
        <w:t>AB.</w:t>
      </w:r>
      <w:r w:rsidRPr="00AA2406">
        <w:tab/>
        <w:t xml:space="preserve">der henviser til, at EU's tiltrækningskraft som model for demokratisk regeringsførelse, økonomisk vækst og regelbaseret samarbejde fortsat er en vigtig kilde til inspiration for det georgiske civilsamfund; der henviser til, at offentlige meningsmålinger konsekvent indikerer stor støtte i den georgiske befolkning til integrering i EU, idet ca. </w:t>
      </w:r>
      <w:r w:rsidRPr="00AA2406" w:rsidR="008A1261">
        <w:t>75</w:t>
      </w:r>
      <w:r w:rsidRPr="00AA2406">
        <w:t> % af borgerne udtrykker støtte til landets tiltrædelse af EU;</w:t>
      </w:r>
    </w:p>
    <w:p w:rsidR="00E31D38" w:rsidRPr="00AA2406" w:rsidP="00E31D38" w14:paraId="1F819677" w14:textId="439C5ADF">
      <w:pPr>
        <w:pStyle w:val="NormalHanging"/>
      </w:pPr>
      <w:r w:rsidRPr="00AA2406">
        <w:t>AC.</w:t>
      </w:r>
      <w:r w:rsidRPr="00AA2406">
        <w:tab/>
        <w:t xml:space="preserve">der henviser til, at den omfattende angrebskrig, som Rusland har ført mod Ukraine siden </w:t>
      </w:r>
      <w:r w:rsidRPr="00AA2406" w:rsidR="008A1261">
        <w:t>2022</w:t>
      </w:r>
      <w:r w:rsidRPr="00AA2406">
        <w:t>, har ændret det europæiske sikkerhedslandskab og øget den strategiske betydning af EU's udvidelse; der henviser til, at mange georgiere siden krigens begyndelse har været involveret i at støtte Ukraine;</w:t>
      </w:r>
    </w:p>
    <w:p w:rsidR="00E31D38" w:rsidRPr="00AA2406" w:rsidP="00E31D38" w14:paraId="49761B76" w14:textId="34D6E6EA">
      <w:pPr>
        <w:pStyle w:val="NormalHanging"/>
      </w:pPr>
      <w:r w:rsidRPr="00AA2406">
        <w:t>AD.</w:t>
      </w:r>
      <w:r w:rsidRPr="00AA2406">
        <w:tab/>
        <w:t xml:space="preserve">der henviser til, at EU er Georgiens største handelspartner og tegner sig for ca. </w:t>
      </w:r>
      <w:r w:rsidRPr="00AA2406" w:rsidR="008A1261">
        <w:t>22</w:t>
      </w:r>
      <w:r w:rsidRPr="00AA2406">
        <w:t>,</w:t>
      </w:r>
      <w:r w:rsidRPr="00AA2406" w:rsidR="008A1261">
        <w:t>1</w:t>
      </w:r>
      <w:r w:rsidRPr="00AA2406">
        <w:t xml:space="preserve"> % af landets samlede handel; der henviser til, at disse udvekslinger er reguleret af associeringsaftalen mellem EU og Georgien og dens vidtgående og brede frihandelsområde, som trådte i fuld kraft i </w:t>
      </w:r>
      <w:r w:rsidRPr="00AA2406" w:rsidR="008A1261">
        <w:t>2016</w:t>
      </w:r>
      <w:r w:rsidRPr="00AA2406">
        <w:t xml:space="preserve"> og giver georgiske virksomheder </w:t>
      </w:r>
      <w:r w:rsidRPr="00AA2406">
        <w:t xml:space="preserve">fortrinsadgang til EU's marked og dets mere end </w:t>
      </w:r>
      <w:r w:rsidRPr="00AA2406" w:rsidR="008A1261">
        <w:t>450</w:t>
      </w:r>
      <w:r w:rsidRPr="00AA2406">
        <w:t xml:space="preserve"> millioner forbrugere;</w:t>
      </w:r>
    </w:p>
    <w:p w:rsidR="00E31D38" w:rsidRPr="00AA2406" w:rsidP="00E31D38" w14:paraId="53085B9A" w14:textId="6B5B23F8">
      <w:pPr>
        <w:pStyle w:val="NormalHanging"/>
      </w:pPr>
      <w:r w:rsidRPr="00AA2406">
        <w:t>AE.</w:t>
      </w:r>
      <w:r w:rsidRPr="00AA2406">
        <w:tab/>
        <w:t xml:space="preserve">der henviser til, at Kommissionen den </w:t>
      </w:r>
      <w:r w:rsidRPr="00AA2406" w:rsidR="008A1261">
        <w:t>6</w:t>
      </w:r>
      <w:r w:rsidRPr="00AA2406">
        <w:t xml:space="preserve">. marts </w:t>
      </w:r>
      <w:r w:rsidRPr="00AA2406" w:rsidR="008A1261">
        <w:t>2026</w:t>
      </w:r>
      <w:r w:rsidRPr="00AA2406">
        <w:t xml:space="preserve"> meddelte, at den suspenderede visumfri indrejse for indehavere af georgiske diplomatpas, tjenestepas og officielle pas indtil i hvert fald marts </w:t>
      </w:r>
      <w:r w:rsidRPr="00AA2406" w:rsidR="008A1261">
        <w:t>2027</w:t>
      </w:r>
      <w:r w:rsidRPr="00AA2406">
        <w:t xml:space="preserve"> på grund af bekymring over forringelsen af demokratiet og retsstatsprincippet; der henviser til, at almindelige georgiske borgere fortsat nyder godt af visumfri indrejse i forbindelse med kortvarige besøg i Schengenområdet i overensstemmelse med beslutningen fra </w:t>
      </w:r>
      <w:r w:rsidRPr="00AA2406" w:rsidR="008A1261">
        <w:t>2017</w:t>
      </w:r>
      <w:r w:rsidRPr="00AA2406">
        <w:t>;</w:t>
      </w:r>
    </w:p>
    <w:p w:rsidR="00E31D38" w:rsidRPr="00AA2406" w:rsidP="00E31D38" w14:paraId="02AF05B4" w14:textId="77777777">
      <w:pPr>
        <w:pStyle w:val="Normal12a"/>
      </w:pPr>
      <w:r w:rsidRPr="00AA2406">
        <w:rPr>
          <w:b/>
          <w:i/>
        </w:rPr>
        <w:t>Suspension af Georgiens integration i EU</w:t>
      </w:r>
    </w:p>
    <w:p w:rsidR="00E31D38" w:rsidRPr="00AA2406" w:rsidP="00E31D38" w14:paraId="0F7A8D4E" w14:textId="6D3B72C4">
      <w:pPr>
        <w:pStyle w:val="NormalHanging12a"/>
      </w:pPr>
      <w:r w:rsidRPr="00AA2406">
        <w:t>1</w:t>
      </w:r>
      <w:r w:rsidRPr="00AA2406">
        <w:t>.</w:t>
      </w:r>
      <w:r w:rsidRPr="00AA2406">
        <w:tab/>
        <w:t xml:space="preserve">udtrykker sin fulde solidaritet med det georgiske folk, som fortsætter deres kamp for et europæisk og demokratisk Georgien til trods for demokratiske tilbageskridt, stigende undertrykkelse, ulovlige anholdelser, ubønhørlig fjendtlig retorik, desinformation og trusler; understreger, at næsten </w:t>
      </w:r>
      <w:r w:rsidRPr="00AA2406">
        <w:t>75</w:t>
      </w:r>
      <w:r w:rsidRPr="00AA2406">
        <w:t> % af det georgiske folk fortsat støtter yderligere integrering i EU; gentager, at EU's dør fortsat er helt åben for, at det georgiske folk kan vende tilbage til tiltrædelse af EU;</w:t>
      </w:r>
    </w:p>
    <w:p w:rsidR="00E31D38" w:rsidRPr="00AA2406" w:rsidP="00E31D38" w14:paraId="6B8BA4AE" w14:textId="096881D6">
      <w:pPr>
        <w:pStyle w:val="NormalHanging12a"/>
      </w:pPr>
      <w:r w:rsidRPr="00AA2406">
        <w:t>2</w:t>
      </w:r>
      <w:r w:rsidRPr="00AA2406">
        <w:t>.</w:t>
      </w:r>
      <w:r w:rsidRPr="00AA2406">
        <w:tab/>
        <w:t>bemærker med dyb skuffelse, at Den Georgiske Drøm ikke blot har suspenderet, men reelt har vendt Georgiens kurs mod europæisk integration rundt; beklager, at der har været tilbageskridt i gennemførelsen af alle ni prioriteter, som var betingelserne for at give Georgien kandidatstatus; fremhæver uoverensstemmelsen i Den Georgiske Drøms påstande om, at integration i EU fortsat er den vigtigste prioritet, samtidig med at dens højeste embedsmænd og regeringstilknyttede medier fører en organiseret og systematisk kampagne, der spreder manipulerende narrativer i russisk stil, desinformation og konspirationsteorier mod EU, dets embedsmænd og diplomater;</w:t>
      </w:r>
    </w:p>
    <w:p w:rsidR="00E31D38" w:rsidRPr="00AA2406" w:rsidP="00E31D38" w14:paraId="673992A8" w14:textId="4117643A">
      <w:pPr>
        <w:pStyle w:val="NormalHanging12a"/>
      </w:pPr>
      <w:r w:rsidRPr="00AA2406">
        <w:t>3</w:t>
      </w:r>
      <w:r w:rsidRPr="00AA2406">
        <w:t>.</w:t>
      </w:r>
      <w:r w:rsidRPr="00AA2406">
        <w:tab/>
        <w:t xml:space="preserve">beklager, at Den Georgiske Drøm siden det manipulerede parlamentsvalg i oktober </w:t>
      </w:r>
      <w:r w:rsidRPr="00AA2406">
        <w:t>2024</w:t>
      </w:r>
      <w:r w:rsidRPr="00AA2406">
        <w:t xml:space="preserve"> yderligere har intensiveret sin kurs mod fuld </w:t>
      </w:r>
      <w:r w:rsidRPr="00AA2406">
        <w:t>autoritarisme</w:t>
      </w:r>
      <w:r w:rsidRPr="00AA2406">
        <w:t>; er forfærdet over den hurtige opløsning af Georgiens demokratiske grundlag gennem målrettede angreb på landets demokratiske institutioner, grundlæggende frihedsrettigheder og demokratiske pluralisme, hvilket er helt i strid med den demokratiske udvikling, der er nødvendig for EU-medlemskab; deler Kommissionens vurdering af, at afgørende institutioner, herunder den centrale valgkommission, kommunikationskommissionen, det øverste domstolsråd, forfatningsdomstolen, anklagemyndigheden, nationalbanken og retshåndhævende myndigheder og sikkerhedsmyndigheder, mangler upartiskhed, uafhængighed og demokratisk tilsyn; understreger, at Georgien ikke kan gøre fremskridt i den europæiske tiltrædelsesproces, så længe landet ikke vender tilbage til vejen mod demokratiske reformer og bl.a. garanterer frie, retfærdige og konkurrenceprægede valg, beskytter de officielle institutioners uafhængighed, effektivt håndterer oligarkisk kontrol og forbedrer beskyttelsen af menneskerettighederne og mediefriheden;</w:t>
      </w:r>
    </w:p>
    <w:p w:rsidR="00E31D38" w:rsidRPr="00AA2406" w:rsidP="00E31D38" w14:paraId="26BC2328" w14:textId="57AB00FD">
      <w:pPr>
        <w:pStyle w:val="NormalHanging12a"/>
      </w:pPr>
      <w:r w:rsidRPr="00AA2406">
        <w:t>4</w:t>
      </w:r>
      <w:r w:rsidRPr="00AA2406">
        <w:t>.</w:t>
      </w:r>
      <w:r w:rsidRPr="00AA2406">
        <w:tab/>
        <w:t xml:space="preserve">understreger, at målrettede personlige sanktioner, som EU og dets medlemsstater har indført mod </w:t>
      </w:r>
      <w:r w:rsidRPr="00AA2406">
        <w:t>Bidzina</w:t>
      </w:r>
      <w:r w:rsidRPr="00AA2406">
        <w:t xml:space="preserve"> </w:t>
      </w:r>
      <w:r w:rsidRPr="00AA2406">
        <w:t>Ivanishvili</w:t>
      </w:r>
      <w:r w:rsidRPr="00AA2406">
        <w:t>, centrale ledere af Den Georgiske Drøm, dommere, anklagere og andre embedsmænd, der er ansvarlige for de fortsatte demokratiske tilbageskridt i Georgien, valgsvindel, alvorlige menneskerettighedskrænkelser og forfølgelse af politiske modstandere og aktivister, og mod medskyldige virksomhedsejere og medieforetagender med tilknytning til Den Georgiske Drøm, vil være et vigtigt instrument mod straffrihed; glæder sig over, at et stigende antal medlemsstater i mangel af enstemmighed på EU-plan har indført individuelle visumforbud og andre sanktioner mod georgiske embedsmænd; opfordrer indtrængende andre medlemsstater til at følge trop;</w:t>
      </w:r>
    </w:p>
    <w:p w:rsidR="00E31D38" w:rsidRPr="00AA2406" w:rsidP="00E31D38" w14:paraId="1A9D6D21" w14:textId="0903D272">
      <w:pPr>
        <w:pStyle w:val="NormalHanging12a"/>
      </w:pPr>
      <w:r w:rsidRPr="00AA2406">
        <w:t>5</w:t>
      </w:r>
      <w:r w:rsidRPr="00AA2406">
        <w:t>.</w:t>
      </w:r>
      <w:r w:rsidRPr="00AA2406">
        <w:tab/>
        <w:t xml:space="preserve">gentager sin stærke opfordring til EU og dets medlemsstater om at indføre øjeblikkelige og målrettede personlige sanktioner mod </w:t>
      </w:r>
      <w:r w:rsidRPr="00AA2406">
        <w:t>Bidzina</w:t>
      </w:r>
      <w:r w:rsidRPr="00AA2406">
        <w:t xml:space="preserve"> </w:t>
      </w:r>
      <w:r w:rsidRPr="00AA2406">
        <w:t>Ivanishvili</w:t>
      </w:r>
      <w:r w:rsidRPr="00AA2406">
        <w:t>, hans familiemedlemmer og hans virksomheder og opfordrer EU til at indefryse hans aktiver og til at samarbejde om dette spørgsmål med andre jurisdiktioner, navnlig Det Forenede Kongerige og USA;</w:t>
      </w:r>
    </w:p>
    <w:p w:rsidR="00E31D38" w:rsidRPr="00AA2406" w:rsidP="00E31D38" w14:paraId="24705C4A" w14:textId="019218B2">
      <w:pPr>
        <w:pStyle w:val="NormalHanging12a"/>
      </w:pPr>
      <w:r w:rsidRPr="00AA2406">
        <w:t>6</w:t>
      </w:r>
      <w:r w:rsidRPr="00AA2406">
        <w:t>.</w:t>
      </w:r>
      <w:r w:rsidRPr="00AA2406">
        <w:tab/>
        <w:t xml:space="preserve">fordømmer den systemiske straffrihed for embedsmænd og institutioner, der er ansvarlige for politisk undertrykkelse, chikane af journalister og menneskerettighedsforkæmpere og forfølgelse af oppositionsmedlemmer; understreger, at EU's reaktion hidtil har været utilstrækkelig og forsinket i lyset af den stigende autoritære konsolidering i Georgien; opfordrer indtrængende Rådet og medlemsstaterne til hurtigst muligt at vedtage koordinerede, EU-dækkende restriktive foranstaltninger over for alle ansvarlige politikere, embedsmænd og katalysatorer, herunder udvidelse af sanktionslister, fuld indefrysning af aktiver og visumforbud rettet mod dem, der er ansvarlige for statskorruption, undertrykkelse og regimestøttet propaganda; opfordrer indtrængende den kommende ungarske regering til at ophæve den blokade, som dens forgænger har pålagt EU-gældende sanktioner rettet mod </w:t>
      </w:r>
      <w:r w:rsidRPr="00AA2406">
        <w:t>Ivanishvili</w:t>
      </w:r>
      <w:r w:rsidRPr="00AA2406">
        <w:t xml:space="preserve"> og ledelsen af Den Georgiske Drøm i bredere forstand; opfordrer Rådet til at undersøge kollektive mekanismer, når enstemmighed ikke er mulig, for at sikre en effektiv og fælles EU-reaktion;</w:t>
      </w:r>
    </w:p>
    <w:p w:rsidR="00E31D38" w:rsidRPr="00AA2406" w:rsidP="00E31D38" w14:paraId="0591396F" w14:textId="77777777">
      <w:pPr>
        <w:pStyle w:val="Normal12a"/>
      </w:pPr>
      <w:r w:rsidRPr="00AA2406">
        <w:rPr>
          <w:b/>
          <w:i/>
        </w:rPr>
        <w:t>Fortsatte tilbageskridt for demokratiet og retsstatsprincippet og autokratisk konsolidering af magten</w:t>
      </w:r>
    </w:p>
    <w:p w:rsidR="00E31D38" w:rsidRPr="00AA2406" w:rsidP="00E31D38" w14:paraId="2F5513CB" w14:textId="4B6AEBD1">
      <w:pPr>
        <w:pStyle w:val="NormalHanging12a"/>
      </w:pPr>
      <w:r w:rsidRPr="00AA2406">
        <w:t>7</w:t>
      </w:r>
      <w:r w:rsidRPr="00AA2406">
        <w:t>.</w:t>
      </w:r>
      <w:r w:rsidRPr="00AA2406">
        <w:tab/>
        <w:t xml:space="preserve">beklager, at Den Georgiske Drøm ikke har taget skridt til at ændre sin antidemokratiske og </w:t>
      </w:r>
      <w:r w:rsidRPr="00AA2406">
        <w:t>antieuropæiske</w:t>
      </w:r>
      <w:r w:rsidRPr="00AA2406">
        <w:t xml:space="preserve"> kurs; mener, at samarbejdet med de georgiske myndigheder bør være strengt betinget af, at de tager håndgribelige og verificerbare skridt til at vende deres nuværende kurs med demokratiske tilbageskridt, undertrykkelse, restriktioner og voldsom russisk desinformation mod EU; fastholder derfor sine tidligere holdninger om manglende anerkendelse af legitimiteten af parlamentet og den formand, som det har udpeget; beklager, at Georgiens parlament reelt er et </w:t>
      </w:r>
      <w:r w:rsidRPr="00AA2406">
        <w:t>etpartiparlament</w:t>
      </w:r>
      <w:r w:rsidRPr="00AA2406">
        <w:t xml:space="preserve">, som blåstempler lovinitiativer, der har til formål at nedbryde grundlaget for et pluralistisk parlamentarisk demokrati; bemærker med bekymring, at det georgiske de facto-parlament har erklæret, at det midlertidigt trækker sig ud af Den Parlamentariske Forsamling </w:t>
      </w:r>
      <w:r w:rsidRPr="00AA2406">
        <w:t>Euronest</w:t>
      </w:r>
      <w:r w:rsidRPr="00AA2406">
        <w:t>;</w:t>
      </w:r>
    </w:p>
    <w:p w:rsidR="00E31D38" w:rsidRPr="00AA2406" w:rsidP="00E31D38" w14:paraId="6DE51C9F" w14:textId="5CFFFDF7">
      <w:pPr>
        <w:pStyle w:val="NormalHanging12a"/>
      </w:pPr>
      <w:r w:rsidRPr="00AA2406">
        <w:t>8</w:t>
      </w:r>
      <w:r w:rsidRPr="00AA2406">
        <w:t>.</w:t>
      </w:r>
      <w:r w:rsidRPr="00AA2406">
        <w:tab/>
        <w:t>gentager sin opfordring til EU's og medlemsstaternes repræsentanter og parlamentsmedlemmer om at afstå fra at holde møder med repræsentanter for regimet begyndende med den nuværende de facto-præsident, så længe de georgiske myndigheder fortsætter deres demokratiske tilbageskridt og undertrykkelse; opfordrer medlemsstaterne til at konsolidere en fælles og koordineret tilgang til at begrænse politiske kontakter med myndighederne under Den Georgiske Drøm til strengt nødvendige sager og samtidig opretholde og styrke samarbejde med det georgiske civilsamfund, uafhængige medier og akademiske institutioner; fordømmer den fastlåste aggressive retorik mod EU's og medlemsstaternes diplomater, politikere og embedsmænd; understreger vigtigheden af fortsat at fremme europæiske normer, demokratiske værdier og tiltrædelse af EU blandt den georgiske befolkning og de politiske kræfter, der går ind for demokratiske principper;</w:t>
      </w:r>
    </w:p>
    <w:p w:rsidR="00E31D38" w:rsidRPr="00AA2406" w:rsidP="00E31D38" w14:paraId="098803B7" w14:textId="223A611E">
      <w:pPr>
        <w:pStyle w:val="NormalHanging12a"/>
      </w:pPr>
      <w:r w:rsidRPr="00AA2406">
        <w:t>9</w:t>
      </w:r>
      <w:r w:rsidRPr="00AA2406">
        <w:t>.</w:t>
      </w:r>
      <w:r w:rsidRPr="00AA2406">
        <w:tab/>
        <w:t>bemærker med bekymring den aggressive retorik mod USA, Det Forenede Kongerige og andre allierede;</w:t>
      </w:r>
    </w:p>
    <w:p w:rsidR="00E31D38" w:rsidRPr="00AA2406" w:rsidP="00E31D38" w14:paraId="42033203" w14:textId="3F199AF4">
      <w:pPr>
        <w:pStyle w:val="NormalHanging12a"/>
      </w:pPr>
      <w:r w:rsidRPr="00AA2406">
        <w:t>10</w:t>
      </w:r>
      <w:r w:rsidRPr="00AA2406">
        <w:t>.</w:t>
      </w:r>
      <w:r w:rsidRPr="00AA2406">
        <w:tab/>
        <w:t>opfordrer de georgiske myndigheder til at genoprette meritbaserede garantier for offentligt ansatte, genindføre effektiv retsbeskyttelse mod politisk motiverede afskedigelser og sikre effektiv gennemførelse af retten til adgang til offentlig oplysning;</w:t>
      </w:r>
    </w:p>
    <w:p w:rsidR="00E31D38" w:rsidRPr="00AA2406" w:rsidP="00E31D38" w14:paraId="0FA26F37" w14:textId="5E24C1A0">
      <w:pPr>
        <w:pStyle w:val="NormalHanging12a"/>
      </w:pPr>
      <w:r w:rsidRPr="00AA2406">
        <w:t>11</w:t>
      </w:r>
      <w:r w:rsidRPr="00AA2406">
        <w:t>.</w:t>
      </w:r>
      <w:r w:rsidRPr="00AA2406">
        <w:tab/>
        <w:t xml:space="preserve">påpeger, at kommunalvalget den </w:t>
      </w:r>
      <w:r w:rsidRPr="00AA2406">
        <w:t>4</w:t>
      </w:r>
      <w:r w:rsidRPr="00AA2406">
        <w:t xml:space="preserve">. oktober </w:t>
      </w:r>
      <w:r w:rsidRPr="00AA2406">
        <w:t>2025</w:t>
      </w:r>
      <w:r w:rsidRPr="00AA2406">
        <w:t xml:space="preserve"> blev boykottet af flertallet af oppositionspartierne, hvilket afspejler den dybe mistillid, som flertallet af samfundet har til valgprocessens uafhængighed; beklager, at ændringerne af Georgiens valglov, der blev foretaget i december </w:t>
      </w:r>
      <w:r w:rsidRPr="00AA2406">
        <w:t>2024</w:t>
      </w:r>
      <w:r w:rsidRPr="00AA2406">
        <w:t xml:space="preserve"> og marts og april </w:t>
      </w:r>
      <w:r w:rsidRPr="00AA2406">
        <w:t>2025</w:t>
      </w:r>
      <w:r w:rsidRPr="00AA2406">
        <w:t xml:space="preserve">, yderligere styrkede regeringspartiets dominans og indførte nye begrænsninger for registrering af lokale observatører, medier og valgemner; gentager, at de georgiske myndigheder ignorerede Venedigkommissionens opfordringer til at ophæve de ændringer, der blev foretaget i </w:t>
      </w:r>
      <w:r w:rsidRPr="00AA2406">
        <w:t>2024</w:t>
      </w:r>
      <w:r w:rsidRPr="00AA2406">
        <w:t xml:space="preserve">; understreger, at den manglende observatørmissioner fra OSCE/ODIHR på grund af en sen indbydelse, og fra lokale observatørorganisationer på grund af restriktioner, i alvorlig grad påvirkede valgprocessens gennemsigtighed og troværdigheden af dens resultater; gentager sin opfordring til forbedrede valgbetingelser, der etableres af en uafhængig og upartisk valgforvaltning med henblik på fremtidige valg under omhyggelig overvågning af internationale og nationale </w:t>
      </w:r>
      <w:r w:rsidRPr="00AA2406">
        <w:t>ikkestatslige</w:t>
      </w:r>
      <w:r w:rsidRPr="00AA2406">
        <w:t xml:space="preserve"> organisationer (NGO'er); udtrykker stor bekymring over ændringen af valgloven fra december </w:t>
      </w:r>
      <w:r w:rsidRPr="00AA2406">
        <w:t>2025</w:t>
      </w:r>
      <w:r w:rsidRPr="00AA2406">
        <w:t>, som forbyder georgiske borgere at stemme fra udlandet; understreger, at deltagelse i valg er en grundlæggende forfatningsrettighed for alle borgere og skal muliggøres uanset bopæl;</w:t>
      </w:r>
    </w:p>
    <w:p w:rsidR="00E31D38" w:rsidRPr="00AA2406" w:rsidP="00E31D38" w14:paraId="65914774" w14:textId="76C30503">
      <w:pPr>
        <w:pStyle w:val="NormalHanging12a"/>
      </w:pPr>
      <w:r w:rsidRPr="00AA2406">
        <w:t>12</w:t>
      </w:r>
      <w:r w:rsidRPr="00AA2406">
        <w:t>.</w:t>
      </w:r>
      <w:r w:rsidRPr="00AA2406">
        <w:tab/>
        <w:t xml:space="preserve">fordømmer vedtagelsen af en hidtil uset og stadig mere restriktiv lovgivning, der har til formål at gøre det praktisk umuligt for international støtte, herunder finansielle midler, at nå ud til civilsamfundet og medierne og at afskære dem fra enhver uafhængig økonomisk støtte; fremhæver de seneste ændringer af loven om tilskud, der trådte i kraft den </w:t>
      </w:r>
      <w:r w:rsidRPr="00AA2406">
        <w:t>5</w:t>
      </w:r>
      <w:r w:rsidRPr="00AA2406">
        <w:t xml:space="preserve">. marts </w:t>
      </w:r>
      <w:r w:rsidRPr="00AA2406">
        <w:t>2026</w:t>
      </w:r>
      <w:r w:rsidRPr="00AA2406">
        <w:t>, og som i væsentlig grad udvider anvendelsesområdet for, hvad der betragtes som et "tilskud", og gør det strafbart at modtage tilskud eller finansiering fra udlandet uden forudgående tilladelse fra regeringen med op til seks års fængsel; bemærker, at dette er en direkte overtrædelse af associeringsaftalen mellem EU og Georgien; opfordrer til at beskytte politiske fonde, internationale NGO'er og udviklingsagenturer; minder de georgiske myndigheder om, at enhver form for chikane af EU-medlemsstaters organisationer vil føre til direkte konsekvenser;</w:t>
      </w:r>
    </w:p>
    <w:p w:rsidR="00E31D38" w:rsidRPr="00AA2406" w:rsidP="00E31D38" w14:paraId="116F0902" w14:textId="4B202F64">
      <w:pPr>
        <w:pStyle w:val="NormalHanging12a"/>
      </w:pPr>
      <w:r w:rsidRPr="00AA2406">
        <w:t>13</w:t>
      </w:r>
      <w:r w:rsidRPr="00AA2406">
        <w:t>.</w:t>
      </w:r>
      <w:r w:rsidRPr="00AA2406">
        <w:tab/>
        <w:t xml:space="preserve">noterer sig, at disse ændringerne følger de ændringer til loven om tilskud, som blev vedtaget i april </w:t>
      </w:r>
      <w:r w:rsidRPr="00AA2406">
        <w:t>2025</w:t>
      </w:r>
      <w:r w:rsidRPr="00AA2406">
        <w:t xml:space="preserve">, og som allerede i høj grad indsnævrede mulighederne for international økonomisk støtte og indførte et krav om, at internationale donorer skal søge om forhåndsgodkendelse af tilskud fra statslige myndigheder og restriktiv overvågning og strafferetligt administrativt ansvar for støttemodtagere med henblik på at afskrække organisationer fra at acceptere international bistand, herunder økonomisk støtte fra EU; understreger, at den vidtfavnende definition af et "tilskud" kan omfatte en bred vifte af transaktioner, som kræver forhåndsgodkendelse, og kan gøre enhver borger til et potentielt mål for forfølgelse fra regeringens side; noterer sig med bekymring forbuddet mod partimedlemskab i otte år for enhver, der på noget tidspunkt har været ansat af en organisation, som var afhængig af udenlandsk økonomisk støtte, hvorved et stort antal samfundsaktive personer forbydes at deltage i </w:t>
      </w:r>
      <w:r w:rsidRPr="00AA2406">
        <w:t>partipolitik</w:t>
      </w:r>
      <w:r w:rsidRPr="00AA2406">
        <w:t>; opfordrer indtrængende EU og medlemsstaterne til straks at træffe foranstaltninger til at beskytte og bevare de resterende uafhængige medier og civilsamfundsorganisationer i Georgien;</w:t>
      </w:r>
    </w:p>
    <w:p w:rsidR="00E31D38" w:rsidRPr="00AA2406" w:rsidP="00E31D38" w14:paraId="6BB9395C" w14:textId="3554E857">
      <w:pPr>
        <w:pStyle w:val="NormalHanging12a"/>
      </w:pPr>
      <w:r w:rsidRPr="00AA2406">
        <w:t>14</w:t>
      </w:r>
      <w:r w:rsidRPr="00AA2406">
        <w:t>.</w:t>
      </w:r>
      <w:r w:rsidRPr="00AA2406">
        <w:tab/>
        <w:t xml:space="preserve">beklager dybt det regerende parti Den Georgiske Drøms fortsatte forsøg på at forfølge politiske modstandere, herunder gennem ulovlig anholdelse og tilbageholdelse, trusler og fysiske angreb; fordømmer fængslingen af politiske modstandere for at nægte at give </w:t>
      </w:r>
      <w:r w:rsidRPr="00AA2406">
        <w:t xml:space="preserve">møde for det georgiske de facto-parlaments midlertidige undersøgelseskommission, der blev anvendt af Den Georgiske Drøm som en form for politisk skueproces med det formål at bane vejen for den yderligere forfølgelse af politiske modstandere og forbuddet mod oppositionspartier; indskærper, at tilstedeværelsen af politiske fanger i Georgien er uforeneligt med landets forpligtelser i henhold til associeringsaftalen mellem EU og Georgien; opfordrer til øjeblikkelig og betingelsesløs løsladelse af alle, der er fængslet af politiske grunde, herunder oppositionspolitikere og tidligere tjenestemænd; noterer sig, at to oppositionspolitikere blev benådet af de facto-præsidenten forud for kommunalvalgene for at skabe indtrykket af konkurrencebaserede valg; gentager på det kraftigste sit krav om øjeblikkelig løsladelse af den tidligere præsident </w:t>
      </w:r>
      <w:r w:rsidRPr="00AA2406">
        <w:t>Mikheil</w:t>
      </w:r>
      <w:r w:rsidRPr="00AA2406">
        <w:t xml:space="preserve"> </w:t>
      </w:r>
      <w:r w:rsidRPr="00AA2406">
        <w:t>Saakashvili</w:t>
      </w:r>
      <w:r w:rsidRPr="00AA2406">
        <w:t xml:space="preserve"> af humanitære årsager med henblik på, at han søger den nødvendige lægebehandling i udlandet; opfordrer endvidere myndighederne under Den Georgiske Drøm til at sikre, at medlemmer af Europa-Parlamentet får uhindret adgang til </w:t>
      </w:r>
      <w:r w:rsidRPr="00AA2406">
        <w:t>Mikheil</w:t>
      </w:r>
      <w:r w:rsidRPr="00AA2406">
        <w:t xml:space="preserve"> </w:t>
      </w:r>
      <w:r w:rsidRPr="00AA2406">
        <w:t>Saakashvili</w:t>
      </w:r>
      <w:r w:rsidRPr="00AA2406">
        <w:t xml:space="preserve"> og andre politiske fanger;</w:t>
      </w:r>
    </w:p>
    <w:p w:rsidR="00E31D38" w:rsidRPr="00AA2406" w:rsidP="00E31D38" w14:paraId="3BDA81FF" w14:textId="56BAF6AF">
      <w:pPr>
        <w:pStyle w:val="NormalHanging12a"/>
      </w:pPr>
      <w:r w:rsidRPr="00AA2406">
        <w:t>15</w:t>
      </w:r>
      <w:r w:rsidRPr="00AA2406">
        <w:t>.</w:t>
      </w:r>
      <w:r w:rsidRPr="00AA2406">
        <w:tab/>
        <w:t xml:space="preserve">noterer sig, at fængslingen af den tidligere premierminister </w:t>
      </w:r>
      <w:r w:rsidRPr="00AA2406">
        <w:t>Irakli</w:t>
      </w:r>
      <w:r w:rsidRPr="00AA2406">
        <w:t xml:space="preserve"> </w:t>
      </w:r>
      <w:r w:rsidRPr="00AA2406">
        <w:t>Gharibashvili</w:t>
      </w:r>
      <w:r w:rsidRPr="00AA2406">
        <w:t xml:space="preserve"> på trods af en tilståelse og eksistensen af troværdigt offentligt tilvejebragt bevismateriale for korruption giver anledning til alvorlig bekymring med hensyn til, om sagen opfyldte standarderne for en retfærdig rettergang; understreger, at sagen afspejler mere overordnede problemstillinger vedrørende politisk påvirket retfærdighed, uformelle magtstrukturer og interne splittelser i det regerende parti Georgiens Drøm, herunder </w:t>
      </w:r>
      <w:r w:rsidRPr="00AA2406">
        <w:t>Bidzina</w:t>
      </w:r>
      <w:r w:rsidRPr="00AA2406">
        <w:t xml:space="preserve"> </w:t>
      </w:r>
      <w:r w:rsidRPr="00AA2406">
        <w:t>Ivanishvilis</w:t>
      </w:r>
      <w:r w:rsidRPr="00AA2406">
        <w:t xml:space="preserve"> rolle;</w:t>
      </w:r>
    </w:p>
    <w:p w:rsidR="00E31D38" w:rsidRPr="00AA2406" w:rsidP="00E31D38" w14:paraId="48B9EBFA" w14:textId="19FD64C9">
      <w:pPr>
        <w:pStyle w:val="NormalHanging12a"/>
      </w:pPr>
      <w:r w:rsidRPr="00AA2406">
        <w:t>16</w:t>
      </w:r>
      <w:r w:rsidRPr="00AA2406">
        <w:t>.</w:t>
      </w:r>
      <w:r w:rsidRPr="00AA2406">
        <w:tab/>
        <w:t>opfordrer de georgiske myndigheder til at gennemføre uafhængige ansvarlighedsmekanismer, sikre retsvæsenets upartiskhed og drage gerningsmænd til politisk motiverede overgreb til ansvar i overensstemmelse med internationale menneskerettighedsstandarder;</w:t>
      </w:r>
    </w:p>
    <w:p w:rsidR="00E31D38" w:rsidRPr="00AA2406" w:rsidP="00E31D38" w14:paraId="1F9EB595" w14:textId="20D19D55">
      <w:pPr>
        <w:pStyle w:val="NormalHanging12a"/>
      </w:pPr>
      <w:r w:rsidRPr="00AA2406">
        <w:t>17</w:t>
      </w:r>
      <w:r w:rsidRPr="00AA2406">
        <w:t>.</w:t>
      </w:r>
      <w:r w:rsidRPr="00AA2406">
        <w:tab/>
        <w:t xml:space="preserve">opfordrer til en fyldestgørende reform af det øverste domstolsråd i overensstemmelse med Venedigkommissionens henstillinger, herunder indførelsen af faste </w:t>
      </w:r>
      <w:r w:rsidRPr="00AA2406">
        <w:t>ikkefornyelige</w:t>
      </w:r>
      <w:r w:rsidRPr="00AA2406">
        <w:t xml:space="preserve"> mandatperioder, gennemsigtige udnævnelsesprocedurer og ekstraordinære tjek for integritet af højtstående embedsmænd i retsvæsenet med meningsfuld inddragelse af internationale eksperter, med henblik på at styrke retsvæsenets uafhængighed og offentlighedens tillid til retsvæsenet; noterer sig med skuffelse opløsningen af kontoret for bekæmpelse af korruption, som blev oprettet i </w:t>
      </w:r>
      <w:r w:rsidRPr="00AA2406">
        <w:t>2022</w:t>
      </w:r>
      <w:r w:rsidRPr="00AA2406">
        <w:t>, og som var et af EU's centrale krav for at give Georgien kandidatstatus; opfordrer de georgiske myndigheder til at ændre udnævnelsesproceduren for stillingen som rigsadvokaten ved at kræve et kvalificeret parlamentarisk flertal og til at tilpasse loven om anklagemyndigheden til europæiske standarder;</w:t>
      </w:r>
    </w:p>
    <w:p w:rsidR="00E31D38" w:rsidRPr="00AA2406" w:rsidP="00E31D38" w14:paraId="26A8CDDA" w14:textId="22B085DF">
      <w:pPr>
        <w:pStyle w:val="NormalHanging12a"/>
      </w:pPr>
      <w:r w:rsidRPr="00AA2406">
        <w:t>18</w:t>
      </w:r>
      <w:r w:rsidRPr="00AA2406">
        <w:t>.</w:t>
      </w:r>
      <w:r w:rsidRPr="00AA2406">
        <w:tab/>
        <w:t xml:space="preserve">opfordrer indtrængende Georgiens ombudsmand til at intensivere udførelsen af sit mandat og anvende alle tilgængelige mekanismer til at beskytte menneskerettigheder og indgå i en konstruktiv dialog og konstruktivt samarbejde med menneskerettighedsforkæmpere og civilsamfundet i Georgien; understreger nødvendigheden af at forhindre selektiv anvendelse af hans mandat, som omhandlet i Kommissionens </w:t>
      </w:r>
      <w:r w:rsidRPr="00AA2406">
        <w:t>2025</w:t>
      </w:r>
      <w:r w:rsidRPr="00AA2406">
        <w:t>-rapport om Georgien; fremhæver ombudsmandens særlige beføjelse til at anmode om lovgivningsudtalelser fra OSCE/ODIHR om autoritær eller ikkedemokratisk lovgivning;</w:t>
      </w:r>
    </w:p>
    <w:p w:rsidR="00E31D38" w:rsidRPr="00AA2406" w:rsidP="00E31D38" w14:paraId="34EDEAEE" w14:textId="3DF27470">
      <w:pPr>
        <w:pStyle w:val="NormalHanging12a"/>
      </w:pPr>
      <w:r w:rsidRPr="00AA2406">
        <w:t>19</w:t>
      </w:r>
      <w:r w:rsidRPr="00AA2406">
        <w:t>.</w:t>
      </w:r>
      <w:r w:rsidRPr="00AA2406">
        <w:tab/>
        <w:t xml:space="preserve">beklager, at der ikke er gjort fremskridt med hensyn til afvikling af oligarkiet, og opfordrer de georgiske myndigheder til at indføre en systemisk tilgang i overensstemmelse med Venedigkommissionens relevante henstillinger, herunder </w:t>
      </w:r>
      <w:r w:rsidRPr="00AA2406">
        <w:t>styrkede gennemsigtighedskrav, effektive regler om interessekonflikter og sikkerhedsforanstaltninger mod utilbørlig påvirkning af politisk og økonomisk beslutningstagning;</w:t>
      </w:r>
    </w:p>
    <w:p w:rsidR="00E31D38" w:rsidRPr="00AA2406" w:rsidP="00E31D38" w14:paraId="265A71EC" w14:textId="293DA5CA">
      <w:pPr>
        <w:pStyle w:val="NormalHanging12a"/>
      </w:pPr>
      <w:r w:rsidRPr="00AA2406">
        <w:t>20</w:t>
      </w:r>
      <w:r w:rsidRPr="00AA2406">
        <w:t>.</w:t>
      </w:r>
      <w:r w:rsidRPr="00AA2406">
        <w:tab/>
        <w:t xml:space="preserve">fordømmer på det kraftigste de georgiske myndigheders forsøg på at forbyde oppositionspartier; opfordrer myndighederne til øjeblikkeligt at standse disse forsøg og til at trække den forfatningsretssag, der er anlagt af </w:t>
      </w:r>
      <w:r w:rsidRPr="00AA2406">
        <w:t>88</w:t>
      </w:r>
      <w:r w:rsidRPr="00AA2406">
        <w:t xml:space="preserve"> medlemmer af det georgiske de facto-parlament, med anmodning om, at tre store oppositionspartiers aktiviteter – Den Forenede Nationale Bevægelse, Koalitionen for Forandring og Koalitionen Strong Georgia-</w:t>
      </w:r>
      <w:r w:rsidRPr="00AA2406">
        <w:t>Lelo</w:t>
      </w:r>
      <w:r w:rsidRPr="00AA2406">
        <w:t xml:space="preserve"> – erklæres forfatningsstridige, og at deres registrering annulleres; understreger, at sådanne handlinger udgør en farlig trussel mod grundlæggende demokratiske principper og politisk pluralisme; understreger, at et sundt demokrati kræver fair og fri konkurrence mellem forskellige parter;</w:t>
      </w:r>
    </w:p>
    <w:p w:rsidR="00E31D38" w:rsidRPr="00AA2406" w:rsidP="00E31D38" w14:paraId="76D12CD1" w14:textId="063863D1">
      <w:pPr>
        <w:pStyle w:val="NormalHanging12a"/>
      </w:pPr>
      <w:r w:rsidRPr="00AA2406">
        <w:t>21</w:t>
      </w:r>
      <w:r w:rsidRPr="00AA2406">
        <w:t>.</w:t>
      </w:r>
      <w:r w:rsidRPr="00AA2406">
        <w:tab/>
        <w:t>udtrykker stærk misbilligelse af den nylige indførelse af en ny artikel i straffeloven, der forbyder "offentlig og systematisk" kritik af myndighederne eller sætter spørgsmålstegn ved deres legitimitet samt "enhver anden offentlig og systematisk handling foretaget af den samme person", som fortsat er åben for fortolkning, men giver mulighed for fængsel i op til tre år; fremhæver, at dette giver mulighed for en de facto-kriminalisering af ytringsfriheden, og opfordrer regeringen til at fordømme denne lov;</w:t>
      </w:r>
    </w:p>
    <w:p w:rsidR="00E31D38" w:rsidRPr="00AA2406" w:rsidP="00E31D38" w14:paraId="51B15612" w14:textId="77777777">
      <w:pPr>
        <w:pStyle w:val="Normal12a"/>
      </w:pPr>
      <w:r w:rsidRPr="00AA2406">
        <w:rPr>
          <w:b/>
          <w:i/>
        </w:rPr>
        <w:t>Undertrykkelse af borgerlige frihedsrettigheder og grundlæggende rettigheder</w:t>
      </w:r>
    </w:p>
    <w:p w:rsidR="00E31D38" w:rsidRPr="00AA2406" w:rsidP="00E31D38" w14:paraId="1B3FCC07" w14:textId="2145F94A">
      <w:pPr>
        <w:pStyle w:val="NormalHanging12a"/>
      </w:pPr>
      <w:r w:rsidRPr="00AA2406">
        <w:t>22</w:t>
      </w:r>
      <w:r w:rsidRPr="00AA2406">
        <w:t>.</w:t>
      </w:r>
      <w:r w:rsidRPr="00AA2406">
        <w:tab/>
        <w:t xml:space="preserve">er yderst bekymret over, at Den Georgiske Drøm allerede har vedtaget en række retsakter, der har til formål at kvæle civilsamfundet og uafhængige medier og begrænse pluralismen, såsom loven om registrering af udenlandske agenter, restriktive ændringer af loven om radio- og </w:t>
      </w:r>
      <w:r w:rsidRPr="00AA2406">
        <w:t>TV-virksomhed</w:t>
      </w:r>
      <w:r w:rsidRPr="00AA2406">
        <w:t>, loven om offentlig forvaltning, loven om forsamlinger og demonstrationer samt strengere bestemmelser i straffeloven og loven om administrative lovovertrædelser; fordømmer navnlig lovgivningsmæssige foranstaltninger, som medfører større bøder i henhold til administrative love, hvilket i stigende grad resulterer i fængsling af demonstranter, som ikke er i stand til at betale disse bøder; gentager sin opfordring til straks at løslade alle politiske fanger og andre ulovligt tilbageholdte personer; advarer om, at de georgiske myndigheders bestræbelser på at omdanne Georgiens dynamiske civilsamfund til et strengt kontrolleret miljø af regeringstilpassede organisationer udgør et yderligere skridt i retning af at blive et autoritært regime; minder om, at de fleste af disse love kopierer den tidlige udvikling under Putins totalitære regime i Rusland; opfordrer de georgiske myndigheder til at ophæve disse retsakter som et håndgribeligt skridt tilbage på vejen mod EU;</w:t>
      </w:r>
    </w:p>
    <w:p w:rsidR="00E31D38" w:rsidRPr="00AA2406" w:rsidP="00E31D38" w14:paraId="7982FA10" w14:textId="38B99632">
      <w:pPr>
        <w:pStyle w:val="NormalHanging12a"/>
      </w:pPr>
      <w:r w:rsidRPr="00AA2406">
        <w:t>23</w:t>
      </w:r>
      <w:r w:rsidRPr="00AA2406">
        <w:t>.</w:t>
      </w:r>
      <w:r w:rsidRPr="00AA2406">
        <w:tab/>
        <w:t xml:space="preserve">fordømmer den nedværdigende og umenneskelige behandling, som Elene </w:t>
      </w:r>
      <w:r w:rsidRPr="00AA2406">
        <w:t>Khoshtaria</w:t>
      </w:r>
      <w:r w:rsidRPr="00AA2406">
        <w:t xml:space="preserve"> angiveligt er blevet udsat for under sin frihedsberøvelse; kræver øjeblikkelig og betingelsesløs løsladelse af hende og øjeblikkelig tilbagetrækning af politisk motiverede anklager mod hende;</w:t>
      </w:r>
    </w:p>
    <w:p w:rsidR="00E31D38" w:rsidRPr="00AA2406" w:rsidP="00E31D38" w14:paraId="30C029A1" w14:textId="16245485">
      <w:pPr>
        <w:pStyle w:val="NormalHanging12a"/>
      </w:pPr>
      <w:r w:rsidRPr="00AA2406">
        <w:t>24</w:t>
      </w:r>
      <w:r w:rsidRPr="00AA2406">
        <w:t>.</w:t>
      </w:r>
      <w:r w:rsidRPr="00AA2406">
        <w:tab/>
        <w:t xml:space="preserve">giver udtryk for stor bekymring over det fortsatte misbrug af administrativ tilbageholdelse af demonstranter og aktivister; noterer sig Den Europæiske Menneskerettighedsdomstols dom i sagen </w:t>
      </w:r>
      <w:r w:rsidRPr="00AA2406">
        <w:t>Mekvabishvili</w:t>
      </w:r>
      <w:r w:rsidRPr="00AA2406">
        <w:t xml:space="preserve"> mod Georgien, hvori det fastslås, at hvor man udelukkende baserede sig på politiets vidneudsagn uden uafhængige beviser, blev garantierne for en retfærdig rettergang undergravet, og det bidrog til indførelsen af uforholdsmæssige sanktioner mod fredelige demonstranter; opfordrer de georgiske myndigheder til at reformere deres procedurer for administrative </w:t>
      </w:r>
      <w:r w:rsidRPr="00AA2406">
        <w:t>lovovertrædelser for at bringe dem i overensstemmelse med den europæiske menneskerettighedskonvention;</w:t>
      </w:r>
    </w:p>
    <w:p w:rsidR="00E31D38" w:rsidRPr="00AA2406" w:rsidP="00E31D38" w14:paraId="5709DC08" w14:textId="4F517E87">
      <w:pPr>
        <w:pStyle w:val="NormalHanging12a"/>
      </w:pPr>
      <w:r w:rsidRPr="00AA2406">
        <w:t>25</w:t>
      </w:r>
      <w:r w:rsidRPr="00AA2406">
        <w:t>.</w:t>
      </w:r>
      <w:r w:rsidRPr="00AA2406">
        <w:tab/>
        <w:t>fordømmer troværdige forlydender om urimelig magtanvendelse, tortur og mishandling af demonstranter og tilbageholdte, herunder nylige konklusioner fra Den Europæiske Komité til Forebyggelse af Tortur og Umenneskelig eller Vanærende Behandling eller Straf, som dokumenterer påstande om politivold og systematiske mangler i sikkerhedsforanstaltninger og ansvarlighed; opfordrer de georgiske myndigheder til at sikre omgående, uafhængige og effektive efterforskninger, retsforfølge de ansvarlige og i fuld udstrækning gennemføre henstillingerne fra Den Europæiske Komité til Forebyggelse af Tortur og Umenneskelig eller Vanærende Behandling eller Straf;</w:t>
      </w:r>
    </w:p>
    <w:p w:rsidR="00E31D38" w:rsidRPr="00AA2406" w:rsidP="00E31D38" w14:paraId="304AF0E1" w14:textId="19307754">
      <w:pPr>
        <w:pStyle w:val="NormalHanging12a"/>
      </w:pPr>
      <w:r w:rsidRPr="00AA2406">
        <w:t>26</w:t>
      </w:r>
      <w:r w:rsidRPr="00AA2406">
        <w:t>.</w:t>
      </w:r>
      <w:r w:rsidRPr="00AA2406">
        <w:tab/>
        <w:t>fordømmer den stigende tendens til, at georgiske retshåndhævende myndigheder anvender verbale og fysiske overgreb mod demonstranter, trusler om voldtægt og anden kønsbaseret vold og ulovlige kropsvisitationer som led i en kampagne for at intimidere systemkritikere, navnlig kvindelige demonstranter, og kvæler georgiske borgeres menneskerettigheder med hensyn til ytrings- og forsamlingsfrihed;</w:t>
      </w:r>
    </w:p>
    <w:p w:rsidR="00E31D38" w:rsidRPr="00AA2406" w:rsidP="00E31D38" w14:paraId="4607B6A3" w14:textId="418A435F">
      <w:pPr>
        <w:pStyle w:val="NormalHanging12a"/>
      </w:pPr>
      <w:r w:rsidRPr="00AA2406">
        <w:t>27</w:t>
      </w:r>
      <w:r w:rsidRPr="00AA2406">
        <w:t>.</w:t>
      </w:r>
      <w:r w:rsidRPr="00AA2406">
        <w:tab/>
        <w:t>fordømmer den vedtagne lovgivning, der giver mulighed for automatisk tilbageholdelse og indførelsen af efterfølgende strafferetlige sanktioner, herunder fængsel i op til et år, for personer, der demonstrerer fredeligt på fortove og i fodgængerområder; understreger, at disse foranstaltninger er undertrykkende instrumenter, der har til formål at undertrykke afvigende holdninger af politiske grunde; beklager dybt den hyppige tilbageholdelse af personer, som deler deres holdninger på sociale medier;</w:t>
      </w:r>
    </w:p>
    <w:p w:rsidR="00E31D38" w:rsidRPr="00AA2406" w:rsidP="00E31D38" w14:paraId="30F66F52" w14:textId="6362CCD4">
      <w:pPr>
        <w:pStyle w:val="NormalHanging12a"/>
      </w:pPr>
      <w:r w:rsidRPr="00AA2406">
        <w:t>28</w:t>
      </w:r>
      <w:r w:rsidRPr="00AA2406">
        <w:t>.</w:t>
      </w:r>
      <w:r w:rsidRPr="00AA2406">
        <w:tab/>
        <w:t>udtrykker sin dybeste bekymring over beskyldningerne om, at der i Georgien kan have været anvendt et forbudt kemisk middel mod enkeltpersoner i forbindelse med demonstrationer; understreger, at anvendelse, hvis dette bekræftes, af enhver form for kemiske midler mod civile vil være en alvorlig krænkelse af grundlæggende menneskerettigheder, internationale humanitære normer og Georgiens forpligtelser i henhold til folkeretten, herunder forbuddet mod kemiske våben; beklager de georgiske myndigheders utilstrækkelige undersøgelse af dette spørgsmål; opfordrer til en øjeblikkelig, uafhængig og gennemsigtig international undersøgelse af disse beskyldninger; opfordrer til, at FN's Organisation for Forbud mod Kemiske Våben foretager en undersøgelse, og opfordrer indtrængende medlemsstaterne til at henvise denne sag til yderligere efterforskning;</w:t>
      </w:r>
    </w:p>
    <w:p w:rsidR="00E31D38" w:rsidRPr="00AA2406" w:rsidP="00E31D38" w14:paraId="79196A09" w14:textId="1A865213">
      <w:pPr>
        <w:pStyle w:val="NormalHanging12a"/>
      </w:pPr>
      <w:r w:rsidRPr="00AA2406">
        <w:t>29</w:t>
      </w:r>
      <w:r w:rsidRPr="00AA2406">
        <w:t>.</w:t>
      </w:r>
      <w:r w:rsidRPr="00AA2406">
        <w:tab/>
        <w:t>giver udtryk for stor bekymring over systematiske menneskerettighedskrænkelser i Georgien og forskelsbehandling af sårbare grupper, herunder LGBTIQ+-personer; understreger, at disse krænkelser er uforenelige med Georgiens forpligtelser i henhold til associeringsaftalen mellem EU og Georgien samt internationale menneskerettighedsstandarder; opfordrer de georgiske myndigheder til at værne om retten til ytringsfrihed, forsamlingsfrihed, foreningsfrihed og politisk deltagelse samt til at tilvejebringe sikkerhed og beskyttelse og effektive retsmidler for alle menneskerettighedsforkæmpere og -aktivister; opfordrer på det kraftigste EU og medlemsstaterne til at overvåge disse krænkelser, yde støtte og beskyttelse til udsatte personer og koble fremskridt gjort med hensyn til EU-bistand, -samarbejde og -tiltrædelse sammen med håndgribelige forbedringer af beskyttelse af menneskerettigheder;</w:t>
      </w:r>
    </w:p>
    <w:p w:rsidR="00E31D38" w:rsidRPr="00AA2406" w:rsidP="00E31D38" w14:paraId="5F05E5E3" w14:textId="56F11255">
      <w:pPr>
        <w:pStyle w:val="NormalHanging12a"/>
      </w:pPr>
      <w:r w:rsidRPr="00AA2406">
        <w:t>30</w:t>
      </w:r>
      <w:r w:rsidRPr="00AA2406">
        <w:t>.</w:t>
      </w:r>
      <w:r w:rsidRPr="00AA2406">
        <w:tab/>
        <w:t xml:space="preserve">opfordrer indtrængende det georgiske de facto-parlament til at ophæve loven om familieværdier og beskyttelse af mindreårige, hvis bestemmelser er groft </w:t>
      </w:r>
      <w:r w:rsidRPr="00AA2406">
        <w:t>menneskerettighedskrænkende, herunder retten til lighed, ikkeforskelsbehandling, uddannelse, sundhed, ytrings-, forsamlings- og foreningsfrihed samt privatlivets fred, frihed og sikkerhed; står sammen med LGBTIQ+-samfundet i Georgien og er dybt rystet over lovens falske ligestilling af forhold mellem samtykkende personer af samme køn og incest; minder om, at lignende love i Rusland under Putins regime har banet vejen for den ekspansive undertrykkelse af mindretal og i sidste ende en atmosfære af intimidering og forskelsbehandling i Rusland;</w:t>
      </w:r>
    </w:p>
    <w:p w:rsidR="00E31D38" w:rsidRPr="00AA2406" w:rsidP="00E31D38" w14:paraId="005110CF" w14:textId="4BA3BCEE">
      <w:pPr>
        <w:pStyle w:val="NormalHanging12a"/>
      </w:pPr>
      <w:r w:rsidRPr="00AA2406">
        <w:t>31</w:t>
      </w:r>
      <w:r w:rsidRPr="00AA2406">
        <w:t>.</w:t>
      </w:r>
      <w:r w:rsidRPr="00AA2406">
        <w:tab/>
        <w:t xml:space="preserve">udtrykker alvorlig bekymring over situationen i Georgiens </w:t>
      </w:r>
      <w:r w:rsidRPr="00AA2406">
        <w:t>Tjiatura</w:t>
      </w:r>
      <w:r w:rsidRPr="00AA2406">
        <w:t>-region som følge af udvindingen af mangan til EU-markedet, og opfordrer til at gennemføre direktivet om virksomheders due diligence i forbindelse med bæredygtighed, fordi EU har et ansvar for lokale beboeres trivsel og for at beskytte miljøet, som er berørt af den forvoldte skade;</w:t>
      </w:r>
    </w:p>
    <w:p w:rsidR="00E31D38" w:rsidRPr="00AA2406" w:rsidP="00E31D38" w14:paraId="40FE726C" w14:textId="0B85AC19">
      <w:pPr>
        <w:pStyle w:val="NormalHanging12a"/>
      </w:pPr>
      <w:r w:rsidRPr="00AA2406">
        <w:t>32</w:t>
      </w:r>
      <w:r w:rsidRPr="00AA2406">
        <w:t>.</w:t>
      </w:r>
      <w:r w:rsidRPr="00AA2406">
        <w:tab/>
        <w:t xml:space="preserve">gentager sin modstand mod tilbageskridtene for arbejdsmarkedslovgivning og arbejdstagerrettigheder i Georgien som set ved ændringerne i </w:t>
      </w:r>
      <w:r w:rsidRPr="00AA2406">
        <w:t>2024</w:t>
      </w:r>
      <w:r w:rsidRPr="00AA2406">
        <w:t xml:space="preserve"> af loven om offentlig forvaltning; opfordrer de georgiske myndigheder til at overholde arbejdsretlige standarder og afstå fra at begrænse arbejdstagerrettigheder; minder om, at gældende EU-ret omfatter overensstemmelse med Den Internationale Arbejdsorganisations (ILO's) konventioner, den europæiske socialpagt og EU-lovgivning om arbejdsvilkår;</w:t>
      </w:r>
    </w:p>
    <w:p w:rsidR="00E31D38" w:rsidRPr="00AA2406" w:rsidP="00E31D38" w14:paraId="7C786CED" w14:textId="577837E4">
      <w:pPr>
        <w:pStyle w:val="NormalHanging12a"/>
      </w:pPr>
      <w:r w:rsidRPr="00AA2406">
        <w:t>33</w:t>
      </w:r>
      <w:r w:rsidRPr="00AA2406">
        <w:t>.</w:t>
      </w:r>
      <w:r w:rsidRPr="00AA2406">
        <w:tab/>
        <w:t xml:space="preserve">glæder sig over </w:t>
      </w:r>
      <w:r w:rsidRPr="00AA2406">
        <w:t>OSCE's</w:t>
      </w:r>
      <w:r w:rsidRPr="00AA2406">
        <w:t xml:space="preserve"> aktivering af den såkaldte Moskvamekanisme på initiativ af </w:t>
      </w:r>
      <w:r w:rsidRPr="00AA2406">
        <w:t>24</w:t>
      </w:r>
      <w:r w:rsidRPr="00AA2406">
        <w:t xml:space="preserve"> deltagerlande, hvilket gav mulighed for at sende en ekspertmission for at vurdere Georgiens gennemførelse af OSCE-forpligtelserne, navnlig med hensyn til menneskerettighedssituationen og de grundlæggende frihedsrettigheder siden foråret </w:t>
      </w:r>
      <w:r w:rsidRPr="00AA2406">
        <w:t>2024</w:t>
      </w:r>
      <w:r w:rsidRPr="00AA2406">
        <w:t xml:space="preserve">; opfordrer de georgiske myndigheder til at engagere sig væsentligt i dens resultater og gennemføre dens henstillinger inden for klare frister, herunder om løsladelse af personer, der tilbageholdes af politiske årsager, ophævelse af lovgivning, der er uforenelig med internationale forpligtelser, og </w:t>
      </w:r>
      <w:r w:rsidRPr="00AA2406">
        <w:t>ansvarliggørelse</w:t>
      </w:r>
      <w:r w:rsidRPr="00AA2406">
        <w:t xml:space="preserve"> for mishandling; understreger, at hvis myndighederne ikke tager konkrete og verificerbare skridt til at gennemføre dens henstillinger, bør de deltagende stater og relevante internationale institutioner overveje hensigtsmæssige opfølgende foranstaltninger for at sikre ansvarlighed, herunder målrettede sanktioner og anvendelse af relevante internationale juridiske mekanismer; opfordrer de EU-medlemsstaterne, der deltager i OSCE, til aktivt at støtte en udvidelse af missionens mandat i betragtning af de systematiske og veldokumenterede overtrædelser, som kræver en fuld uafhængig vurdering;</w:t>
      </w:r>
    </w:p>
    <w:p w:rsidR="00E31D38" w:rsidRPr="00AA2406" w:rsidP="00E31D38" w14:paraId="32F7CA91" w14:textId="4C3FB6E1">
      <w:pPr>
        <w:pStyle w:val="NormalHanging12a"/>
      </w:pPr>
      <w:r w:rsidRPr="00AA2406">
        <w:t>34</w:t>
      </w:r>
      <w:r w:rsidRPr="00AA2406">
        <w:t>.</w:t>
      </w:r>
      <w:r w:rsidRPr="00AA2406">
        <w:tab/>
        <w:t xml:space="preserve">glæder sig over Europarådets Parlamentariske Forsamlings resolution fra oktober </w:t>
      </w:r>
      <w:r w:rsidRPr="00AA2406">
        <w:t>2025</w:t>
      </w:r>
      <w:r w:rsidRPr="00AA2406">
        <w:t>, hvori Europarådets organer indtrængende opfordres til at anvende "alle tilgængelige midler", herunder artikel </w:t>
      </w:r>
      <w:r w:rsidRPr="00AA2406">
        <w:t>52</w:t>
      </w:r>
      <w:r w:rsidRPr="00AA2406">
        <w:t xml:space="preserve"> i den europæiske menneskerettighedskonvention og mellemstatslige anmodninger til Den Europæiske Menneskerettighedsdomstol i henhold til artikel </w:t>
      </w:r>
      <w:r w:rsidRPr="00AA2406">
        <w:t>33</w:t>
      </w:r>
      <w:r w:rsidRPr="00AA2406">
        <w:t>, for at sikre, at Georgien opfylder sine forpligtelser som medlem af Europarådet; opfordrer EU-medlemsstaterne og Europarådets medlemsstater til at overveje at gennemføre denne henstilling;</w:t>
      </w:r>
    </w:p>
    <w:p w:rsidR="00E31D38" w:rsidRPr="00AA2406" w:rsidP="00E31D38" w14:paraId="6722E9ED" w14:textId="1E9A2235">
      <w:pPr>
        <w:pStyle w:val="NormalHanging12a"/>
      </w:pPr>
      <w:r w:rsidRPr="00AA2406">
        <w:t>35</w:t>
      </w:r>
      <w:r w:rsidRPr="00AA2406">
        <w:t>.</w:t>
      </w:r>
      <w:r w:rsidRPr="00AA2406">
        <w:tab/>
        <w:t xml:space="preserve">fordømmer på det kraftigste den rolle, som medier, der er tilpasset Den Georgiske Drøm, herunder </w:t>
      </w:r>
      <w:r w:rsidRPr="00AA2406">
        <w:t>Imedi</w:t>
      </w:r>
      <w:r w:rsidRPr="00AA2406">
        <w:t xml:space="preserve"> TV, </w:t>
      </w:r>
      <w:r w:rsidRPr="00AA2406">
        <w:t>Postv</w:t>
      </w:r>
      <w:r w:rsidRPr="00AA2406">
        <w:t xml:space="preserve"> og </w:t>
      </w:r>
      <w:r w:rsidRPr="00AA2406">
        <w:t>Rustavi</w:t>
      </w:r>
      <w:r w:rsidRPr="00AA2406">
        <w:t xml:space="preserve"> </w:t>
      </w:r>
      <w:r w:rsidRPr="00AA2406">
        <w:t>2</w:t>
      </w:r>
      <w:r w:rsidRPr="00AA2406">
        <w:t xml:space="preserve"> TV, spiller med hensyn til at udbrede systematisk desinformation, smædekampagner og fjendtlig propaganda mod EU og dets institutioner og repræsentanter, navnlig lederen af EU's delegation i Georgien og diplomater fra EU's medlemsstater; noterer sig Det Forenede Kongeriges nylige beslutning om at indføre sanktioner mod </w:t>
      </w:r>
      <w:r w:rsidRPr="00AA2406">
        <w:t>Imedi</w:t>
      </w:r>
      <w:r w:rsidRPr="00AA2406">
        <w:t xml:space="preserve"> TV og </w:t>
      </w:r>
      <w:r w:rsidRPr="00AA2406">
        <w:t>PosTV</w:t>
      </w:r>
      <w:r w:rsidRPr="00AA2406">
        <w:t>; opfordrer EU-institutionerne til at gennemgå akkrediteringen af sådanne medieforetagender i EU-</w:t>
      </w:r>
      <w:r w:rsidRPr="00AA2406">
        <w:t xml:space="preserve">institutionerne og opfordrer EU's medlemsstater til at følge Det Forenede Kongeriges eksempel og vedtage passende og forholdsmæssige restriktive foranstaltninger over for enkeltpersoner og enheder, der er ansvarlige for at organisere og finansiere disse desinformationskampagner, herunder under den globale EU-ordning for menneskerettighedssanktioner; opfordrer til, at medlemmer af ledelsen af Georgiens nationale kommunikationskommission og Georgiens offentlige radio- og </w:t>
      </w:r>
      <w:r w:rsidRPr="00AA2406">
        <w:t>TV-selskab</w:t>
      </w:r>
      <w:r w:rsidRPr="00AA2406">
        <w:t xml:space="preserve"> opføres på EU's sanktionsliste;</w:t>
      </w:r>
    </w:p>
    <w:p w:rsidR="00E31D38" w:rsidRPr="00AA2406" w:rsidP="00E31D38" w14:paraId="41750D5A" w14:textId="5ADAACAB">
      <w:pPr>
        <w:pStyle w:val="NormalHanging12a"/>
      </w:pPr>
      <w:r w:rsidRPr="00AA2406">
        <w:t>36</w:t>
      </w:r>
      <w:r w:rsidRPr="00AA2406">
        <w:t>.</w:t>
      </w:r>
      <w:r w:rsidRPr="00AA2406">
        <w:tab/>
        <w:t>udtrykker bekymring over presset på og retssagerne mod de uafhængige medier; understreger, at mediepluralisme og journalisters sikkerhed er væsentlige forudsætninger for et demokratisk samfund;</w:t>
      </w:r>
    </w:p>
    <w:p w:rsidR="00E31D38" w:rsidRPr="00AA2406" w:rsidP="00E31D38" w14:paraId="428E10E2" w14:textId="5D0DCC0C">
      <w:pPr>
        <w:pStyle w:val="NormalHanging12a"/>
      </w:pPr>
      <w:r w:rsidRPr="00AA2406">
        <w:t>37</w:t>
      </w:r>
      <w:r w:rsidRPr="00AA2406">
        <w:t>.</w:t>
      </w:r>
      <w:r w:rsidRPr="00AA2406">
        <w:tab/>
        <w:t>bemærker med bekymring de seneste reformer i Georgiens uddannelsessektor, som synes at centralisere kontrollen med akademiske institutioner, svække den akademiske frihed og universiteternes autonomi og hindre Georgiens integration i det europæiske videregående uddannelsessystem; advarer om foranstaltninger, der sigter på at ændre akademiske programmers opbygning og varighed, og indførelsen af princippet om "én by, ét fakultet", der begrænser den vifte af discipliner, som tilbydes af de enkelte universiteter; er bekymret over det lovgivningsmæssige pres, der lægges på institutioner såsom statsuniversitetet i Ilia efter deres offentlige støtte til studenterprotester, mens støtten udvides til private institutioner, der er knyttet til personer tæt på den regerende elite; understreger, at uafhængige uddannelseseksperter advarer om, at den kumulative virkning af disse foranstaltninger indebærer en risiko for at mindske akademisk pluralisme og politisere det videregående uddannelsessystem yderligere;</w:t>
      </w:r>
    </w:p>
    <w:p w:rsidR="00E31D38" w:rsidRPr="00AA2406" w:rsidP="00E31D38" w14:paraId="5F2A8A1D" w14:textId="233B2AE2">
      <w:pPr>
        <w:pStyle w:val="NormalHanging12a"/>
      </w:pPr>
      <w:r w:rsidRPr="00AA2406">
        <w:t>38</w:t>
      </w:r>
      <w:r w:rsidRPr="00AA2406">
        <w:t>.</w:t>
      </w:r>
      <w:r w:rsidRPr="00AA2406">
        <w:tab/>
        <w:t>udtrykker bekymring over de organiserede svigagtige callcenternetværk, som opererer fra Georgien, og navnlig dem, der er rettet mod EU-borgere; understreger, at internationale journalisters undersøgelser har antydet, at højtstående embedsmænd fra Den Georgiske Drøm beskytter disse svindelnetværk mod økonomisk kompensation, hvilket hjælper dem med at modstå økonomiske sanktioner;</w:t>
      </w:r>
    </w:p>
    <w:p w:rsidR="00E31D38" w:rsidP="00E31D38" w14:paraId="7E015678" w14:textId="20924618">
      <w:pPr>
        <w:pStyle w:val="NormalHanging12a"/>
      </w:pPr>
      <w:r w:rsidRPr="00AA2406">
        <w:t>39</w:t>
      </w:r>
      <w:r w:rsidRPr="00AA2406">
        <w:t>.</w:t>
      </w:r>
      <w:r w:rsidRPr="00AA2406">
        <w:tab/>
        <w:t xml:space="preserve">glæder sig over Kommissionens afgørelse om at suspendere visumfri indrejse for indehavere af georgiske diplomatpas, tjenestepas og officielle pas, som har fundet anvendelse siden den </w:t>
      </w:r>
      <w:r w:rsidRPr="00AA2406">
        <w:t>6</w:t>
      </w:r>
      <w:r w:rsidRPr="00AA2406">
        <w:t xml:space="preserve">. marts </w:t>
      </w:r>
      <w:r w:rsidRPr="00AA2406">
        <w:t>2026</w:t>
      </w:r>
      <w:r w:rsidRPr="00AA2406">
        <w:t xml:space="preserve"> i alle EU's medlemsstater inden for rammerne af den reviderede og mere fleksible visumsuspensionsmekanisme, der trådte i kraft den </w:t>
      </w:r>
      <w:r w:rsidRPr="00AA2406">
        <w:t>30</w:t>
      </w:r>
      <w:r w:rsidRPr="00AA2406">
        <w:t xml:space="preserve">. december </w:t>
      </w:r>
      <w:r w:rsidRPr="00AA2406">
        <w:t>2025</w:t>
      </w:r>
      <w:r w:rsidRPr="00AA2406">
        <w:t xml:space="preserve">, som en direkte konsekvens af Den Georgiske Drøm-regimets handlinger, der er i strid med de grundlæggende værdier; tilskynder medlemsstaterne til at foretage grundig screening ved at foretage interviews og bede om dokumentation fra disse visumansøgere og give afslag på visum i tilfælde af tvivl om pålideligheden af oplysninger fra dem; beklager, at et EU-dækkende visumforbud for georgiske embedsmænd, der er ansvarlige for alvorlige krænkelser af menneskerettighederne, demokratiske tilbageskridt og undertrykkelse, ikke har været muligt på grund af modstand fra regeringerne i Ungarn og Slovakiet; noterer sig, at den ottende rapport om visumsuspensionsmekanismen sætter fokus på Georgiens manglende overholdelse af centrale </w:t>
      </w:r>
      <w:r w:rsidRPr="00AA2406">
        <w:t>benchmarks</w:t>
      </w:r>
      <w:r w:rsidRPr="00AA2406">
        <w:t xml:space="preserve"> og tidligere henstillinger; advarer om, at de georgiske myndigheders fortsatte passivitet kan føre til suspension af visumfri indrejse for hele befolkningen, som Den Georgiske Drøm vil være fuldt ansvarlig for; opfordrer Kommissionen til at oprette en mekanisme, hvorved civilsamfundsaktivister, journalister og studerende fortsat har visumfri adgang til EU samt til at øge direkte støtte til mellemfolkelige udvekslingsprogrammer såsom Erasmus+, Horisont Europa, Det Europæiske Solidaritetskorps og Et Kreativt Europa;</w:t>
      </w:r>
    </w:p>
    <w:p w:rsidR="00101F82" w:rsidRPr="00AA2406" w:rsidP="00E31D38" w14:paraId="208CC6EA" w14:textId="231C9905">
      <w:pPr>
        <w:pStyle w:val="NormalHanging12a"/>
      </w:pPr>
      <w:r>
        <w:t>40</w:t>
      </w:r>
      <w:r w:rsidRPr="00101F82">
        <w:t>.</w:t>
      </w:r>
      <w:r w:rsidRPr="00101F82">
        <w:tab/>
        <w:t xml:space="preserve">fremhæver, at manglen på grundig akademisk forskning, historisk uddannelse og offentlig bevidsthed om den sovjetiske besættelse og dens konsekvenser på lang sigt gør det muligt at sprede historisk manipulation og desinformationskampagner, som Den Russiske Føderation udnytter til at undergrave det georgiske samfunds euro-atlantiske forhåbninger; understreger derfor betydningen af akademisk forskning, dokumentation og formidling af viden om Georgiens historie under sovjetisk besættelse, herunder den politiske undertrykkelse, massehenrettelserne og historien om modstanden mod den sovjetisk-russiske besættelse, samt genskabelsen af disse begivenheder i den kollektive erindring; udtrykker beklagelse over, at der i de seneste år med som minimum passivt samtykke fra myndighedernes side er blevet observeret bestræbelser på at relativisere kommunistiske forbrydelser og vende </w:t>
      </w:r>
      <w:r w:rsidRPr="00101F82">
        <w:t>afstaliniseringsprocessen</w:t>
      </w:r>
      <w:r w:rsidRPr="00101F82">
        <w:t xml:space="preserve">; understreger i denne forbindelse den vigtige rolle, som uafhængige historikere, forskere og civilsamfundsorganisationer såsom </w:t>
      </w:r>
      <w:r w:rsidRPr="00101F82">
        <w:t>SovLab</w:t>
      </w:r>
      <w:r w:rsidRPr="00101F82">
        <w:t xml:space="preserve"> spiller med hensyn til at studere den sovjetiske besættelse og dens politiske, juridiske og moralske konsekvenser samt med hensyn til at udpege begravelsessteder for ofre for kommunistisk terror og sikre deres identifikation og værdige minde; opfordrer de relevante institutioner i medlemsstaterne, der beskæftiger sig med at dokumentere konsekvenserne af sovjetisk besættelse, kommunistiske forbrydelser og andre totalitære regimer, til at uddybe samarbejdet med deres georgiske modparter, støtte fælles forskningsprojekter og deltage i uddannelsesprogrammer og -initiativer, der har til formål at afdække, dokumentere og udbrede viden om dette kapitel i Georgiens historie; udtrykker bekymring over den systematiske hindring af adgangen til arkiver vedrørende undertrykkelse og forbrydelser begået under den sovjetiske besættelse; opfordrer de georgiske myndigheder til at sikre fuld, gennemsigtig og ikkediskriminerende adgang til arkiver vedrørende den sovjetiske periode for akademikere, forskere og civilsamfundsorganisationer;</w:t>
      </w:r>
    </w:p>
    <w:p w:rsidR="00E31D38" w:rsidRPr="00AA2406" w:rsidP="00E31D38" w14:paraId="145F34EE" w14:textId="77777777">
      <w:pPr>
        <w:pStyle w:val="Normal12a"/>
      </w:pPr>
      <w:r w:rsidRPr="00AA2406">
        <w:rPr>
          <w:b/>
          <w:i/>
        </w:rPr>
        <w:t>Tilpasning vedrørende udenrigs- og sikkerhedspolitiske spørgsmål</w:t>
      </w:r>
    </w:p>
    <w:p w:rsidR="00E31D38" w:rsidRPr="00AA2406" w:rsidP="00E31D38" w14:paraId="237E4157" w14:textId="0420F81C">
      <w:pPr>
        <w:pStyle w:val="NormalHanging12a"/>
      </w:pPr>
      <w:r>
        <w:t>41</w:t>
      </w:r>
      <w:r w:rsidRPr="00AA2406">
        <w:t>.</w:t>
      </w:r>
      <w:r w:rsidRPr="00AA2406">
        <w:tab/>
        <w:t xml:space="preserve">beklager, at Georgiens tilpasning til erklæringerne fra næstformanden for Kommissionen/Unionens højtstående repræsentant for udenrigsanliggender og sikkerhedspolitik og til Rådets afgørelser om sanktioner er faldet yderligere fra </w:t>
      </w:r>
      <w:r w:rsidRPr="00AA2406" w:rsidR="008A1261">
        <w:t>53</w:t>
      </w:r>
      <w:r w:rsidRPr="00AA2406">
        <w:t xml:space="preserve"> % i </w:t>
      </w:r>
      <w:r w:rsidRPr="00AA2406" w:rsidR="008A1261">
        <w:t>2024</w:t>
      </w:r>
      <w:r w:rsidRPr="00AA2406">
        <w:t xml:space="preserve"> til </w:t>
      </w:r>
      <w:r w:rsidRPr="00AA2406" w:rsidR="008A1261">
        <w:t>40</w:t>
      </w:r>
      <w:r w:rsidRPr="00AA2406">
        <w:t> %, hvilket viser landets manglende engagement i at blive integreret i Europa; er navnlig skuffet over, at Georgien ikke systematisk tilpassede sig internationale initiativer og EU-initiativer til støtte for Ukraine, herunder resolutioner vedtaget af FN's Generalforsamling, FN's Menneskerettighedsråd og Europarådet, og i stedet har styrket sine forbindelser med Rusland og støttet russiske narrativer, der har til formål at flytte ansvaret for angrebskrigen og de forbrydelser, som Rusland har begået;</w:t>
      </w:r>
    </w:p>
    <w:p w:rsidR="00E31D38" w:rsidRPr="00AA2406" w:rsidP="00E31D38" w14:paraId="3D9D66E5" w14:textId="7FDB067C">
      <w:pPr>
        <w:pStyle w:val="NormalHanging12a"/>
      </w:pPr>
      <w:r>
        <w:t>42</w:t>
      </w:r>
      <w:r w:rsidRPr="00AA2406">
        <w:t>.</w:t>
      </w:r>
      <w:r w:rsidRPr="00AA2406">
        <w:tab/>
        <w:t>er yderst taknemmelig for den stærke solidaritet, som det georgiske folk har udvist over for Ukraine under Ruslands angrebskrig, og som afspejler udbredt offentlig modstand mod russiske imperialistiske politikker, landets egne erfaringer med russisk militær aggression og folkets stærke vilje til at bevare deres uafhængighed og forblive uden for Moskvas indflydelsessfære; påpeger, at mange georgiske frivillige har kæmpet sammen med de ukrainske væbnede styrker, navnlig i den georgiske legion, og at det georgiske civilsamfund har deltaget i humanitære bistandskampagner til støtte for Ukraine;</w:t>
      </w:r>
    </w:p>
    <w:p w:rsidR="00E31D38" w:rsidRPr="00AA2406" w:rsidP="00E31D38" w14:paraId="5A81332F" w14:textId="1094CBB8">
      <w:pPr>
        <w:pStyle w:val="NormalHanging12a"/>
      </w:pPr>
      <w:r>
        <w:t>43</w:t>
      </w:r>
      <w:r w:rsidRPr="00AA2406">
        <w:t>.</w:t>
      </w:r>
      <w:r w:rsidRPr="00AA2406">
        <w:tab/>
        <w:t xml:space="preserve">bemærker, at Georgien stadig ikke har tilsluttet sig langt størstedelen af sanktionerne mod Rusland, Belarus og Iran; opfordrer de georgiske myndigheder til at vedtage verificerbare foranstaltninger og styrke samarbejdet og toldovervågning for at forhindre, at Georgiens territorium og/eller retlige enheder, der er registreret i Georgien, anvendes til at omgå EU's restriktive foranstaltninger; mener, at det nuværende niveau af bestræbelser på overensstemmelse og håndhævelse er åbenlyst utilstrækkeligt og </w:t>
      </w:r>
      <w:r w:rsidRPr="00AA2406">
        <w:t>uforeneligt med et EU-kandidatlands ansvar; understreger, at det haster med en mere målrettet indsats, herunder fuld overensstemmelse med EU's restriktive foranstaltninger, effektive overvågnings- og håndhævelsesmekanismer samt gennemsigtigt samarbejde med EU's institutioner for at forhindre omgåelse af sanktioner, herunder vedrørende varer med dobbelt anvendelse, olieeksport og finansielle strømme med forbindelse til russiske og iranske enheder; advarer om, at fortsat manglende overensstemmelse med EU's udenrigspolitik og sanktionsordning vil have direkte konsekvenser for Georgiens proces for tiltrædelse af EU; opfordrer EU og dets medlemsstater til fortsat nøje at overvåge Georgiens overholdelse af EU's sanktionsordning, herunder risici for omgåelse af sanktioner via georgisk territorium eller enheder, som er registreret i Georgien;</w:t>
      </w:r>
    </w:p>
    <w:p w:rsidR="00E31D38" w:rsidRPr="00AA2406" w:rsidP="00E31D38" w14:paraId="299583AB" w14:textId="3758114F">
      <w:pPr>
        <w:pStyle w:val="NormalHanging12a"/>
      </w:pPr>
      <w:r>
        <w:t>44</w:t>
      </w:r>
      <w:r w:rsidRPr="00AA2406">
        <w:t>.</w:t>
      </w:r>
      <w:r w:rsidRPr="00AA2406">
        <w:tab/>
        <w:t>opfordrer EU og dets medlemsstater til at træffe hurtige og beslutsomme foranstaltninger for at standse Ruslands systematiske omgåelse af EU's sanktioner, hvilket muliggøres af de georgiske myndigheder, herunder ved at oprette en særlig EU-overvågningsmekanisme til at spore handelsstrømme af højt prioriterede varer med dobbelt anvendelse og luftfartøjskomponenter, der transitforsendes gennem Georgien; opfordrer endvidere de georgiske myndigheder til at samarbejde fuldt ud om disse bestræbelser og til at offentliggøre regelmæssige, gennemsigtige rapporter om sådanne handelsstrømme med henblik på at styrke toldhåndhævelse og forhindre yderligere sanktionsunddragelse;</w:t>
      </w:r>
    </w:p>
    <w:p w:rsidR="00E31D38" w:rsidRPr="00AA2406" w:rsidP="00E31D38" w14:paraId="67E8F8AE" w14:textId="489CD7C5">
      <w:pPr>
        <w:pStyle w:val="NormalHanging12a"/>
      </w:pPr>
      <w:r>
        <w:t>45</w:t>
      </w:r>
      <w:r w:rsidRPr="00AA2406">
        <w:t>.</w:t>
      </w:r>
      <w:r w:rsidRPr="00AA2406">
        <w:tab/>
        <w:t xml:space="preserve">er bekymret over den potentielle anvendelse af georgiske havne, raffineringsinfrastruktur og oliehåndteringsfaciliteter til at muliggøre reeksport eller sammenblanding med russiske olieprodukter med henblik på at omgå internationale sanktionsordninger; giver udtryk for stor bekymring over forlydender om, at russisk råolie sendes til Georgiens nyopførte delvist statsfinansieret raffinaderi i </w:t>
      </w:r>
      <w:r w:rsidRPr="00AA2406">
        <w:t>Kulevi</w:t>
      </w:r>
      <w:r w:rsidRPr="00AA2406">
        <w:t xml:space="preserve"> på Sortehavskysten; opfordrer de georgiske myndigheder til straks at standse og forhindre sådanne aktiviteter og til at sikre, at georgisk infrastruktur ikke anvendes til at muliggøre omgåelsen af EU's sanktioner mod Rusland; noterer sig, at olieterminalen i </w:t>
      </w:r>
      <w:r w:rsidRPr="00AA2406">
        <w:t>Kulevi</w:t>
      </w:r>
      <w:r w:rsidRPr="00AA2406">
        <w:t xml:space="preserve"> ikke var medtaget i EU's </w:t>
      </w:r>
      <w:r w:rsidRPr="00AA2406" w:rsidR="008A1261">
        <w:t>20</w:t>
      </w:r>
      <w:r w:rsidRPr="00AA2406">
        <w:t>. sanktionspakke mod Rusland på grund af tilsagn fra de georgiske myndigheder og terminaloperatøren om, at de nøje vil overholde EU's sanktioner; opfordrer til, at den medtages i fremtidige sanktioner, hvis de georgiske myndigheder og terminaloperatørerne ikke overholder EU's sanktioner fuldt ud; opfordrer til øget samarbejde mellem EU og internationale partnere for at sikre fuld håndhævelse af restriktive foranstaltninger;</w:t>
      </w:r>
    </w:p>
    <w:p w:rsidR="00E31D38" w:rsidRPr="00AA2406" w:rsidP="00E31D38" w14:paraId="6F9928F0" w14:textId="440E72C3">
      <w:pPr>
        <w:pStyle w:val="NormalHanging12a"/>
      </w:pPr>
      <w:r>
        <w:t>46</w:t>
      </w:r>
      <w:r w:rsidRPr="00AA2406">
        <w:t>.</w:t>
      </w:r>
      <w:r w:rsidRPr="00AA2406">
        <w:tab/>
        <w:t xml:space="preserve">opfordrer Kommissionen til i samarbejde med Myndigheden for Bekæmpelse af Hvidvask af Penge at vurdere Georgiens retlige og reguleringsmæssige rammer, herunder bestemmelser i den georgiske skattelov, der kan muliggøre anvendelsen af udenlandsk registrerede virksomheder og skjule reelt ejerskab og dermed muliggøre omgåelse af sanktioner og hvidvask af penge; opfordrer til en øget overvågning af og kontrol med virksomheder, der er registreret i Georgien, og som ejes eller kontrolleres af russiske borgere eller enheder, navnlig dem, der er oprettet siden februar </w:t>
      </w:r>
      <w:r w:rsidRPr="00AA2406" w:rsidR="008A1261">
        <w:t>2022</w:t>
      </w:r>
      <w:r w:rsidRPr="00AA2406">
        <w:t>; opfordrer de georgiske myndigheder til at oprette et kontor til inddrivelse af aktiver, et kontor til forvaltning af aktiver og et register over de endelige reelle ejere med henblik på at styrke beskyttelsesforanstaltninger mod hvidvask af penge og mindske risikoen for omgåelse af sanktioner;</w:t>
      </w:r>
    </w:p>
    <w:p w:rsidR="00E31D38" w:rsidRPr="00AA2406" w:rsidP="00E31D38" w14:paraId="61C47772" w14:textId="795586A4">
      <w:pPr>
        <w:pStyle w:val="NormalHanging12a"/>
      </w:pPr>
      <w:r>
        <w:t>47</w:t>
      </w:r>
      <w:r w:rsidRPr="00AA2406">
        <w:t>.</w:t>
      </w:r>
      <w:r w:rsidRPr="00AA2406">
        <w:tab/>
        <w:t xml:space="preserve">bemærker, at Den Georgiske Drøm efter at have opgivet vejen til en euro-atlantisk integration er i færd med at foretage en strategisk omlægning i retning af samarbejde med Kina, Rusland og Iran, som bekræftet af talrige forlydender; understreger, at denne </w:t>
      </w:r>
      <w:r w:rsidRPr="00AA2406">
        <w:t xml:space="preserve">nyorientering viser en tilsidesættelse af Georgiens forfatningsmæssige engagement i euro-atlantisk integration og det georgiske samfunds klare og konsekvent udtrykte vilje; udtrykker forfærdelse over, at der i stedet for at forholde sig til troværdige konklusioner vedrørende autoritære magters stadig større indflydelse er blevet indledt undersøgelser af forfatterne til sådanne rapporter, herunder Hudson Institut-forskeren </w:t>
      </w:r>
      <w:r w:rsidRPr="00AA2406">
        <w:t>Giorgi</w:t>
      </w:r>
      <w:r w:rsidRPr="00AA2406">
        <w:t xml:space="preserve"> </w:t>
      </w:r>
      <w:r w:rsidRPr="00AA2406">
        <w:t>Kandelaki</w:t>
      </w:r>
      <w:r w:rsidRPr="00AA2406">
        <w:t xml:space="preserve"> og </w:t>
      </w:r>
      <w:r w:rsidRPr="00AA2406">
        <w:t>Tinatin</w:t>
      </w:r>
      <w:r w:rsidRPr="00AA2406">
        <w:t xml:space="preserve"> </w:t>
      </w:r>
      <w:r w:rsidRPr="00AA2406">
        <w:t>Khidasheli</w:t>
      </w:r>
      <w:r w:rsidRPr="00AA2406">
        <w:t>;</w:t>
      </w:r>
    </w:p>
    <w:p w:rsidR="00E31D38" w:rsidRPr="00AA2406" w:rsidP="00E31D38" w14:paraId="49273EC8" w14:textId="611B3FAE">
      <w:pPr>
        <w:pStyle w:val="NormalHanging12a"/>
      </w:pPr>
      <w:r>
        <w:t>48</w:t>
      </w:r>
      <w:r w:rsidRPr="00AA2406">
        <w:t>.</w:t>
      </w:r>
      <w:r w:rsidRPr="00AA2406">
        <w:tab/>
        <w:t xml:space="preserve">udtrykker sin bekymring over inddragelsen af kinesiske statsejede virksomheder i strategiske projekter såsom </w:t>
      </w:r>
      <w:r w:rsidRPr="00AA2406">
        <w:t>Anaklia</w:t>
      </w:r>
      <w:r w:rsidRPr="00AA2406">
        <w:t xml:space="preserve"> Deep Sea Port, som oprindeligt blev udviklet sammen med vestlige partnere og havde til formål at styrke forbindelserne mellem øst og vest uafhængigt af russisk og kinesisk indflydelse; minder de georgiske myndigheder om, at succesen for mellemkorridoren afhænger af Georgiens overholdelse af retsstatsprincippet, og at Global Gateway-investeringer stiller krav om, at Georgien er en stabil og gennemsigtig partner;</w:t>
      </w:r>
    </w:p>
    <w:p w:rsidR="00E31D38" w:rsidRPr="00AA2406" w:rsidP="00E31D38" w14:paraId="01A06DDB" w14:textId="6D66EB06">
      <w:pPr>
        <w:pStyle w:val="NormalHanging12a"/>
      </w:pPr>
      <w:r>
        <w:t>49</w:t>
      </w:r>
      <w:r w:rsidRPr="00AA2406">
        <w:t>.</w:t>
      </w:r>
      <w:r w:rsidRPr="00AA2406">
        <w:tab/>
        <w:t xml:space="preserve">noterer sig initiativerne til strategiske </w:t>
      </w:r>
      <w:r w:rsidRPr="00AA2406">
        <w:t>konnektivitetsprojekter</w:t>
      </w:r>
      <w:r w:rsidRPr="00AA2406">
        <w:t xml:space="preserve"> i Sortehavsregionen, herunder søkablet til digital </w:t>
      </w:r>
      <w:r w:rsidRPr="00AA2406">
        <w:t>konnektivitet</w:t>
      </w:r>
      <w:r w:rsidRPr="00AA2406">
        <w:t xml:space="preserve"> og søkablet til el i Sortehavet, som kunne styrke energiforbindelserne og de digitale forbindelser mellem EU og Sydkaukasus;</w:t>
      </w:r>
    </w:p>
    <w:p w:rsidR="00E31D38" w:rsidRPr="00AA2406" w:rsidP="00E31D38" w14:paraId="02A30CF4" w14:textId="205325D7">
      <w:pPr>
        <w:pStyle w:val="NormalHanging12a"/>
      </w:pPr>
      <w:r>
        <w:t>50</w:t>
      </w:r>
      <w:r w:rsidRPr="00AA2406">
        <w:t>.</w:t>
      </w:r>
      <w:r w:rsidRPr="00AA2406">
        <w:tab/>
        <w:t xml:space="preserve">noterer sig, at den georgiske ortodokse kirke fortsat er en indflydelsesrig institution i det georgiske samfund og spiller en vigtig rolle med hensyn til at forme den offentlige debat; udtrykker bekymring over Ruslands brug af religiøse netværk som kanaler for desinformations- og påvirkningsoperationer i hele Georgien med det formål at undergrave </w:t>
      </w:r>
      <w:r w:rsidRPr="00AA2406">
        <w:t>proeuropæisk</w:t>
      </w:r>
      <w:r w:rsidRPr="00AA2406">
        <w:t xml:space="preserve"> orientering og demokratisk modstandsdygtighed; minder om, at nogle georgiske præster har modsat sig en sådan instrumentalisering og har udtalt sig imod både russisk indflydelse og Den Georgiske Drøms regimes politikker; understreger, at det georgiske ortodokse stift og de georgiske samfund også er til stede i EU, hvilket understreger behovet for årvågenhed og modstandsdygtighed over for tværnationale desinformationsbestræbelser;</w:t>
      </w:r>
    </w:p>
    <w:p w:rsidR="00E31D38" w:rsidRPr="00AA2406" w:rsidP="00E31D38" w14:paraId="4434AE6E" w14:textId="30DF68DF">
      <w:pPr>
        <w:pStyle w:val="NormalHanging12a"/>
      </w:pPr>
      <w:r>
        <w:t>51</w:t>
      </w:r>
      <w:r w:rsidRPr="00AA2406">
        <w:t>.</w:t>
      </w:r>
      <w:r w:rsidRPr="00AA2406">
        <w:tab/>
        <w:t>noterer sig med særlig bekymring Irans voksende indflydelse i landet, navnlig gennem religiøse institutioner og uddannelsesinstitutioner og mobilisering af unge og gennem økonomiske strukturer, der effektivt gør det muligt for Iran at unddrage sig sanktioner; er endvidere bekymret over den stigende indflydelse fra økonomiske aktører med tilknytning til det iranske regime, som opererer i Georgien; understreger, at sådanne aktører kan anvendes til at omgå økonomiske sanktioner, hvidvask af penge og den ulovlige eksport af iranske varer til gavn for aktører med tilknytning til både det iranske regime og Den Georgiske Drøm-regimet ved hjælp af korruption og tendentiøse offentlige udbud;</w:t>
      </w:r>
    </w:p>
    <w:p w:rsidR="00E31D38" w:rsidRPr="00AA2406" w:rsidP="00E31D38" w14:paraId="3414835F" w14:textId="05C6FC98">
      <w:pPr>
        <w:pStyle w:val="NormalHanging12a"/>
      </w:pPr>
      <w:r>
        <w:t>52</w:t>
      </w:r>
      <w:r w:rsidRPr="00AA2406">
        <w:t>.</w:t>
      </w:r>
      <w:r w:rsidRPr="00AA2406">
        <w:tab/>
        <w:t xml:space="preserve">mener, at Georgien bør spille en konstruktiv rolle med hensyn til at fremme adgang for Armenien til internationale </w:t>
      </w:r>
      <w:r w:rsidRPr="00AA2406">
        <w:t>søhandelsruter</w:t>
      </w:r>
      <w:r w:rsidRPr="00AA2406">
        <w:t xml:space="preserve"> og dermed bidrage til regional </w:t>
      </w:r>
      <w:r w:rsidRPr="00AA2406">
        <w:t>konnektivitet</w:t>
      </w:r>
      <w:r w:rsidRPr="00AA2406">
        <w:t>, økonomisk robusthed og stabilitet i Sydkaukasus;</w:t>
      </w:r>
    </w:p>
    <w:p w:rsidR="00E31D38" w:rsidRPr="00AA2406" w:rsidP="00E31D38" w14:paraId="120090BB" w14:textId="3DD514EE">
      <w:pPr>
        <w:pStyle w:val="NormalHanging12a"/>
      </w:pPr>
      <w:r>
        <w:t>53</w:t>
      </w:r>
      <w:r w:rsidRPr="00AA2406">
        <w:t>.</w:t>
      </w:r>
      <w:r w:rsidRPr="00AA2406">
        <w:tab/>
        <w:t xml:space="preserve">gentager sin urokkelige støtte til Georgiens suverænitet og territoriale integritet; fordømmer på det kraftigste Ruslands fortsatte besættelse af Georgiens regioner Abkhasien og </w:t>
      </w:r>
      <w:r w:rsidRPr="00AA2406">
        <w:t>Tskhinvali</w:t>
      </w:r>
      <w:r w:rsidRPr="00AA2406">
        <w:t>/</w:t>
      </w:r>
      <w:r w:rsidRPr="00AA2406">
        <w:t>Sydossetien</w:t>
      </w:r>
      <w:r w:rsidRPr="00AA2406">
        <w:t xml:space="preserve"> og den fortsatte "grænsedragningsproces", som udgør en krænkelse af Georgiens suverænitet og territoriale integritet; opfordrer indtrængende den georgiske regering til at fastholde en klar og konsekvent holdning til russisk aggression; fordømmer på det kraftigste Ruslands bestræbelser på at integrere de besatte områder politisk, militært og økonomisk i Den Russiske Føderation; bemærker med dyb bekymring de fortsatte ulovlige tilbageholdelser og angreb på etniske </w:t>
      </w:r>
      <w:r w:rsidRPr="00AA2406">
        <w:t xml:space="preserve">georgiere i Abkhasien og </w:t>
      </w:r>
      <w:r w:rsidRPr="00AA2406">
        <w:t>Tskhinvaliregionen</w:t>
      </w:r>
      <w:r w:rsidRPr="00AA2406">
        <w:t xml:space="preserve">, herunder kvinder og unge, på falske anklager såsom spionage eller besiddelse af et georgisk pas; fordømmer denne praksis som alvorlige krænkelser af menneskerettighederne, der bidrager til intimidering, forskelsbehandling og tvangsfordrivelse af den georgiske befolkning; fordømmer på det kraftigste den igangværende udvikling af den russiske flådebase i </w:t>
      </w:r>
      <w:r w:rsidRPr="00AA2406">
        <w:t>Ochamchire</w:t>
      </w:r>
      <w:r w:rsidRPr="00AA2406">
        <w:t xml:space="preserve">, som ikke blot er en krænkelse af territorial integritet, men også en direkte trussel mod sikkerheden i hele Sortehavsområdet og Georgiens egne ambitioner for maritim handel; gentager sin opfordring til øjeblikkelig og betingelsesløs tilbagetrækning af russiske styrker fra de georgiske regioner Abkhasien og </w:t>
      </w:r>
      <w:r w:rsidRPr="00AA2406">
        <w:t>Tskhinvali</w:t>
      </w:r>
      <w:r w:rsidRPr="00AA2406">
        <w:t>/</w:t>
      </w:r>
      <w:r w:rsidRPr="00AA2406">
        <w:t>Sydossetien</w:t>
      </w:r>
      <w:r w:rsidRPr="00AA2406">
        <w:t>;</w:t>
      </w:r>
    </w:p>
    <w:p w:rsidR="00E31D38" w:rsidRPr="00AA2406" w:rsidP="00E31D38" w14:paraId="3ABD18C5" w14:textId="3290D3C4">
      <w:pPr>
        <w:pStyle w:val="NormalHanging12a"/>
      </w:pPr>
      <w:r>
        <w:t>54</w:t>
      </w:r>
      <w:r w:rsidRPr="00AA2406">
        <w:t>.</w:t>
      </w:r>
      <w:r w:rsidRPr="00AA2406">
        <w:tab/>
        <w:t>opfordrer til målrettede restriktive foranstaltninger over for dem, der er ansvarlige for menneskerettighedskrænkelser i de besatte områder, på grundlag af fortilfælde såsom "</w:t>
      </w:r>
      <w:r w:rsidRPr="00AA2406">
        <w:t>Otkhozoria-Tatunashvili</w:t>
      </w:r>
      <w:r w:rsidRPr="00AA2406">
        <w:t xml:space="preserve"> List" fra </w:t>
      </w:r>
      <w:r w:rsidRPr="00AA2406" w:rsidR="008A1261">
        <w:t>2018</w:t>
      </w:r>
      <w:r w:rsidRPr="00AA2406">
        <w:t>;</w:t>
      </w:r>
    </w:p>
    <w:p w:rsidR="00E31D38" w:rsidRPr="00AA2406" w:rsidP="00E31D38" w14:paraId="036C184F" w14:textId="7918CFDB">
      <w:pPr>
        <w:pStyle w:val="NormalHanging12a"/>
      </w:pPr>
      <w:r>
        <w:t>55</w:t>
      </w:r>
      <w:r w:rsidRPr="00AA2406">
        <w:t>.</w:t>
      </w:r>
      <w:r w:rsidRPr="00AA2406">
        <w:tab/>
        <w:t xml:space="preserve">gentager vigtigheden af det arbejde, der udføres af EU's observatørmission i Georgien (EUMM), om konfliktløsning, overvågning af menneskerettigheder og støtte til berørte befolkningsgrupper; fordømmer på det kraftigste Den Russiske Føderations fortsatte hindring af </w:t>
      </w:r>
      <w:r w:rsidRPr="00AA2406">
        <w:t>EUMM's</w:t>
      </w:r>
      <w:r w:rsidRPr="00AA2406">
        <w:t xml:space="preserve"> adgang til de besatte regioner i Georgien samt tidligere intimideringer af EUMM-observatører, herunder ulovlige tilbageholdelser og andre hændelser, der involverer trusler mod og indblanding i </w:t>
      </w:r>
      <w:r w:rsidRPr="00AA2406">
        <w:t>EUMM's</w:t>
      </w:r>
      <w:r w:rsidRPr="00AA2406">
        <w:t xml:space="preserve"> arbejde; mener, at den synlige og offentlige gennemførelse af EU-observatørmissionens mandat bør styrkes yderligere gennem øget støtte og yderligere personale og bør formidles mere tydeligt, fordi den i høj grad bidrager til EU's engagement i regionen og afslører Ruslands aggressive taktikker, som siden krigen mod Georgien i </w:t>
      </w:r>
      <w:r w:rsidRPr="00AA2406" w:rsidR="008A1261">
        <w:t>2008</w:t>
      </w:r>
      <w:r w:rsidRPr="00AA2406">
        <w:t xml:space="preserve"> fortsat har medført død, lidelse og ustabilitet i regionen;</w:t>
      </w:r>
    </w:p>
    <w:p w:rsidR="00E31D38" w:rsidRPr="00AA2406" w:rsidP="00E31D38" w14:paraId="64ED40E6" w14:textId="77777777">
      <w:pPr>
        <w:pStyle w:val="NormalCenter12a"/>
      </w:pPr>
      <w:r w:rsidRPr="00AA2406">
        <w:t>°</w:t>
      </w:r>
    </w:p>
    <w:p w:rsidR="00E31D38" w:rsidRPr="00AA2406" w:rsidP="00E31D38" w14:paraId="7CDFAC37" w14:textId="77777777">
      <w:pPr>
        <w:pStyle w:val="NormalCenter12a"/>
      </w:pPr>
      <w:r w:rsidRPr="00AA2406">
        <w:t>°</w:t>
      </w:r>
      <w:r w:rsidRPr="00AA2406">
        <w:tab/>
        <w:t>°</w:t>
      </w:r>
    </w:p>
    <w:p w:rsidR="00531587" w:rsidRPr="00AA2406" w:rsidP="00531587" w14:paraId="2BDEB311" w14:textId="47EAF39A">
      <w:pPr>
        <w:pStyle w:val="NormalHanging12a"/>
      </w:pPr>
      <w:r>
        <w:t>56</w:t>
      </w:r>
      <w:r w:rsidRPr="00AA2406" w:rsidR="00E31D38">
        <w:t>.</w:t>
      </w:r>
      <w:r w:rsidRPr="00AA2406" w:rsidR="00E31D38">
        <w:tab/>
        <w:t xml:space="preserve">pålægger sin formand at sende denne beslutning til Rådet, næstformanden for Kommissionen/Unionens højtstående repræsentant for udenrigsanliggender og sikkerhedspolitik, Kommissionen, medlemsstaternes regeringer og parlamenter, Europarådet, Organisationen for Sikkerhed og Samarbejde i Europa, Georgiens præsident Salome </w:t>
      </w:r>
      <w:r w:rsidRPr="00AA2406" w:rsidR="00E31D38">
        <w:t>Zourabichvili</w:t>
      </w:r>
      <w:r w:rsidRPr="00AA2406" w:rsidR="00E31D38">
        <w:t xml:space="preserve"> samt de facto-myndighederne i Georgien.</w:t>
      </w:r>
    </w:p>
    <w:p w:rsidR="00E365E1" w:rsidRPr="00AA2406" w:rsidP="00C22C94" w14:paraId="47CEFBD4" w14:textId="778640D0"/>
    <w:sectPr w:rsidSect="00531587">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22C94" w:rsidRPr="00531587" w14:paraId="4EBF4D16" w14:textId="77777777">
      <w:r w:rsidRPr="00531587">
        <w:separator/>
      </w:r>
    </w:p>
  </w:footnote>
  <w:footnote w:type="continuationSeparator" w:id="1">
    <w:p w:rsidR="00C22C94" w:rsidRPr="00531587" w14:paraId="5B7481F1" w14:textId="77777777">
      <w:r w:rsidRPr="00531587">
        <w:continuationSeparator/>
      </w:r>
    </w:p>
  </w:footnote>
  <w:footnote w:id="2">
    <w:p w:rsidR="00A51CBC" w:rsidRPr="00531587" w:rsidP="00531587" w14:paraId="563394A8" w14:textId="7E061A2A">
      <w:pPr>
        <w:pStyle w:val="FootnoteText"/>
        <w:ind w:left="567" w:hanging="567"/>
        <w:rPr>
          <w:sz w:val="24"/>
          <w:lang w:val="da-DK"/>
        </w:rPr>
      </w:pPr>
      <w:r>
        <w:rPr>
          <w:rStyle w:val="FootnoteReference"/>
        </w:rPr>
        <w:footnoteRef/>
      </w:r>
      <w:r w:rsidRPr="00531587">
        <w:rPr>
          <w:sz w:val="24"/>
          <w:lang w:val="da-DK"/>
        </w:rPr>
        <w:t xml:space="preserve"> </w:t>
      </w:r>
      <w:r w:rsidRPr="00531587">
        <w:rPr>
          <w:sz w:val="24"/>
          <w:lang w:val="da-DK"/>
        </w:rPr>
        <w:tab/>
        <w:t xml:space="preserve">EUT L </w:t>
      </w:r>
      <w:r w:rsidRPr="008A1261" w:rsidR="008A1261">
        <w:rPr>
          <w:sz w:val="24"/>
          <w:lang w:val="da-DK"/>
        </w:rPr>
        <w:t>261</w:t>
      </w:r>
      <w:r w:rsidRPr="00531587">
        <w:rPr>
          <w:sz w:val="24"/>
          <w:lang w:val="da-DK"/>
        </w:rPr>
        <w:t xml:space="preserve"> af </w:t>
      </w:r>
      <w:r w:rsidRPr="008A1261" w:rsidR="008A1261">
        <w:rPr>
          <w:sz w:val="24"/>
          <w:lang w:val="da-DK"/>
        </w:rPr>
        <w:t>30</w:t>
      </w:r>
      <w:r w:rsidRPr="00531587">
        <w:rPr>
          <w:sz w:val="24"/>
          <w:lang w:val="da-DK"/>
        </w:rPr>
        <w:t>.</w:t>
      </w:r>
      <w:r w:rsidRPr="008A1261" w:rsidR="008A1261">
        <w:rPr>
          <w:sz w:val="24"/>
          <w:lang w:val="da-DK"/>
        </w:rPr>
        <w:t>8</w:t>
      </w:r>
      <w:r w:rsidRPr="00531587">
        <w:rPr>
          <w:sz w:val="24"/>
          <w:lang w:val="da-DK"/>
        </w:rPr>
        <w:t>.</w:t>
      </w:r>
      <w:r w:rsidRPr="008A1261" w:rsidR="008A1261">
        <w:rPr>
          <w:sz w:val="24"/>
          <w:lang w:val="da-DK"/>
        </w:rPr>
        <w:t>2014</w:t>
      </w:r>
      <w:r w:rsidRPr="00531587">
        <w:rPr>
          <w:sz w:val="24"/>
          <w:lang w:val="da-DK"/>
        </w:rPr>
        <w:t xml:space="preserve">, s. </w:t>
      </w:r>
      <w:r w:rsidRPr="008A1261" w:rsidR="008A1261">
        <w:rPr>
          <w:sz w:val="24"/>
          <w:lang w:val="da-DK"/>
        </w:rPr>
        <w:t>4</w:t>
      </w:r>
      <w:r w:rsidRPr="00531587">
        <w:rPr>
          <w:sz w:val="24"/>
          <w:lang w:val="da-DK"/>
        </w:rPr>
        <w:t xml:space="preserve">, ELI: </w:t>
      </w:r>
      <w:hyperlink r:id="rId1" w:tgtFrame="http://data.europa.eu/eli/agree_internation/2014/494/oj" w:history="1">
        <w:r w:rsidRPr="00531587">
          <w:rPr>
            <w:rStyle w:val="Hyperlink"/>
            <w:sz w:val="24"/>
            <w:lang w:val="da-DK"/>
          </w:rPr>
          <w:t>http://data.europa.eu/eli/agree_internation/</w:t>
        </w:r>
        <w:r w:rsidRPr="008A1261" w:rsidR="008A1261">
          <w:rPr>
            <w:rStyle w:val="Hyperlink"/>
            <w:sz w:val="24"/>
            <w:lang w:val="da-DK"/>
          </w:rPr>
          <w:t>2014</w:t>
        </w:r>
        <w:r w:rsidRPr="00531587">
          <w:rPr>
            <w:rStyle w:val="Hyperlink"/>
            <w:sz w:val="24"/>
            <w:lang w:val="da-DK"/>
          </w:rPr>
          <w:t>/</w:t>
        </w:r>
        <w:r w:rsidRPr="008A1261" w:rsidR="008A1261">
          <w:rPr>
            <w:rStyle w:val="Hyperlink"/>
            <w:sz w:val="24"/>
            <w:lang w:val="da-DK"/>
          </w:rPr>
          <w:t>494</w:t>
        </w:r>
        <w:r w:rsidRPr="00531587">
          <w:rPr>
            <w:rStyle w:val="Hyperlink"/>
            <w:sz w:val="24"/>
            <w:lang w:val="da-DK"/>
          </w:rPr>
          <w:t>/oj.</w:t>
        </w:r>
      </w:hyperlink>
    </w:p>
  </w:footnote>
  <w:footnote w:id="3">
    <w:p w:rsidR="00A51CBC" w:rsidRPr="00531587" w:rsidP="00531587" w14:paraId="17F67709" w14:textId="4CC33A64">
      <w:pPr>
        <w:pStyle w:val="FootnoteText"/>
        <w:ind w:left="567" w:hanging="567"/>
        <w:rPr>
          <w:sz w:val="24"/>
          <w:lang w:val="da-DK"/>
        </w:rPr>
      </w:pPr>
      <w:r>
        <w:rPr>
          <w:rStyle w:val="FootnoteReference"/>
        </w:rPr>
        <w:footnoteRef/>
      </w:r>
      <w:r w:rsidRPr="00531587">
        <w:rPr>
          <w:sz w:val="24"/>
          <w:lang w:val="da-DK"/>
        </w:rPr>
        <w:t xml:space="preserve"> </w:t>
      </w:r>
      <w:r w:rsidRPr="00531587">
        <w:rPr>
          <w:sz w:val="24"/>
          <w:lang w:val="da-DK"/>
        </w:rPr>
        <w:tab/>
        <w:t xml:space="preserve">EUT L, </w:t>
      </w:r>
      <w:r w:rsidRPr="008A1261" w:rsidR="008A1261">
        <w:rPr>
          <w:sz w:val="24"/>
          <w:lang w:val="da-DK"/>
        </w:rPr>
        <w:t>2025</w:t>
      </w:r>
      <w:r w:rsidRPr="00531587">
        <w:rPr>
          <w:sz w:val="24"/>
          <w:lang w:val="da-DK"/>
        </w:rPr>
        <w:t>/</w:t>
      </w:r>
      <w:r w:rsidRPr="008A1261" w:rsidR="008A1261">
        <w:rPr>
          <w:sz w:val="24"/>
          <w:lang w:val="da-DK"/>
        </w:rPr>
        <w:t>2441</w:t>
      </w:r>
      <w:r w:rsidRPr="00531587">
        <w:rPr>
          <w:sz w:val="24"/>
          <w:lang w:val="da-DK"/>
        </w:rPr>
        <w:t xml:space="preserve">, </w:t>
      </w:r>
      <w:r w:rsidRPr="008A1261" w:rsidR="008A1261">
        <w:rPr>
          <w:sz w:val="24"/>
          <w:lang w:val="da-DK"/>
        </w:rPr>
        <w:t>10</w:t>
      </w:r>
      <w:r w:rsidRPr="00531587">
        <w:rPr>
          <w:sz w:val="24"/>
          <w:lang w:val="da-DK"/>
        </w:rPr>
        <w:t>.</w:t>
      </w:r>
      <w:r w:rsidRPr="008A1261" w:rsidR="008A1261">
        <w:rPr>
          <w:sz w:val="24"/>
          <w:lang w:val="da-DK"/>
        </w:rPr>
        <w:t>12</w:t>
      </w:r>
      <w:r w:rsidRPr="00531587">
        <w:rPr>
          <w:sz w:val="24"/>
          <w:lang w:val="da-DK"/>
        </w:rPr>
        <w:t>.</w:t>
      </w:r>
      <w:r w:rsidRPr="008A1261" w:rsidR="008A1261">
        <w:rPr>
          <w:sz w:val="24"/>
          <w:lang w:val="da-DK"/>
        </w:rPr>
        <w:t>2025</w:t>
      </w:r>
      <w:r w:rsidRPr="00531587">
        <w:rPr>
          <w:sz w:val="24"/>
          <w:lang w:val="da-DK"/>
        </w:rPr>
        <w:t xml:space="preserve">, ELI: </w:t>
      </w:r>
      <w:hyperlink r:id="rId2" w:tgtFrame="http://data.europa.eu/eli/reg/2025/2441/oj" w:history="1">
        <w:r w:rsidRPr="00531587">
          <w:rPr>
            <w:rStyle w:val="Hyperlink"/>
            <w:sz w:val="24"/>
            <w:lang w:val="da-DK"/>
          </w:rPr>
          <w:t>http://data.europa.eu/eli/reg/</w:t>
        </w:r>
        <w:r w:rsidRPr="008A1261" w:rsidR="008A1261">
          <w:rPr>
            <w:rStyle w:val="Hyperlink"/>
            <w:sz w:val="24"/>
            <w:lang w:val="da-DK"/>
          </w:rPr>
          <w:t>2025</w:t>
        </w:r>
        <w:r w:rsidRPr="00531587">
          <w:rPr>
            <w:rStyle w:val="Hyperlink"/>
            <w:sz w:val="24"/>
            <w:lang w:val="da-DK"/>
          </w:rPr>
          <w:t>/</w:t>
        </w:r>
        <w:r w:rsidRPr="008A1261" w:rsidR="008A1261">
          <w:rPr>
            <w:rStyle w:val="Hyperlink"/>
            <w:sz w:val="24"/>
            <w:lang w:val="da-DK"/>
          </w:rPr>
          <w:t>2441</w:t>
        </w:r>
        <w:r w:rsidRPr="00531587">
          <w:rPr>
            <w:rStyle w:val="Hyperlink"/>
            <w:sz w:val="24"/>
            <w:lang w:val="da-DK"/>
          </w:rPr>
          <w:t>/oj</w:t>
        </w:r>
      </w:hyperlink>
      <w:r w:rsidRPr="00531587">
        <w:rPr>
          <w:sz w:val="24"/>
          <w:lang w:val="da-DK"/>
        </w:rPr>
        <w:t>.</w:t>
      </w:r>
    </w:p>
  </w:footnote>
  <w:footnote w:id="4">
    <w:p w:rsidR="00A51CBC" w:rsidRPr="00531587" w:rsidP="00531587" w14:paraId="233B959F" w14:textId="2DD8A4FF">
      <w:pPr>
        <w:pStyle w:val="FootnoteText"/>
        <w:ind w:left="567" w:hanging="567"/>
        <w:rPr>
          <w:sz w:val="24"/>
          <w:lang w:val="da-DK"/>
        </w:rPr>
      </w:pPr>
      <w:r>
        <w:rPr>
          <w:rStyle w:val="FootnoteReference"/>
        </w:rPr>
        <w:footnoteRef/>
      </w:r>
      <w:r w:rsidRPr="00531587">
        <w:rPr>
          <w:sz w:val="24"/>
          <w:lang w:val="da-DK"/>
        </w:rPr>
        <w:t xml:space="preserve"> </w:t>
      </w:r>
      <w:r w:rsidRPr="00531587">
        <w:rPr>
          <w:sz w:val="24"/>
          <w:lang w:val="da-DK"/>
        </w:rPr>
        <w:tab/>
        <w:t>Vedtagne tekster, P</w:t>
      </w:r>
      <w:r w:rsidRPr="008A1261" w:rsidR="008A1261">
        <w:rPr>
          <w:sz w:val="24"/>
          <w:lang w:val="da-DK"/>
        </w:rPr>
        <w:t>10</w:t>
      </w:r>
      <w:r w:rsidRPr="00531587">
        <w:rPr>
          <w:sz w:val="24"/>
          <w:lang w:val="da-DK"/>
        </w:rPr>
        <w:t>_</w:t>
      </w:r>
      <w:r w:rsidRPr="00531587">
        <w:rPr>
          <w:sz w:val="24"/>
          <w:lang w:val="da-DK"/>
        </w:rPr>
        <w:t>TA(</w:t>
      </w:r>
      <w:r w:rsidRPr="008A1261" w:rsidR="008A1261">
        <w:rPr>
          <w:sz w:val="24"/>
          <w:lang w:val="da-DK"/>
        </w:rPr>
        <w:t>2026</w:t>
      </w:r>
      <w:r w:rsidRPr="00531587">
        <w:rPr>
          <w:sz w:val="24"/>
          <w:lang w:val="da-DK"/>
        </w:rPr>
        <w:t>)</w:t>
      </w:r>
      <w:r w:rsidRPr="008A1261" w:rsidR="008A1261">
        <w:rPr>
          <w:sz w:val="24"/>
          <w:lang w:val="da-DK"/>
        </w:rPr>
        <w:t>0077</w:t>
      </w:r>
      <w:r w:rsidRPr="00531587">
        <w:rPr>
          <w:sz w:val="24"/>
          <w:lang w:val="da-DK"/>
        </w:rPr>
        <w:t>.</w:t>
      </w:r>
    </w:p>
  </w:footnote>
  <w:footnote w:id="5">
    <w:p w:rsidR="00A51CBC" w:rsidRPr="00531587" w:rsidP="00531587" w14:paraId="6CA4AC32" w14:textId="0D539A1E">
      <w:pPr>
        <w:pStyle w:val="FootnoteText"/>
        <w:ind w:left="567" w:hanging="567"/>
        <w:rPr>
          <w:sz w:val="24"/>
          <w:lang w:val="da-DK"/>
        </w:rPr>
      </w:pPr>
      <w:r>
        <w:rPr>
          <w:rStyle w:val="FootnoteReference"/>
        </w:rPr>
        <w:footnoteRef/>
      </w:r>
      <w:r w:rsidRPr="00531587">
        <w:rPr>
          <w:sz w:val="24"/>
          <w:lang w:val="da-DK"/>
        </w:rPr>
        <w:t xml:space="preserve"> </w:t>
      </w:r>
      <w:r w:rsidRPr="00531587">
        <w:rPr>
          <w:sz w:val="24"/>
          <w:lang w:val="da-DK"/>
        </w:rPr>
        <w:tab/>
        <w:t xml:space="preserve">EUT L, </w:t>
      </w:r>
      <w:r w:rsidRPr="008A1261" w:rsidR="008A1261">
        <w:rPr>
          <w:sz w:val="24"/>
          <w:lang w:val="da-DK"/>
        </w:rPr>
        <w:t>2024</w:t>
      </w:r>
      <w:r w:rsidRPr="00531587">
        <w:rPr>
          <w:sz w:val="24"/>
          <w:lang w:val="da-DK"/>
        </w:rPr>
        <w:t>/</w:t>
      </w:r>
      <w:r w:rsidRPr="008A1261" w:rsidR="008A1261">
        <w:rPr>
          <w:sz w:val="24"/>
          <w:lang w:val="da-DK"/>
        </w:rPr>
        <w:t>1760</w:t>
      </w:r>
      <w:r w:rsidRPr="00531587">
        <w:rPr>
          <w:sz w:val="24"/>
          <w:lang w:val="da-DK"/>
        </w:rPr>
        <w:t xml:space="preserve">, </w:t>
      </w:r>
      <w:r w:rsidRPr="008A1261" w:rsidR="008A1261">
        <w:rPr>
          <w:sz w:val="24"/>
          <w:lang w:val="da-DK"/>
        </w:rPr>
        <w:t>5</w:t>
      </w:r>
      <w:r w:rsidRPr="00531587">
        <w:rPr>
          <w:sz w:val="24"/>
          <w:lang w:val="da-DK"/>
        </w:rPr>
        <w:t>.</w:t>
      </w:r>
      <w:r w:rsidRPr="008A1261" w:rsidR="008A1261">
        <w:rPr>
          <w:sz w:val="24"/>
          <w:lang w:val="da-DK"/>
        </w:rPr>
        <w:t>7</w:t>
      </w:r>
      <w:r w:rsidRPr="00531587">
        <w:rPr>
          <w:sz w:val="24"/>
          <w:lang w:val="da-DK"/>
        </w:rPr>
        <w:t>.</w:t>
      </w:r>
      <w:r w:rsidRPr="008A1261" w:rsidR="008A1261">
        <w:rPr>
          <w:sz w:val="24"/>
          <w:lang w:val="da-DK"/>
        </w:rPr>
        <w:t>2024</w:t>
      </w:r>
      <w:r w:rsidRPr="00531587">
        <w:rPr>
          <w:sz w:val="24"/>
          <w:lang w:val="da-DK"/>
        </w:rPr>
        <w:t xml:space="preserve">, ELI: </w:t>
      </w:r>
      <w:hyperlink r:id="rId3" w:tgtFrame="http://data.europa.eu/eli/dir/2024/1760/oj" w:history="1">
        <w:r w:rsidRPr="00531587">
          <w:rPr>
            <w:rStyle w:val="Hyperlink"/>
            <w:sz w:val="24"/>
            <w:lang w:val="da-DK"/>
          </w:rPr>
          <w:t>http://data.europa.eu/eli/dir/</w:t>
        </w:r>
        <w:r w:rsidRPr="008A1261" w:rsidR="008A1261">
          <w:rPr>
            <w:rStyle w:val="Hyperlink"/>
            <w:sz w:val="24"/>
            <w:lang w:val="da-DK"/>
          </w:rPr>
          <w:t>2024</w:t>
        </w:r>
        <w:r w:rsidRPr="00531587">
          <w:rPr>
            <w:rStyle w:val="Hyperlink"/>
            <w:sz w:val="24"/>
            <w:lang w:val="da-DK"/>
          </w:rPr>
          <w:t>/</w:t>
        </w:r>
        <w:r w:rsidRPr="008A1261" w:rsidR="008A1261">
          <w:rPr>
            <w:rStyle w:val="Hyperlink"/>
            <w:sz w:val="24"/>
            <w:lang w:val="da-DK"/>
          </w:rPr>
          <w:t>1760</w:t>
        </w:r>
        <w:r w:rsidRPr="00531587">
          <w:rPr>
            <w:rStyle w:val="Hyperlink"/>
            <w:sz w:val="24"/>
            <w:lang w:val="da-DK"/>
          </w:rPr>
          <w:t>/oj</w:t>
        </w:r>
      </w:hyperlink>
      <w:r w:rsidRPr="00531587">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6960530">
    <w:abstractNumId w:val="9"/>
  </w:num>
  <w:num w:numId="2" w16cid:durableId="311250619">
    <w:abstractNumId w:val="9"/>
  </w:num>
  <w:num w:numId="3" w16cid:durableId="251007949">
    <w:abstractNumId w:val="7"/>
  </w:num>
  <w:num w:numId="4" w16cid:durableId="1879392225">
    <w:abstractNumId w:val="7"/>
  </w:num>
  <w:num w:numId="5" w16cid:durableId="1508209497">
    <w:abstractNumId w:val="6"/>
  </w:num>
  <w:num w:numId="6" w16cid:durableId="1313482512">
    <w:abstractNumId w:val="6"/>
  </w:num>
  <w:num w:numId="7" w16cid:durableId="1288783158">
    <w:abstractNumId w:val="5"/>
  </w:num>
  <w:num w:numId="8" w16cid:durableId="1175732316">
    <w:abstractNumId w:val="5"/>
  </w:num>
  <w:num w:numId="9" w16cid:durableId="477691933">
    <w:abstractNumId w:val="4"/>
  </w:num>
  <w:num w:numId="10" w16cid:durableId="1634554865">
    <w:abstractNumId w:val="4"/>
  </w:num>
  <w:num w:numId="11" w16cid:durableId="1243182032">
    <w:abstractNumId w:val="8"/>
  </w:num>
  <w:num w:numId="12" w16cid:durableId="1020817168">
    <w:abstractNumId w:val="8"/>
  </w:num>
  <w:num w:numId="13" w16cid:durableId="720521051">
    <w:abstractNumId w:val="3"/>
  </w:num>
  <w:num w:numId="14" w16cid:durableId="203061128">
    <w:abstractNumId w:val="3"/>
  </w:num>
  <w:num w:numId="15" w16cid:durableId="2139108084">
    <w:abstractNumId w:val="2"/>
  </w:num>
  <w:num w:numId="16" w16cid:durableId="1187451782">
    <w:abstractNumId w:val="2"/>
  </w:num>
  <w:num w:numId="17" w16cid:durableId="1182473308">
    <w:abstractNumId w:val="1"/>
  </w:num>
  <w:num w:numId="18" w16cid:durableId="1331760232">
    <w:abstractNumId w:val="1"/>
  </w:num>
  <w:num w:numId="19" w16cid:durableId="1515804565">
    <w:abstractNumId w:val="0"/>
  </w:num>
  <w:num w:numId="20" w16cid:durableId="601568336">
    <w:abstractNumId w:val="0"/>
  </w:num>
  <w:num w:numId="21" w16cid:durableId="1973711147">
    <w:abstractNumId w:val="9"/>
  </w:num>
  <w:num w:numId="22" w16cid:durableId="312754796">
    <w:abstractNumId w:val="7"/>
  </w:num>
  <w:num w:numId="23" w16cid:durableId="839739149">
    <w:abstractNumId w:val="6"/>
  </w:num>
  <w:num w:numId="24" w16cid:durableId="1996908920">
    <w:abstractNumId w:val="5"/>
  </w:num>
  <w:num w:numId="25" w16cid:durableId="256864562">
    <w:abstractNumId w:val="4"/>
  </w:num>
  <w:num w:numId="26" w16cid:durableId="1906647560">
    <w:abstractNumId w:val="8"/>
  </w:num>
  <w:num w:numId="27" w16cid:durableId="181016390">
    <w:abstractNumId w:val="3"/>
  </w:num>
  <w:num w:numId="28" w16cid:durableId="1714891219">
    <w:abstractNumId w:val="2"/>
  </w:num>
  <w:num w:numId="29" w16cid:durableId="137571129">
    <w:abstractNumId w:val="1"/>
  </w:num>
  <w:num w:numId="30" w16cid:durableId="1379937732">
    <w:abstractNumId w:val="0"/>
  </w:num>
  <w:num w:numId="31" w16cid:durableId="1877505069">
    <w:abstractNumId w:val="9"/>
  </w:num>
  <w:num w:numId="32" w16cid:durableId="302153651">
    <w:abstractNumId w:val="7"/>
  </w:num>
  <w:num w:numId="33" w16cid:durableId="975375162">
    <w:abstractNumId w:val="6"/>
  </w:num>
  <w:num w:numId="34" w16cid:durableId="25446836">
    <w:abstractNumId w:val="5"/>
  </w:num>
  <w:num w:numId="35" w16cid:durableId="329915439">
    <w:abstractNumId w:val="4"/>
  </w:num>
  <w:num w:numId="36" w16cid:durableId="493836232">
    <w:abstractNumId w:val="8"/>
  </w:num>
  <w:num w:numId="37" w16cid:durableId="549266333">
    <w:abstractNumId w:val="3"/>
  </w:num>
  <w:num w:numId="38" w16cid:durableId="193425105">
    <w:abstractNumId w:val="2"/>
  </w:num>
  <w:num w:numId="39" w16cid:durableId="1854107690">
    <w:abstractNumId w:val="1"/>
  </w:num>
  <w:num w:numId="40" w16cid:durableId="441921976">
    <w:abstractNumId w:val="0"/>
  </w:num>
  <w:num w:numId="41" w16cid:durableId="477692691">
    <w:abstractNumId w:val="10"/>
  </w:num>
  <w:num w:numId="42" w16cid:durableId="509372021">
    <w:abstractNumId w:val="10"/>
  </w:num>
  <w:num w:numId="43" w16cid:durableId="854881768">
    <w:abstractNumId w:val="10"/>
  </w:num>
  <w:num w:numId="44" w16cid:durableId="855538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C94"/>
    <w:rsid w:val="00002272"/>
    <w:rsid w:val="00064002"/>
    <w:rsid w:val="000677B9"/>
    <w:rsid w:val="000831BA"/>
    <w:rsid w:val="000A42CC"/>
    <w:rsid w:val="000E7DD9"/>
    <w:rsid w:val="0010095E"/>
    <w:rsid w:val="00101F82"/>
    <w:rsid w:val="00125B37"/>
    <w:rsid w:val="00187494"/>
    <w:rsid w:val="001F32AE"/>
    <w:rsid w:val="002767FF"/>
    <w:rsid w:val="002B18FE"/>
    <w:rsid w:val="002B5493"/>
    <w:rsid w:val="00334E7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587"/>
    <w:rsid w:val="00545827"/>
    <w:rsid w:val="00560270"/>
    <w:rsid w:val="00595F7F"/>
    <w:rsid w:val="005C2568"/>
    <w:rsid w:val="005F1B17"/>
    <w:rsid w:val="006037C0"/>
    <w:rsid w:val="006631B6"/>
    <w:rsid w:val="00680577"/>
    <w:rsid w:val="0069385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261"/>
    <w:rsid w:val="008C2AC6"/>
    <w:rsid w:val="00930C23"/>
    <w:rsid w:val="0093193B"/>
    <w:rsid w:val="009509D8"/>
    <w:rsid w:val="00950B64"/>
    <w:rsid w:val="00981893"/>
    <w:rsid w:val="00A1687D"/>
    <w:rsid w:val="00A43E52"/>
    <w:rsid w:val="00A4678D"/>
    <w:rsid w:val="00A51CBC"/>
    <w:rsid w:val="00A778C7"/>
    <w:rsid w:val="00A8720E"/>
    <w:rsid w:val="00AA2406"/>
    <w:rsid w:val="00AB441E"/>
    <w:rsid w:val="00AB6293"/>
    <w:rsid w:val="00AE0928"/>
    <w:rsid w:val="00AF3B82"/>
    <w:rsid w:val="00B12E95"/>
    <w:rsid w:val="00B22876"/>
    <w:rsid w:val="00B558F0"/>
    <w:rsid w:val="00BD48FE"/>
    <w:rsid w:val="00BD7BD8"/>
    <w:rsid w:val="00BE6ADC"/>
    <w:rsid w:val="00C05BFE"/>
    <w:rsid w:val="00C22C94"/>
    <w:rsid w:val="00C23CD4"/>
    <w:rsid w:val="00C61C0C"/>
    <w:rsid w:val="00C941CB"/>
    <w:rsid w:val="00CC2357"/>
    <w:rsid w:val="00CF071A"/>
    <w:rsid w:val="00D058B8"/>
    <w:rsid w:val="00D06910"/>
    <w:rsid w:val="00D56C11"/>
    <w:rsid w:val="00D834A0"/>
    <w:rsid w:val="00D872DF"/>
    <w:rsid w:val="00D91E21"/>
    <w:rsid w:val="00DA7FCD"/>
    <w:rsid w:val="00DB3E77"/>
    <w:rsid w:val="00E31D38"/>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0/2026"/>
    <w:docVar w:name="dvlangue" w:val="DA"/>
    <w:docVar w:name="dvnumam" w:val="0"/>
    <w:docVar w:name="dvpe" w:val="782.288"/>
    <w:docVar w:name="dvrapporteur" w:val="Ordfører: "/>
    <w:docVar w:name="dvtitre" w:val="Europa-Parlamentets beslutning af xx. juni 2026 om Kommissionens 2025-rapport om Georgien(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02B077"/>
  <w15:chartTrackingRefBased/>
  <w15:docId w15:val="{77D644A0-C560-40C2-9005-7E98AE8E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31D38"/>
    <w:pPr>
      <w:widowControl/>
      <w:spacing w:after="240"/>
    </w:pPr>
    <w:rPr>
      <w:szCs w:val="24"/>
      <w:lang w:eastAsia="en-US"/>
    </w:rPr>
  </w:style>
  <w:style w:type="paragraph" w:customStyle="1" w:styleId="NormalHanging12a">
    <w:name w:val="NormalHanging12a"/>
    <w:basedOn w:val="Normal"/>
    <w:rsid w:val="00E31D38"/>
    <w:pPr>
      <w:widowControl/>
      <w:spacing w:after="240"/>
      <w:ind w:left="566" w:hanging="566"/>
    </w:pPr>
    <w:rPr>
      <w:szCs w:val="24"/>
      <w:lang w:eastAsia="en-US"/>
    </w:rPr>
  </w:style>
  <w:style w:type="paragraph" w:customStyle="1" w:styleId="Normal12">
    <w:name w:val="Normal12"/>
    <w:basedOn w:val="Normal"/>
    <w:rsid w:val="00E31D38"/>
    <w:pPr>
      <w:spacing w:after="240"/>
    </w:pPr>
    <w:rPr>
      <w:szCs w:val="24"/>
      <w:lang w:eastAsia="en-US"/>
    </w:rPr>
  </w:style>
  <w:style w:type="paragraph" w:customStyle="1" w:styleId="NormalHanging">
    <w:name w:val="NormalHanging"/>
    <w:basedOn w:val="Normal"/>
    <w:rsid w:val="00E31D38"/>
    <w:pPr>
      <w:spacing w:after="240"/>
      <w:ind w:left="566" w:hanging="566"/>
    </w:pPr>
    <w:rPr>
      <w:szCs w:val="24"/>
      <w:lang w:eastAsia="en-US"/>
    </w:rPr>
  </w:style>
  <w:style w:type="paragraph" w:customStyle="1" w:styleId="NormalCenter12a">
    <w:name w:val="NormalCenter12a"/>
    <w:basedOn w:val="Normal"/>
    <w:rsid w:val="00E31D38"/>
    <w:pPr>
      <w:widowControl/>
      <w:spacing w:after="240"/>
      <w:jc w:val="center"/>
    </w:pPr>
    <w:rPr>
      <w:szCs w:val="24"/>
      <w:lang w:eastAsia="en-US"/>
    </w:rPr>
  </w:style>
  <w:style w:type="character" w:styleId="Hyperlink">
    <w:name w:val="Hyperlink"/>
    <w:basedOn w:val="DefaultParagraphFont"/>
    <w:rsid w:val="00E31D38"/>
    <w:rPr>
      <w:color w:val="0000FF"/>
      <w:u w:val="single"/>
    </w:rPr>
  </w:style>
  <w:style w:type="paragraph" w:styleId="Revision">
    <w:name w:val="Revision"/>
    <w:hidden/>
    <w:uiPriority w:val="99"/>
    <w:semiHidden/>
    <w:rsid w:val="00A51CBC"/>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8209</Words>
  <Characters>53630</Characters>
  <Application>Microsoft Office Word</Application>
  <DocSecurity>0</DocSecurity>
  <Lines>957</Lines>
  <Paragraphs>322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2026-06-17T14:02:00Z</dcterms:created>
  <dcterms:modified xsi:type="dcterms:W3CDTF">2026-06-17T14:02:00Z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P10_TA-PROV(2026)0222_A10-0140_2026_</vt:lpwstr>
  </property>
  <property fmtid="{D5CDD505-2E9C-101B-9397-08002B2CF9AE}" pid="4" name="&lt;Type&gt;">
    <vt:lpwstr>RR</vt:lpwstr>
  </property>
</Properties>
</file>