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F2F1184" w14:textId="77777777" w:rsidTr="0010095E">
        <w:tblPrEx>
          <w:tblW w:w="9072" w:type="dxa"/>
          <w:tblLook w:val="01E0"/>
        </w:tblPrEx>
        <w:trPr>
          <w:trHeight w:hRule="exact" w:val="1418"/>
        </w:trPr>
        <w:tc>
          <w:tcPr>
            <w:tcW w:w="6804" w:type="dxa"/>
            <w:shd w:val="clear" w:color="auto" w:fill="auto"/>
            <w:vAlign w:val="center"/>
          </w:tcPr>
          <w:p w:rsidR="00751A4A" w:rsidRPr="007D48B0" w:rsidP="0010095E" w14:paraId="7CC31B6A" w14:textId="77777777">
            <w:pPr>
              <w:pStyle w:val="EPName"/>
            </w:pPr>
            <w:r w:rsidRPr="007D48B0">
              <w:t>Europos Parlamentas</w:t>
            </w:r>
          </w:p>
          <w:p w:rsidR="00751A4A" w:rsidRPr="007D48B0" w:rsidP="005F1B17" w14:paraId="63FFA785" w14:textId="77777777">
            <w:pPr>
              <w:pStyle w:val="EPTerm"/>
              <w:rPr>
                <w:rStyle w:val="HideTWBExt"/>
                <w:noProof w:val="0"/>
                <w:vanish w:val="0"/>
                <w:color w:val="auto"/>
              </w:rPr>
            </w:pPr>
            <w:r w:rsidRPr="007D48B0">
              <w:t>2024</w:t>
            </w:r>
            <w:r w:rsidRPr="007D48B0" w:rsidR="00817416">
              <w:t>-202</w:t>
            </w:r>
            <w:r w:rsidRPr="007D48B0">
              <w:t>9</w:t>
            </w:r>
          </w:p>
        </w:tc>
        <w:tc>
          <w:tcPr>
            <w:tcW w:w="2268" w:type="dxa"/>
            <w:shd w:val="clear" w:color="auto" w:fill="auto"/>
          </w:tcPr>
          <w:p w:rsidR="00751A4A" w:rsidRPr="007D48B0" w:rsidP="0010095E" w14:paraId="61CA7673" w14:textId="77777777">
            <w:pPr>
              <w:pStyle w:val="EPLogo"/>
            </w:pPr>
            <w:r w:rsidRPr="007D48B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D48B0" w:rsidP="004C5D52" w14:paraId="3BBFB278" w14:textId="77777777">
      <w:pPr>
        <w:pStyle w:val="LineTop"/>
      </w:pPr>
    </w:p>
    <w:p w:rsidR="00680577" w:rsidRPr="007D48B0" w:rsidP="00680577" w14:paraId="442E844E" w14:textId="77777777">
      <w:pPr>
        <w:pStyle w:val="EPBodyTA1"/>
      </w:pPr>
      <w:r w:rsidRPr="007D48B0">
        <w:t>PRIIMTI TEKSTAI</w:t>
      </w:r>
    </w:p>
    <w:p w:rsidR="00D058B8" w:rsidRPr="007D48B0" w:rsidP="00D058B8" w14:paraId="47966E97" w14:textId="77777777">
      <w:pPr>
        <w:pStyle w:val="LineBottom"/>
      </w:pPr>
    </w:p>
    <w:p w:rsidR="004E30EB" w:rsidRPr="007D48B0" w:rsidP="004E30EB" w14:paraId="711D70EB" w14:textId="2A1BE4C5">
      <w:pPr>
        <w:pStyle w:val="ATHeading1"/>
      </w:pPr>
      <w:bookmarkStart w:id="0" w:name="TANumber"/>
      <w:r w:rsidRPr="007D48B0">
        <w:t>P10_TA(2026)0</w:t>
      </w:r>
      <w:r w:rsidR="00023C8E">
        <w:t>222</w:t>
      </w:r>
      <w:bookmarkEnd w:id="0"/>
    </w:p>
    <w:p w:rsidR="004E30EB" w:rsidRPr="007D48B0" w:rsidP="004E30EB" w14:paraId="1181CDF3" w14:textId="77777777">
      <w:pPr>
        <w:pStyle w:val="ATHeading2"/>
      </w:pPr>
      <w:bookmarkStart w:id="1" w:name="title"/>
      <w:r w:rsidRPr="007D48B0">
        <w:t>2025 m. Komisijos ataskaita dėl Sakartvelo</w:t>
      </w:r>
      <w:bookmarkEnd w:id="1"/>
    </w:p>
    <w:p w:rsidR="004E30EB" w:rsidRPr="007D48B0" w:rsidP="004E30EB" w14:paraId="3BC6B061" w14:textId="77777777">
      <w:pPr>
        <w:rPr>
          <w:i/>
          <w:vanish/>
        </w:rPr>
      </w:pPr>
      <w:r>
        <w:rPr>
          <w:i/>
        </w:rPr>
        <w:fldChar w:fldCharType="begin"/>
      </w:r>
      <w:r w:rsidRPr="007D48B0">
        <w:rPr>
          <w:i/>
        </w:rPr>
        <w:instrText xml:space="preserve"> TC"(</w:instrText>
      </w:r>
      <w:bookmarkStart w:id="2" w:name="DocNumber"/>
      <w:r w:rsidRPr="007D48B0">
        <w:rPr>
          <w:i/>
        </w:rPr>
        <w:instrText>A10-0140/2026</w:instrText>
      </w:r>
      <w:bookmarkEnd w:id="2"/>
      <w:r w:rsidRPr="007D48B0">
        <w:rPr>
          <w:i/>
        </w:rPr>
        <w:instrText xml:space="preserve"> - Pranešėja: Rasa Juknevičienė)"\l3 \n&gt; \* MERGEFORMAT </w:instrText>
      </w:r>
      <w:r>
        <w:rPr>
          <w:i/>
        </w:rPr>
        <w:fldChar w:fldCharType="end"/>
      </w:r>
    </w:p>
    <w:p w:rsidR="004E30EB" w:rsidRPr="007D48B0" w:rsidP="004E30EB" w14:paraId="50694F8E" w14:textId="77777777">
      <w:pPr>
        <w:rPr>
          <w:vanish/>
        </w:rPr>
      </w:pPr>
      <w:bookmarkStart w:id="3" w:name="Commission"/>
      <w:r w:rsidRPr="007D48B0">
        <w:rPr>
          <w:vanish/>
        </w:rPr>
        <w:t>Užsienio reikalų komitetas</w:t>
      </w:r>
      <w:bookmarkEnd w:id="3"/>
    </w:p>
    <w:p w:rsidR="004E30EB" w:rsidRPr="007D48B0" w:rsidP="004E30EB" w14:paraId="731DDE03" w14:textId="77777777">
      <w:pPr>
        <w:rPr>
          <w:vanish/>
        </w:rPr>
      </w:pPr>
      <w:bookmarkStart w:id="4" w:name="PE"/>
      <w:r w:rsidRPr="007D48B0">
        <w:rPr>
          <w:vanish/>
        </w:rPr>
        <w:t>PE782.288</w:t>
      </w:r>
      <w:bookmarkEnd w:id="4"/>
    </w:p>
    <w:p w:rsidR="004E30EB" w:rsidRPr="007D48B0" w:rsidP="004E30EB" w14:paraId="5BDB1AB7" w14:textId="7B29BF61">
      <w:pPr>
        <w:pStyle w:val="ATHeading3"/>
      </w:pPr>
      <w:bookmarkStart w:id="5" w:name="Sujet"/>
      <w:r w:rsidRPr="007D48B0">
        <w:t xml:space="preserve">2026 m. </w:t>
      </w:r>
      <w:r w:rsidRPr="007D48B0" w:rsidR="009C0107">
        <w:t>birželio</w:t>
      </w:r>
      <w:r w:rsidRPr="007D48B0">
        <w:t xml:space="preserve"> </w:t>
      </w:r>
      <w:r w:rsidR="0006269E">
        <w:t>17</w:t>
      </w:r>
      <w:r w:rsidRPr="007D48B0">
        <w:t xml:space="preserve"> d. Europos Parlamento rezoliucija dėl 2025 m. Komisijos ataskaitos dėl Sakartvelo</w:t>
      </w:r>
      <w:bookmarkEnd w:id="5"/>
      <w:r w:rsidRPr="007D48B0">
        <w:t xml:space="preserve"> </w:t>
      </w:r>
      <w:bookmarkStart w:id="6" w:name="References"/>
      <w:r w:rsidRPr="007D48B0">
        <w:t>(2025/2257(INI))</w:t>
      </w:r>
      <w:bookmarkEnd w:id="6"/>
    </w:p>
    <w:p w:rsidR="000D221E" w:rsidRPr="007D48B0" w:rsidP="000D221E" w14:paraId="370C7F91" w14:textId="77777777">
      <w:pPr>
        <w:pStyle w:val="Normal12"/>
      </w:pPr>
      <w:r w:rsidRPr="007D48B0">
        <w:rPr>
          <w:i/>
        </w:rPr>
        <w:t>Europos Parlamentas</w:t>
      </w:r>
      <w:r w:rsidRPr="007D48B0">
        <w:t>,</w:t>
      </w:r>
    </w:p>
    <w:p w:rsidR="000D221E" w:rsidRPr="007D48B0" w:rsidP="000D221E" w14:paraId="7586A322" w14:textId="3BC800D7">
      <w:pPr>
        <w:pStyle w:val="NormalHanging"/>
      </w:pPr>
      <w:r w:rsidRPr="007D48B0">
        <w:t>–</w:t>
      </w:r>
      <w:r w:rsidRPr="007D48B0">
        <w:tab/>
        <w:t>atsižvelgdamas į 2025 m. lapkričio 4 d. Komisijos komunikatą „202</w:t>
      </w:r>
      <w:r w:rsidR="00B349EC">
        <w:t>5</w:t>
      </w:r>
      <w:r w:rsidRPr="007D48B0">
        <w:t> m. komunikatas dėl ES plėtros politikos“ (</w:t>
      </w:r>
      <w:r w:rsidRPr="00A844B2" w:rsidR="00AE2B57">
        <w:t>COM(2025)0690</w:t>
      </w:r>
      <w:r w:rsidRPr="007D48B0">
        <w:t>) ir prie jo pridėtą Komisijos tarnybų darbinį dokumentą „2025 m. ataskaita dėl Sakartvelo“ (SWD(2025)0757),</w:t>
      </w:r>
    </w:p>
    <w:p w:rsidR="000D221E" w:rsidRPr="007D48B0" w:rsidP="000D221E" w14:paraId="492D37CD" w14:textId="21BFA8BB">
      <w:pPr>
        <w:pStyle w:val="NormalHanging"/>
      </w:pPr>
      <w:r w:rsidRPr="007D48B0">
        <w:t>–</w:t>
      </w:r>
      <w:r w:rsidRPr="007D48B0">
        <w:tab/>
        <w:t>atsižvelgdamas į Europos Sąjungos ir Europos atominės energijos bendrijos bei jų valstybių narių ir Gruzijos asociacijos susitarimą</w:t>
      </w:r>
      <w:r>
        <w:rPr>
          <w:rStyle w:val="FootnoteReference"/>
        </w:rPr>
        <w:footnoteReference w:id="2"/>
      </w:r>
      <w:r w:rsidRPr="007D48B0">
        <w:t>,</w:t>
      </w:r>
    </w:p>
    <w:p w:rsidR="000D221E" w:rsidRPr="007D48B0" w:rsidP="000D221E" w14:paraId="66C29567" w14:textId="132282E8">
      <w:pPr>
        <w:pStyle w:val="NormalHanging"/>
      </w:pPr>
      <w:r w:rsidRPr="007D48B0">
        <w:t>–</w:t>
      </w:r>
      <w:r w:rsidRPr="007D48B0">
        <w:tab/>
        <w:t xml:space="preserve">atsižvelgiant į </w:t>
      </w:r>
      <w:r w:rsidR="001B0242">
        <w:t xml:space="preserve">2025 m. lapkričio </w:t>
      </w:r>
      <w:r w:rsidR="001B0242">
        <w:rPr>
          <w:lang w:val="en-GB"/>
        </w:rPr>
        <w:t xml:space="preserve">26 d. </w:t>
      </w:r>
      <w:r w:rsidRPr="007D48B0">
        <w:t>Europos Parlamento ir Tarybos reglamentą (ES) 2025/2441, kuriuo iš dalies keičiamas Reglamentas (ES) 2018/1806, kiek tai susiję su sustabdymo mechanizmo peržiūra</w:t>
      </w:r>
      <w:r>
        <w:rPr>
          <w:rStyle w:val="FootnoteReference"/>
        </w:rPr>
        <w:footnoteReference w:id="3"/>
      </w:r>
      <w:r w:rsidRPr="007D48B0">
        <w:t>,</w:t>
      </w:r>
    </w:p>
    <w:p w:rsidR="000D221E" w:rsidRPr="007D48B0" w:rsidP="000D221E" w14:paraId="51EA79C4" w14:textId="77777777">
      <w:pPr>
        <w:pStyle w:val="NormalHanging"/>
      </w:pPr>
      <w:r w:rsidRPr="007D48B0">
        <w:t>–</w:t>
      </w:r>
      <w:r w:rsidRPr="007D48B0">
        <w:tab/>
        <w:t>atsižvelgdamas į Sakartvelo konstitucijos 78 straipsnį, kuriame reikalaujama imtis visų galimų priemonių, kad būtų užtikrinta visapusiška Sakartvelo integracija į ES ir NATO,</w:t>
      </w:r>
    </w:p>
    <w:p w:rsidR="000D221E" w:rsidRPr="007D48B0" w:rsidP="000D221E" w14:paraId="2B4E3CE1" w14:textId="77777777">
      <w:pPr>
        <w:pStyle w:val="NormalHanging"/>
      </w:pPr>
      <w:r w:rsidRPr="007D48B0">
        <w:t>–</w:t>
      </w:r>
      <w:r w:rsidRPr="007D48B0">
        <w:tab/>
        <w:t>atsižvelgdamas į 2025 m. lapkričio 12 d. priimtą Europos saugumo ir bendradarbiavimo organizacijos (ESBO) Demokratinių institucijų ir žmogaus teisių biuro (ODIHR) skubią nuomonę dėl Sakartvelo administracinių nusižengimų kodekso ir baudžiamojo kodekso pakeitimų,</w:t>
      </w:r>
    </w:p>
    <w:p w:rsidR="000D221E" w:rsidRPr="007D48B0" w:rsidP="000D221E" w14:paraId="7382540F" w14:textId="77777777">
      <w:pPr>
        <w:pStyle w:val="NormalHanging"/>
      </w:pPr>
      <w:r w:rsidRPr="007D48B0">
        <w:t>–</w:t>
      </w:r>
      <w:r w:rsidRPr="007D48B0">
        <w:tab/>
        <w:t>atsižvelgdamas į Europos žmogaus teisių konvenciją, kurios šalis yra Sakartvelas,</w:t>
      </w:r>
    </w:p>
    <w:p w:rsidR="000D221E" w:rsidRPr="007D48B0" w:rsidP="000D221E" w14:paraId="69DFB8DC" w14:textId="77777777">
      <w:pPr>
        <w:pStyle w:val="NormalHanging"/>
      </w:pPr>
      <w:r w:rsidRPr="007D48B0">
        <w:t>–</w:t>
      </w:r>
      <w:r w:rsidRPr="007D48B0">
        <w:tab/>
        <w:t>atsižvelgdamas į ankstesnes Komisijos plėtros ataskaitas dėl Sakartvelo,</w:t>
      </w:r>
    </w:p>
    <w:p w:rsidR="000D221E" w:rsidRPr="007D48B0" w:rsidP="000D221E" w14:paraId="46C3C20A" w14:textId="77777777">
      <w:pPr>
        <w:pStyle w:val="NormalHanging"/>
      </w:pPr>
      <w:r w:rsidRPr="007D48B0">
        <w:t>–</w:t>
      </w:r>
      <w:r w:rsidRPr="007D48B0">
        <w:tab/>
        <w:t>atsižvelgdamas į organizacijos „Freedom House“ paskelbtą ataskaitą „Laisvė pasaulyje (2025 m. )“,</w:t>
      </w:r>
    </w:p>
    <w:p w:rsidR="000D221E" w:rsidRPr="007D48B0" w:rsidP="000D221E" w14:paraId="5EF7C59C" w14:textId="77777777">
      <w:pPr>
        <w:pStyle w:val="NormalHanging"/>
      </w:pPr>
      <w:r w:rsidRPr="007D48B0">
        <w:t>–</w:t>
      </w:r>
      <w:r w:rsidRPr="007D48B0">
        <w:tab/>
        <w:t>atsižvelgdamas į organizacijos „World Justice Project“ 2025 m. teisinės valstybės indeksą,</w:t>
      </w:r>
    </w:p>
    <w:p w:rsidR="000D221E" w:rsidRPr="007D48B0" w:rsidP="000D221E" w14:paraId="6264D28D" w14:textId="77777777">
      <w:pPr>
        <w:pStyle w:val="NormalHanging"/>
      </w:pPr>
      <w:r w:rsidRPr="007D48B0">
        <w:t>–</w:t>
      </w:r>
      <w:r w:rsidRPr="007D48B0">
        <w:tab/>
        <w:t>atsižvelgdamas į organizacijos „Transparency International“ paskelbtą 2025 m. korupcijos suvokimo indeksą,</w:t>
      </w:r>
    </w:p>
    <w:p w:rsidR="000D221E" w:rsidRPr="007D48B0" w:rsidP="000D221E" w14:paraId="50EE661B" w14:textId="77777777">
      <w:pPr>
        <w:pStyle w:val="NormalHanging"/>
      </w:pPr>
      <w:r w:rsidRPr="007D48B0">
        <w:t>–</w:t>
      </w:r>
      <w:r w:rsidRPr="007D48B0">
        <w:tab/>
        <w:t>atsižvelgdamas į ESBO faktų nustatymo misijos Gruzijoje (2026 m.) ataskaitą pagal Maskvos mechanizmo dokumento „Pokyčiai Sakartvele žmogaus teisių ir pagrindinių laisvių srityje nuo 2024 m. pavasario“ 12 dalį,</w:t>
      </w:r>
    </w:p>
    <w:p w:rsidR="000D221E" w:rsidRPr="007D48B0" w:rsidP="000D221E" w14:paraId="64CFEF73" w14:textId="77777777">
      <w:pPr>
        <w:pStyle w:val="NormalHanging"/>
      </w:pPr>
      <w:r w:rsidRPr="007D48B0">
        <w:t>–</w:t>
      </w:r>
      <w:r w:rsidRPr="007D48B0">
        <w:tab/>
        <w:t>atsižvelgdamas į 2025 m. gruodžio 16 d. Tarybai pirmininkaujančios valstybės narės išvadas dėl plėtros,</w:t>
      </w:r>
    </w:p>
    <w:p w:rsidR="000D221E" w:rsidRPr="007D48B0" w:rsidP="000D221E" w14:paraId="18220039" w14:textId="77777777">
      <w:pPr>
        <w:pStyle w:val="NormalHanging"/>
      </w:pPr>
      <w:r w:rsidRPr="007D48B0">
        <w:t>–</w:t>
      </w:r>
      <w:r w:rsidRPr="007D48B0">
        <w:tab/>
        <w:t>atsižvelgdamas į 2025 m. spalio 9–10 d. Venecijos komisijos priimtą nuomonę dėl Užsienio agentų registracijos įstatymo, Dotacijų įstatymo ir kitų įstatymų, susijusių su „užsienio įtaka“, pakeitimų,</w:t>
      </w:r>
    </w:p>
    <w:p w:rsidR="000D221E" w:rsidRPr="007D48B0" w:rsidP="000D221E" w14:paraId="6B6F3E55" w14:textId="77777777">
      <w:pPr>
        <w:pStyle w:val="NormalHanging"/>
      </w:pPr>
      <w:r w:rsidRPr="007D48B0">
        <w:t>–</w:t>
      </w:r>
      <w:r w:rsidRPr="007D48B0">
        <w:tab/>
        <w:t>atsižvelgdamas į savo ankstesnes rezoliucijas dėl Sakartvelo,</w:t>
      </w:r>
    </w:p>
    <w:p w:rsidR="000D221E" w:rsidRPr="007D48B0" w:rsidP="000D221E" w14:paraId="25B7227D" w14:textId="6C9ABAAC">
      <w:pPr>
        <w:pStyle w:val="NormalHanging"/>
      </w:pPr>
      <w:r w:rsidRPr="007D48B0">
        <w:t>–</w:t>
      </w:r>
      <w:r w:rsidRPr="007D48B0">
        <w:tab/>
        <w:t>atsižvelgdamas į savo 2026 m. kovo 11 d. rezoliuciją dėl ES plėtros strategijos</w:t>
      </w:r>
      <w:r>
        <w:rPr>
          <w:rStyle w:val="FootnoteReference"/>
        </w:rPr>
        <w:footnoteReference w:id="4"/>
      </w:r>
      <w:r w:rsidRPr="007D48B0">
        <w:t>,</w:t>
      </w:r>
    </w:p>
    <w:p w:rsidR="000D221E" w:rsidRPr="007D48B0" w:rsidP="000D221E" w14:paraId="7DB2E68E" w14:textId="77777777">
      <w:pPr>
        <w:pStyle w:val="NormalHanging"/>
      </w:pPr>
      <w:r w:rsidRPr="007D48B0">
        <w:t>–</w:t>
      </w:r>
      <w:r w:rsidRPr="007D48B0">
        <w:tab/>
        <w:t>atsižvelgdamas į savo Darbo tvarkos taisyklių 55 straipsnį,</w:t>
      </w:r>
    </w:p>
    <w:p w:rsidR="000D221E" w:rsidRPr="007D48B0" w:rsidP="000D221E" w14:paraId="5343CAEC" w14:textId="77777777">
      <w:pPr>
        <w:pStyle w:val="NormalHanging"/>
      </w:pPr>
      <w:r w:rsidRPr="007D48B0">
        <w:t>–</w:t>
      </w:r>
      <w:r w:rsidRPr="007D48B0">
        <w:tab/>
        <w:t>atsižvelgdamas į Užsienio reikalų komiteto pranešimą (A10-0140/2026),</w:t>
      </w:r>
    </w:p>
    <w:p w:rsidR="000D221E" w:rsidRPr="007D48B0" w:rsidP="000D221E" w14:paraId="6ACCAAF4" w14:textId="77777777">
      <w:pPr>
        <w:pStyle w:val="NormalHanging"/>
      </w:pPr>
      <w:r w:rsidRPr="007D48B0">
        <w:t>A.</w:t>
      </w:r>
      <w:r w:rsidRPr="007D48B0">
        <w:tab/>
        <w:t>kadangi 2022 m. kovo 3 d. Sakartvelas pateikė paraišką dėl narystės ES; kadangi 2023 m. gruodžio 14–15 d. aukščiausiojo lygio susitikime Europos Vadovų Taryba suteikė Sakartvelui šalies kandidatės statusą su sąlyga, kad bus imtasi atitinkamų 2023 m. lapkričio 8 d. Komisijos rekomendacijoje nustatytų veiksmų; kadangi praktiškai Sakartvelo stojimo procesas faktiškai yra sustabdytas nuo 2024 m.;</w:t>
      </w:r>
    </w:p>
    <w:p w:rsidR="000D221E" w:rsidRPr="007D48B0" w:rsidP="000D221E" w14:paraId="48C75012" w14:textId="77777777">
      <w:pPr>
        <w:pStyle w:val="NormalHanging"/>
      </w:pPr>
      <w:r w:rsidRPr="007D48B0">
        <w:t>B.</w:t>
      </w:r>
      <w:r w:rsidRPr="007D48B0">
        <w:tab/>
        <w:t>kadangi Komisija Sakartvelą laiko šalimi kandidate tik formaliai, atsižvelgdama į 2024 m. gruodžio 19 d. Europos Vadovų Tarybos išvadas, kuriose nustatyta, kad Sakartvelo valdžios institucijų veiksmai de facto sustabdė pasirengimo narystei procesą, ir atsižvelgdama į tai, kad nuo to laiko Sakartvelo padėtis esminiais klausimais toliau stipriai blogėja;</w:t>
      </w:r>
    </w:p>
    <w:p w:rsidR="000D221E" w:rsidRPr="007D48B0" w:rsidP="000D221E" w14:paraId="21579F14" w14:textId="77777777">
      <w:pPr>
        <w:pStyle w:val="NormalHanging"/>
      </w:pPr>
      <w:r w:rsidRPr="007D48B0">
        <w:t>C.</w:t>
      </w:r>
      <w:r w:rsidRPr="007D48B0">
        <w:tab/>
        <w:t>kadangi Komisijos narė Marta Kos Komisijos 2025 m. Sakartvelo ataskaitą pagrįstai apibūdino kaip „blogiausią kada nors šaliai kandidatei parengtą ataskaitą“;</w:t>
      </w:r>
    </w:p>
    <w:p w:rsidR="000D221E" w:rsidRPr="007D48B0" w:rsidP="000D221E" w14:paraId="397E8241" w14:textId="77777777">
      <w:pPr>
        <w:pStyle w:val="NormalHanging"/>
      </w:pPr>
      <w:r w:rsidRPr="007D48B0">
        <w:t>D.</w:t>
      </w:r>
      <w:r w:rsidRPr="007D48B0">
        <w:tab/>
        <w:t>kadangi padėtis Sakartvele toliau smarkiai blogėja, o dėl partijos „Sakartvelo svajonė“ veiksmų toliau blogėja demokratijos, žmogaus teisių ir teisinės valstybės padėtis; kadangi represijų, dezinformacijos kampanijų ir politinio priekabiavimo metodai atspindi Rusijos hibridinę taktiką;</w:t>
      </w:r>
    </w:p>
    <w:p w:rsidR="000D221E" w:rsidRPr="007D48B0" w:rsidP="000D221E" w14:paraId="4557D619" w14:textId="77777777">
      <w:pPr>
        <w:pStyle w:val="NormalHanging"/>
      </w:pPr>
      <w:r w:rsidRPr="007D48B0">
        <w:t>E.</w:t>
      </w:r>
      <w:r w:rsidRPr="007D48B0">
        <w:tab/>
        <w:t xml:space="preserve">kadangi 2026 m. sausio 29 d. 24 ESBO dalyvaujančios valstybės aktyvavo Maskvos mechanizmą, kuris sudarė sąlygas nepriklausomų ekspertų misijai išnagrinėti įtariamus žmogaus teisių pažeidimus, ir ypač nuo 2024 m. pavasario vykusius pokyčius; kadangi 2026 m. kovo 12 d. paskelbtoje ESBO Maskvos mechanizmo ekspertų ataskaitoje dėl Sakartvelo atkreipiamas dėmesys į didelį susirūpinimą dėl rinkimų procesų sąžiningumo, įskaitant įtarimus dėl pažeidimų ir spaudimo politinei opozicijai, taip pat teisinių priemonių taikymą opozicijos lyderiams ir politinėms partijoms; kadangi ataskaitoje raginama panaikinti ribojamuosius teisės aktus, įskaitant įstatymą dėl užsienio įtakos skaidrumo, ir pakeitimus, darančius poveikį žiniasklaidos laisvei; </w:t>
      </w:r>
      <w:r w:rsidRPr="007D48B0">
        <w:t>kadangi joje dokumentuojami neproporcingo jėgos naudojimo prieš protestuotojus atvejai ir reiškiami nuogąstavimai dėl kankinimo ir netinkamo elgesio draudimo pažeidimų, nes kai kuriais atvejais pasiekiama kankinimo riba; kadangi joje taip pat raginama nedelsiant paleisti dėl politinių priežasčių sulaikytus asmenis, įskaitant opozicijos narius ir žurnalistus, ir pabrėžiama, kad Sakartvelas turi visapusiškai bendradarbiauti su tarptautinėmis organizacijomis, įskaitant Venecijos komisiją ir atitinkamus tarptautinius mechanizmus;</w:t>
      </w:r>
    </w:p>
    <w:p w:rsidR="000D221E" w:rsidRPr="007D48B0" w:rsidP="000D221E" w14:paraId="55BD58CB" w14:textId="77777777">
      <w:pPr>
        <w:pStyle w:val="NormalHanging"/>
      </w:pPr>
      <w:r w:rsidRPr="007D48B0">
        <w:t>F.</w:t>
      </w:r>
      <w:r w:rsidRPr="007D48B0">
        <w:tab/>
        <w:t>kadangi partijos „Kartvelų svajonė“ vyriausybė sistemingai silpnino stabdžių ir atsvarų sistemą, kenkdama teisminių institucijų, prokuratūrų ir Konstitucinio Teismo nepriklausomumui, todėl dabartinėmis sąlygomis Sakartvelas struktūriškai negali atitikti narystės ES kriterijų;</w:t>
      </w:r>
    </w:p>
    <w:p w:rsidR="000D221E" w:rsidRPr="007D48B0" w:rsidP="000D221E" w14:paraId="5C044A2C" w14:textId="77777777">
      <w:pPr>
        <w:pStyle w:val="NormalHanging"/>
      </w:pPr>
      <w:r w:rsidRPr="007D48B0">
        <w:t>G.</w:t>
      </w:r>
      <w:r w:rsidRPr="007D48B0">
        <w:tab/>
        <w:t>kadangi protestai prieš partijos „Kartvelų svajonė“ veiksmus tęsiasi nuo 2024 m. lapkričio 28 d. ir rodo ilgalaikę Sakartvelo žmonių demokratinę valią, nepaisant sistemingo ir neproporcingo smurto prieš dalyvius, jų įkalinimo ir vis drakoniškesnių bausmių už dalyvavimą taikymo; kadangi vyriausybei paskelbus stabdant pasirengimą deryboms dėl narystės ES iki 2028 m. prasidėjo plataus masto protestai;</w:t>
      </w:r>
    </w:p>
    <w:p w:rsidR="000D221E" w:rsidRPr="007D48B0" w:rsidP="000D221E" w14:paraId="2B9E5F70" w14:textId="77777777">
      <w:pPr>
        <w:pStyle w:val="NormalHanging"/>
      </w:pPr>
      <w:r w:rsidRPr="007D48B0">
        <w:t>H.</w:t>
      </w:r>
      <w:r w:rsidRPr="007D48B0">
        <w:tab/>
        <w:t>kadangi 2025 m. gruodžio 1 d. paskelbtame BBC televizijos dokumentiniame filme „When Water Burns“ pateikti įrodymai, iš kurių matyti, kad 2024 m. lapkričio–gruodžio mėn. prieš protestuotojus Sakartvele buvo naudojamas vanduo, sumaišytas su toksine chemine medžiaga; kadangi toksinių cheminių medžiagų naudojimas gali sukelti ilgalaikių sveikatos problemų;</w:t>
      </w:r>
    </w:p>
    <w:p w:rsidR="000D221E" w:rsidRPr="007D48B0" w:rsidP="000D221E" w14:paraId="75C02347" w14:textId="77777777">
      <w:pPr>
        <w:pStyle w:val="NormalHanging"/>
      </w:pPr>
      <w:r w:rsidRPr="007D48B0">
        <w:t>I.</w:t>
      </w:r>
      <w:r w:rsidRPr="007D48B0">
        <w:tab/>
        <w:t>kadangi ESBO Demokratinių institucijų ir žmogaus teisių biurui buvo užkirstas kelias stebėti 2025 m. spalio 4 d. surengtus vietos rinkimus dėl pavėluoto Sakartvelo valdžios institucijų kvietimo;</w:t>
      </w:r>
    </w:p>
    <w:p w:rsidR="000D221E" w:rsidRPr="007D48B0" w:rsidP="000D221E" w14:paraId="67164198" w14:textId="77777777">
      <w:pPr>
        <w:pStyle w:val="NormalHanging"/>
      </w:pPr>
      <w:r w:rsidRPr="007D48B0">
        <w:t>J.</w:t>
      </w:r>
      <w:r w:rsidRPr="007D48B0">
        <w:tab/>
        <w:t>kadangi naujai priimtais teisės aktų pakeitimais nustatomi papildomi užsienio finansavimo apribojimai ir kriminalizuojama vadinamoji „išorės lobistinė veikla“; kadangi teisės aktais gerokai išplečiama dotacijų apibrėžtis, kad apimtų techninę arba nemokamą pagalbą ir pervedimus tarp užsienio organizacijų ir jų vietos filialų, išplečiama subjektų, kurie laikomi dotacijų gavėjais, įskaitant užsienyje įsisteigusias organizacijas, dirbančias su Sakartvelu susijusiais klausimais, aprėptis ir nustatomos baudžiamosios sankcijos už pažeidimus, susijusius su dotacijomis; kadangi teisės aktais taip pat nustatomos laisvės atėmimo bausmės iki šešerių metų už „išorės lobistinę veiklą“, aštuonerių metų draudimas asmenims, dirbusiems užsienio finansuojamose organizacijose, tapti politinių partijų nariais ir papildomos sankcijos įmonėms, vykdančioms su jų pagrindine veikla nesusijusią politinę veiklą; kadangi teisės aktuose taip pat nustatyta ekstremizmo išlyga, pagal kurią leidžiama skirti laisvės atėmimo bausmes iki trejų metų už „sistemingus veiksmus“, kuriais siekiama „įtvirtinti suvokimą“, kad vyriausybė neturi teisėtumo;</w:t>
      </w:r>
    </w:p>
    <w:p w:rsidR="000D221E" w:rsidRPr="007D48B0" w:rsidP="000D221E" w14:paraId="5BDF4626" w14:textId="77777777">
      <w:pPr>
        <w:pStyle w:val="NormalHanging"/>
      </w:pPr>
      <w:r w:rsidRPr="007D48B0">
        <w:t>K.</w:t>
      </w:r>
      <w:r w:rsidRPr="007D48B0">
        <w:tab/>
        <w:t>kadangi priimtuose Baudžiamojo kodekso pakeitimuose numatytos laisvės atėmimo bausmės asmenims, kurie atsisako pripažinti partijos „Kartvelų svajonė“ vyriausybės teisėtumą, o tai kelia didelį susirūpinimą dėl saviraiškos laisvės, politinio pliuralizmo ir demokratinių standartų;</w:t>
      </w:r>
    </w:p>
    <w:p w:rsidR="000D221E" w:rsidRPr="007D48B0" w:rsidP="000D221E" w14:paraId="1F930928" w14:textId="77777777">
      <w:pPr>
        <w:pStyle w:val="NormalHanging"/>
      </w:pPr>
      <w:r w:rsidRPr="007D48B0">
        <w:t>L.</w:t>
      </w:r>
      <w:r w:rsidRPr="007D48B0">
        <w:tab/>
        <w:t xml:space="preserve">kadangi, reaguodamos į demokratijos regresą Sakartvele valdant „Kartvelų svajonės“ režimui ir šalies geopolitinį perorientavimą, Jungtinės Amerikos Valstijos sustabdė strateginę partnerystę su Sakartvelu ir nustatė iki šiol tebegaliojančias sankcijas; </w:t>
      </w:r>
      <w:r w:rsidRPr="007D48B0">
        <w:t>kadangi JAV Kongresas priėmė įstatymo projektą „Sakartvelo galimybių telkimo ir stiprinimo siekiant didinti atskaitomybę, atsparumą ir nepriklausomybę aktas“ (Megobari aktą), kuriuo siekiama sustiprinti Sakartvelo vyriausybės veiksmų ir jos ryšių su Rusija ir kitais autoritariniais režimais, įskaitant Kiniją, kontrolę;</w:t>
      </w:r>
    </w:p>
    <w:p w:rsidR="000D221E" w:rsidRPr="007D48B0" w:rsidP="000D221E" w14:paraId="66D305D7" w14:textId="77777777">
      <w:pPr>
        <w:pStyle w:val="NormalHanging"/>
      </w:pPr>
      <w:r w:rsidRPr="007D48B0">
        <w:t>M.</w:t>
      </w:r>
      <w:r w:rsidRPr="007D48B0">
        <w:tab/>
        <w:t>kadangi 2024 m. gruodžio mėn. Jungtinės Amerikos Valstijos įtraukė Bidziną Ivanišvilį į savo sankcijų režimą už kenkimą Sakartvelo demokratinei ir euroatlantinei ateičiai Rusijos Federacijos naudai; kadangi Jungtinės Amerikos Valstijos nustatė, kad Ivanišvilio ir partijos „Kartvelų svajonė“ veiksmai pakenkė demokratinėms institucijoms, sudarė sąlygas žmogaus teisių pažeidimams ir apribojo naudojimąsi pagrindinėmis laisvėmis Sakartvele; kadangi šie veiksmai dar labiau susilpnino Sakartvelo euroatlantinę ateitį, šalis tapo vis labiau pažeidžiama Rusijos, kuri ir toliau užima daugiau kaip 20 proc. Sakartvelo teritorijos;</w:t>
      </w:r>
    </w:p>
    <w:p w:rsidR="000D221E" w:rsidRPr="007D48B0" w:rsidP="000D221E" w14:paraId="4893FFCB" w14:textId="77777777">
      <w:pPr>
        <w:pStyle w:val="NormalHanging"/>
      </w:pPr>
      <w:r w:rsidRPr="007D48B0">
        <w:t>N.</w:t>
      </w:r>
      <w:r w:rsidRPr="007D48B0">
        <w:tab/>
        <w:t>kadangi 2026 m. kovo 2 d. devynios opozicinės partijos Sakartvele, reaguodamos į tebesitęsiantį demokratijos regresą ir autoritarinį partijos „Kartvelų svajonė“ valdžios konsolidavimą, paskelbė apie aljanso sudarymą, o tai rodo proeuropietiškų demokratinių jėgų konsolidavimąsi ir didėjantį visuomenės reikalavimą ginti Sakartvelo europinį kelią;</w:t>
      </w:r>
    </w:p>
    <w:p w:rsidR="000D221E" w:rsidRPr="007D48B0" w:rsidP="000D221E" w14:paraId="70C8DDCB" w14:textId="77777777">
      <w:pPr>
        <w:pStyle w:val="NormalHanging"/>
      </w:pPr>
      <w:r w:rsidRPr="007D48B0">
        <w:t>O.</w:t>
      </w:r>
      <w:r w:rsidRPr="007D48B0">
        <w:tab/>
        <w:t>kadangi aštuoni opozicijos lyderiai ir politikai Nika Gvaramia, Zurab Japaridze, Badri Japaridze, Mamuka Khazaradze, Nika Melia, Irakli Okruashvili, Givi Targamadze ir Giorgi Vashadze buvo nuteisti septynių–aštuonių mėnesių laisvės atėmimo bausme ir jiems uždrausta dvejus metus eiti viešąsias pareigas dėl to, kad atsisakė atvykti į Sakartvelo de facto parlamento laikinąją tyrimų komisiją;</w:t>
      </w:r>
    </w:p>
    <w:p w:rsidR="000D221E" w:rsidRPr="007D48B0" w:rsidP="000D221E" w14:paraId="64F1A6C9" w14:textId="77777777">
      <w:pPr>
        <w:pStyle w:val="NormalHanging"/>
      </w:pPr>
      <w:r w:rsidRPr="007D48B0">
        <w:t>P.</w:t>
      </w:r>
      <w:r w:rsidRPr="007D48B0">
        <w:tab/>
        <w:t>kadangi partijos „Kartvelų svajonė“ valdžios institucijos sukūrė politiškai motyvuotų represijų sistemą, pagal kurią įkalinta daug politinių kalinių, įskaitant opozicijos politikus, aktyvistus, žurnalistus ir taikius protestuotojus, iš kurių buvo atimta laisvė vien dėl to, kad jie atsisakė paklusti valdančiosios partijos valdžiai arba naudojosi savo pagrindinėmis teisėmis; kadangi tokie sulaikymai yra sąmoninga bauginimo strategija, kuria siekiama nutildyti nepritarimą, panaikinti politinį pliuralizmą ir įtvirtinti autoritarinį valdymą; kadangi nuolatinis šių asmenų įkalinimas yra sunkus Sakartvelo konstitucinės tvarkos, jo tarptautinių įsipareigojimų žmogaus teisių srityje ir pagrindinių vertybių, kuriomis grindžiamas ES šalies kandidatės statusas, pažeidimas; kadangi daug studentų, pilietinės visuomenės atstovų ir menininkų buvo sulaikyti arba jiems buvo skirtos baudos už dalyvavimą protestuose;</w:t>
      </w:r>
    </w:p>
    <w:p w:rsidR="000D221E" w:rsidRPr="007D48B0" w:rsidP="000D221E" w14:paraId="2598588B" w14:textId="77777777">
      <w:pPr>
        <w:pStyle w:val="NormalHanging"/>
      </w:pPr>
      <w:r w:rsidRPr="007D48B0">
        <w:t>Q.</w:t>
      </w:r>
      <w:r w:rsidRPr="007D48B0">
        <w:tab/>
        <w:t>kadangi opozicijos veikėjų politinis persekiojimas ir toliau kelia didelį susirūpinimą, įskaitant sistemingus išpuolius prieš partijos „Už Sakartvelą“ lyderį Giorgi Gakharia, kuris patyrė du fizinius išpuolius ir buvo apkaltintas politiškai motyvuotomis nusikalstamomis veikomis, todėl šiuo metu gyvena tremtyje;</w:t>
      </w:r>
    </w:p>
    <w:p w:rsidR="000D221E" w:rsidRPr="007D48B0" w:rsidP="000D221E" w14:paraId="60899912" w14:textId="77777777">
      <w:pPr>
        <w:pStyle w:val="NormalHanging"/>
      </w:pPr>
      <w:r w:rsidRPr="007D48B0">
        <w:t>R.</w:t>
      </w:r>
      <w:r w:rsidRPr="007D48B0">
        <w:tab/>
        <w:t>kadangi iš buvusio prezidento Michailo Saakašvilio daugiau kaip ketverius metus atimta laisvė ir kuris de facto yra oligarcho Bidzinos Ivanišvilio, kontroliuojančio valstybę ir darančio neteisėtą įtaką jos institucijoms, politinis kalinys;</w:t>
      </w:r>
    </w:p>
    <w:p w:rsidR="000D221E" w:rsidRPr="007D48B0" w:rsidP="000D221E" w14:paraId="19C239CF" w14:textId="77777777">
      <w:pPr>
        <w:pStyle w:val="NormalHanging"/>
      </w:pPr>
      <w:r w:rsidRPr="007D48B0">
        <w:t>S.</w:t>
      </w:r>
      <w:r w:rsidRPr="007D48B0">
        <w:tab/>
        <w:t>kadangi nuo 2026 m. sausio mėn. Sakartvelo pilietinė visuomenė nustatė 48 politinius kalinius, kurie buvo nepagrįstai įkalinti dėl dalyvavimo protestuose ir paramos jiems, ir 68 kitus asmenis, kuriems vis dar taikomas kardomasis kalinimas dėl politiškai motyvuotų kaltinimų;</w:t>
      </w:r>
    </w:p>
    <w:p w:rsidR="000D221E" w:rsidRPr="007D48B0" w:rsidP="000D221E" w14:paraId="4B306DC0" w14:textId="77777777">
      <w:pPr>
        <w:pStyle w:val="NormalHanging"/>
      </w:pPr>
      <w:r w:rsidRPr="007D48B0">
        <w:t>T.</w:t>
      </w:r>
      <w:r w:rsidRPr="007D48B0">
        <w:tab/>
        <w:t>kadangi Sakartvele protestuojančios moterys nuolat praneša susiduriančios su žeminančiu policijos elgesiu, įskaitant seksistinę žodinę prievartą, rutinines kratas, grasinimus išžaginti ir kitus fizinio smurto grasinimus protestų metu, sulaikymo metu ir atliekant kratas namuose; kadangi ši tendencija yra platesnio Sakartvelo teisėsaugos institucijų piktnaudžiavimo ir nebaudžiamumo modelio dalis;</w:t>
      </w:r>
    </w:p>
    <w:p w:rsidR="000D221E" w:rsidRPr="007D48B0" w:rsidP="000D221E" w14:paraId="1BEF3765" w14:textId="77777777">
      <w:pPr>
        <w:pStyle w:val="NormalHanging"/>
      </w:pPr>
      <w:r w:rsidRPr="007D48B0">
        <w:t>U.</w:t>
      </w:r>
      <w:r w:rsidRPr="007D48B0">
        <w:tab/>
        <w:t>kadangi įkalintai Sakartvelo žurnalistei ir internetinių žiniasklaidos priemonių „Batumelebi“ ir „Netgazeti“ direktorei Mzijai Amaglobeli Europos Parlamentas kartu su Andrzejumi Poczobutu iš Baltarusijos skyrė 2025 m. Sacharovo premiją už minties laisvę; kadangi Sakartvelo Aukščiausiasis Teismas atmetė Mzijos Amaglobeli skundą, todėl Strasbūre įsikūręs Europos Žmogaus Teisių Teismas liko vienintelė ir paskutinė apeliacinė instancija, kurioje ji gali siekti teisingumo;</w:t>
      </w:r>
    </w:p>
    <w:p w:rsidR="000D221E" w:rsidRPr="007D48B0" w:rsidP="000D221E" w14:paraId="432CCC99" w14:textId="77777777">
      <w:pPr>
        <w:pStyle w:val="NormalHanging"/>
      </w:pPr>
      <w:r w:rsidRPr="007D48B0">
        <w:t>V.</w:t>
      </w:r>
      <w:r w:rsidRPr="007D48B0">
        <w:tab/>
        <w:t>kadangi žiniasklaidos ir saviraiškos laisvės padėtis labai pablogėjo; kadangi Europos Tarybos žurnalistų saugumo platforma 2025 m. pranešė apie 32 perspėjimus dėl Sakartvelo, t. y. 78 proc. daugiau nei 2024 m.;</w:t>
      </w:r>
    </w:p>
    <w:p w:rsidR="000D221E" w:rsidRPr="007D48B0" w:rsidP="000D221E" w14:paraId="28B1D82F" w14:textId="77777777">
      <w:pPr>
        <w:pStyle w:val="NormalHanging"/>
      </w:pPr>
      <w:r w:rsidRPr="007D48B0">
        <w:t>W.</w:t>
      </w:r>
      <w:r w:rsidRPr="007D48B0">
        <w:tab/>
        <w:t>kadangi didėjantis spaudimas švietimo sistemai ir bandymai pakenkti universitetų savarankiškumui dėl partijos „Kartvelų svajonė“ iniciatyvos „Vienas miestas – vienas fakultetas“ gali susilpninti vieną iš pagrindinių institucinių ramsčių, kuriuo remiamos demokratinės diskusijos, piliečių dalyvavimas ir Sakartvelo europinės integracijos trajektorija, ir gali apriboti galimybes gauti išsilavinimą; kadangi išpuoliai prieš pilietinę visuomenę, nepriklausomą žiniasklaidą ir akademinį sektorių atskleidžia platesnį spaudimo saviraiškos laisvei ir akademinei laisvei modelį Sakartvele;</w:t>
      </w:r>
    </w:p>
    <w:p w:rsidR="000D221E" w:rsidRPr="007D48B0" w:rsidP="000D221E" w14:paraId="49BF4B4E" w14:textId="24149E66">
      <w:pPr>
        <w:pStyle w:val="NormalHanging"/>
      </w:pPr>
      <w:r w:rsidRPr="007D48B0">
        <w:t>X.</w:t>
      </w:r>
      <w:r w:rsidRPr="007D48B0">
        <w:tab/>
        <w:t>kadangi mangano gavyba Sakartvele siekiant jį eksportuoti į ES sukėlė nuošliaužas, užteršė aplinkines teritorijas ir pažeidė darbuotojų teises Čiatros kasybos regione; kadangi aplinkosaugos organizacijos teigia, kad nuotekos išleidžiamos tiesiogiai į Kvirilos upę; kadangi protestuotojai prieš mangano kasybą pranešė apie Sakartvelo valdžios institucijų vykdomo sekimo, bauginimo ir sulaikymo atvejus; kadangi Įmonių tvarumo išsamaus patikrinimo direktyvoje</w:t>
      </w:r>
      <w:r>
        <w:rPr>
          <w:rStyle w:val="FootnoteReference"/>
        </w:rPr>
        <w:footnoteReference w:id="5"/>
      </w:r>
      <w:r w:rsidRPr="007D48B0">
        <w:t xml:space="preserve"> reikalaujama, kad Europos įmonės savo tiekimo grandinėse užtikrintų pagarbą žmogaus teisėms, geras darbo sąlygas ir aplinkos apsaugą;</w:t>
      </w:r>
    </w:p>
    <w:p w:rsidR="000D221E" w:rsidRPr="007D48B0" w:rsidP="000D221E" w14:paraId="4AB8CD12" w14:textId="77777777">
      <w:pPr>
        <w:pStyle w:val="NormalHanging"/>
      </w:pPr>
      <w:r w:rsidRPr="007D48B0">
        <w:t>Y.</w:t>
      </w:r>
      <w:r w:rsidRPr="007D48B0">
        <w:tab/>
        <w:t>kadangi kai kurios tarptautiniu mastu pripažintos Sakartvelo teritorijos ir toliau yra okupuotos; kadangi 208 m. Rusija pripažino Abchaziją ir Cchinvalį (Pietų Osetiją) kaip nepriklausomas valstybes ir, nusižengdama tarptautinei teisei, toliau laiko jose tūkstančius karių; kadangi Rusija tęsia savo „sienų žymėjimo“ politiką, t. y. fizinių užtvarų ties Abchazijos ir Cchinvalio (Pietų Osetijos) regionų administracinėmis sienomis statymą, taip pažeisdama Sakartvelo suverenitetą ir teritorinį vientisumą; kadangi, be to, Europos Žmogaus Teisių Teismas nustatė, kad tai lėmė žmogaus teisių pažeidimus, pvz., ribojama judėjimo laisvė, galimybė naudotis savo nuosavybe ar žeme, atskiriami šeimos nariai;</w:t>
      </w:r>
    </w:p>
    <w:p w:rsidR="000D221E" w:rsidRPr="007D48B0" w:rsidP="000D221E" w14:paraId="2EA00E4C" w14:textId="77777777">
      <w:pPr>
        <w:pStyle w:val="NormalHanging"/>
      </w:pPr>
      <w:r w:rsidRPr="007D48B0">
        <w:t>Z.</w:t>
      </w:r>
      <w:r w:rsidRPr="007D48B0">
        <w:tab/>
        <w:t>kadangi Rusija daro vis didesnę įtaką Sakartvelui vykdydama politines, ekonomines ir informacines kampanijas; kadangi ES negali toliau tik reaguoti ir atkreipti dėmesį į blogėjančią padėtį šalyje; kadangi vietoj to ES turi laikytis iniciatyvaus ir strateginio požiūrio į Sakartvelą, kad sumažintų šalies pažeidžiamumą išorės prievartos atžvilgiu ir užtikrintų regioninį junglumą;</w:t>
      </w:r>
    </w:p>
    <w:p w:rsidR="000D221E" w:rsidRPr="007D48B0" w:rsidP="000D221E" w14:paraId="4D513C85" w14:textId="77777777">
      <w:pPr>
        <w:pStyle w:val="NormalHanging"/>
      </w:pPr>
      <w:r w:rsidRPr="007D48B0">
        <w:t>AA.</w:t>
      </w:r>
      <w:r w:rsidRPr="007D48B0">
        <w:tab/>
        <w:t>kadangi po 2022 m. Sakartvelas gerokai padidino dvejopo naudojimo prekių importą iš Vakarų šalių ir Kinijos; kadangi turimi statistiniai duomenys rodo, kad Sakartvelas veikia kaip tranzito valstybė, sudarydama palankesnes sąlygas perduoti prekes, kurioms taikomos sankcijos, į Rusijos Federaciją, kur jos gali būti naudojamos karinei įrangai ir ginklams gaminti; kadangi daugeliu atvejų tokie pažeidimai gali būti siejami su apgalvotomis strategijomis, kuriomis siekiama apeiti Rusijai nustatytas tarptautines sankcijas; kadangi buvo išreikštas didelis susirūpinimas dėl neoficialių valdymo struktūrų ir asmenų, susijusių su Bidzina Ivanišviliu, vaidmens sudarant palankesnes sąlygas sankcijų apėjimui palankiai aplinkai; kadangi šiuo metu Sakartvele veikia apie 40 000 Rusijos piliečiams ar subjektams priklausančių įmonių, iš kurių maždaug 30 000 buvo įregistruotos nuo Rusijos agresijos karo prieš Ukrainą pradžios; kadangi įmonės, vykdančios prekybą su Rusija, įskaitant prekybą prekėmis, kurioms taikomos sankcijos, dažnai steigiamos per lengvatinio apmokestinimo struktūras, taip apsunkinant skaidrumą ir nustatant tikruosius savininkus, be kita ko, susijusius su verslo tinklais, siejamais esu Bidzina Ivanišviliu; kadangi nuolat pranešama, kad per Sakartvelą į Rusijos rinką ir toliau patenka prekės, kurioms taikomos sankcijos, įskaitant transporto priemones ir technologijas;</w:t>
      </w:r>
    </w:p>
    <w:p w:rsidR="000D221E" w:rsidRPr="007D48B0" w:rsidP="000D221E" w14:paraId="408B9C06" w14:textId="77777777">
      <w:pPr>
        <w:pStyle w:val="NormalHanging"/>
      </w:pPr>
      <w:r w:rsidRPr="007D48B0">
        <w:t>AB.</w:t>
      </w:r>
      <w:r w:rsidRPr="007D48B0">
        <w:tab/>
        <w:t>kadangi ES, kaip demokratinio valdymo, ekonomikos augimo ir taisyklėmis grindžiamo bendradarbiavimo modelio, patrauklumas tebėra pagrindinis Sakartvelo pilietinės visuomenės įkvėpimo šaltinis; kadangi viešosios nuomonės tyrimai nuolat rodo tvirtą Sakartvelo gyventojų paramą integracijai į ES, o apie 75 proc. piliečių reiškia paramą šalies europiniam keliui;</w:t>
      </w:r>
    </w:p>
    <w:p w:rsidR="000D221E" w:rsidRPr="007D48B0" w:rsidP="000D221E" w14:paraId="46ED66A0" w14:textId="77777777">
      <w:pPr>
        <w:pStyle w:val="NormalHanging"/>
      </w:pPr>
      <w:r w:rsidRPr="007D48B0">
        <w:t>AC.</w:t>
      </w:r>
      <w:r w:rsidRPr="007D48B0">
        <w:tab/>
        <w:t>kadangi nuo 2022 m. Rusijos vykdomas plataus masto agresijos karas prieš Ukrainą pakeitė Europos saugumo aplinką ir padidino strateginę ES plėtros svarbą; kadangi nuo karo pradžios daug sakartveliečių prisideda prie paramos Ukrainai;</w:t>
      </w:r>
    </w:p>
    <w:p w:rsidR="000D221E" w:rsidRPr="007D48B0" w:rsidP="000D221E" w14:paraId="1C86D6CD" w14:textId="77777777">
      <w:pPr>
        <w:pStyle w:val="NormalHanging"/>
      </w:pPr>
      <w:r w:rsidRPr="007D48B0">
        <w:t>AD.</w:t>
      </w:r>
      <w:r w:rsidRPr="007D48B0">
        <w:tab/>
        <w:t>kadangi ES yra didžiausia Sakartvelo prekybos partnerė, kuriai tenka apie 22,1 proc. visos šalies prekybos; kadangi šie mainai reglamentuojami 2016 m. visapusiškai įsigaliojusiu ES ir Sakartvelo asociacijos susitarimu, be kita ko, dėl išsamios ir visapusiškos laisvosios prekybos erdvės, pagal kurį Sakartvelo įmonėms suteikiamos galimybės lengvatinėmis sąlygomis patekti į daugiau kaip 450 mln. vartotojų turinčią ES rinką;</w:t>
      </w:r>
    </w:p>
    <w:p w:rsidR="000D221E" w:rsidRPr="007D48B0" w:rsidP="000D221E" w14:paraId="7BEB45AB" w14:textId="77777777">
      <w:pPr>
        <w:pStyle w:val="NormalHanging"/>
      </w:pPr>
      <w:r w:rsidRPr="007D48B0">
        <w:t>AE.</w:t>
      </w:r>
      <w:r w:rsidRPr="007D48B0">
        <w:tab/>
        <w:t>kadangi 2026 m. kovo 6 d. Komisija paskelbė sustabdanti bevizį režimą Sakartvelo diplomatinių, tarnybinių ir pareiginių pasų turėtojams bent iki 2027 m. kovo mėn. dėl susirūpinimo, susijusio su demokratijos ir teisinės valstybės padėties blogėjimu; kadangi paprasti Sakartvelo piliečiai gali ir toliau naudotis beviziu režimu trumpalaikiams vizitams į Šengeno erdvę, kaip nustatyta 2017 m. sprendime;</w:t>
      </w:r>
    </w:p>
    <w:p w:rsidR="000D221E" w:rsidRPr="007D48B0" w:rsidP="000D221E" w14:paraId="0BDCB11A" w14:textId="77777777">
      <w:pPr>
        <w:pStyle w:val="Normal12a"/>
      </w:pPr>
      <w:r w:rsidRPr="007D48B0">
        <w:rPr>
          <w:b/>
          <w:i/>
        </w:rPr>
        <w:t>Sakartvelo integracijos į ES sustabdymas</w:t>
      </w:r>
    </w:p>
    <w:p w:rsidR="000D221E" w:rsidRPr="007D48B0" w:rsidP="000D221E" w14:paraId="2C82EF37" w14:textId="77777777">
      <w:pPr>
        <w:pStyle w:val="NormalHanging12a"/>
      </w:pPr>
      <w:r w:rsidRPr="007D48B0">
        <w:t>1.</w:t>
      </w:r>
      <w:r w:rsidRPr="007D48B0">
        <w:tab/>
        <w:t>reiškia visišką solidarumą su Sakartvelo žmonėmis, kurie tęsia kovą už europietišką ir demokratinę Gruziją, demokratijos regreso, didėjančių represijų, neteisėtų sulaikymų, nepaliaujamos priešiškos retorikos, dezinformacijos ir grėsmių akivaizdoje; pabrėžia, kad beveik 75 proc. Sakartvelo gyventojų teberemia tolesnę integraciją į ES; pakartoja, kad ES durys tebėra plačiai atvertos, kad Sakartvelo žmonės galėtų grįžti į europinį kelią;</w:t>
      </w:r>
    </w:p>
    <w:p w:rsidR="000D221E" w:rsidRPr="007D48B0" w:rsidP="000D221E" w14:paraId="361FD05F" w14:textId="77777777">
      <w:pPr>
        <w:pStyle w:val="NormalHanging12a"/>
      </w:pPr>
      <w:r w:rsidRPr="007D48B0">
        <w:t>2.</w:t>
      </w:r>
      <w:r w:rsidRPr="007D48B0">
        <w:tab/>
        <w:t xml:space="preserve">su dideliu nusivylimu pažymi, kad partija „Kartvelų svajonė“ ne tik sustabdė, bet ir veiksmingai pakeitė Sakartvelo Europos integracijos kryptį; apgailestauja dėl to, kad </w:t>
      </w:r>
      <w:r w:rsidRPr="007D48B0">
        <w:t>blogėja visų devynių prioritetų, kurie buvo šalies kandidatės statuso suteikimo Sakartvelui sąlygos, įgyvendinimas; atkreipia dėmesį į nenuoseklius partijos „Kartvelų svajonė“ teiginius, kad integracija į ES tebėra pagrindinis prioritetas, kai jos aukščiausieji pareigūnai ir su vyriausybe susijusi žiniasklaida tuo pat metu vykdo organizuotą ir sistemingą kampaniją, kuria skleidžiami manipuliaciniai Rusijai būdingi naratyvai, dezinformacija ir sąmokslo teorijos prieš ES, jos pareigūnus ir diplomatus;</w:t>
      </w:r>
    </w:p>
    <w:p w:rsidR="000D221E" w:rsidRPr="007D48B0" w:rsidP="000D221E" w14:paraId="7D89999C" w14:textId="77777777">
      <w:pPr>
        <w:pStyle w:val="NormalHanging12a"/>
      </w:pPr>
      <w:r w:rsidRPr="007D48B0">
        <w:t>3.</w:t>
      </w:r>
      <w:r w:rsidRPr="007D48B0">
        <w:tab/>
        <w:t>apgailestauja dėl to, kad nuo suklastotų 2024 m. spalio mėn. parlamento rinkimų partija „Kartvelų svajonė“ dar labiau suintensyvino savo kelią link visiško autoritarizmo; yra sunerimęs dėl spartaus Sakartvelo demokratinių pagrindų ardymo vykdant tikslinius išpuolius prieš jo demokratines institucijas, pagrindines laisves ir demokratinį pliuralizmą, o tai visiškai prieštarauja demokratiniam vystymuisi, kurio reikalaujama siekiant narystės ES; pritaria Komisijos vertinimui, kad itin svarbioms institucijoms, pvz., Centrinei rinkimų komisijai, Ryšių komisijai, Aukštajai teisingumo tarybai, Konstituciniam Teismui, prokuratūrai, nacionaliniam bankui, teisėsaugos ir saugumo agentūrai, trūksta nešališkumo, nepriklausomumo ir demokratinės kontrolės; pabrėžia, kad Sakartvelas negali daryti jokios pažangos stojimo į Europos Sąjungą procese, kol negrįš į demokratinių reformų kelią ir, be kita ko, neužtikrins laisvų, sąžiningų ir konkurencingų rinkimų, neapsaugos oficialių institucijų nepriklausomumo, veiksmingai nespęs oligarchinės kontrolės klausimo ir negerins žmogaus teisių ir žiniasklaidos laisvės apsaugos;</w:t>
      </w:r>
    </w:p>
    <w:p w:rsidR="000D221E" w:rsidRPr="007D48B0" w:rsidP="000D221E" w14:paraId="22D6F25B" w14:textId="77777777">
      <w:pPr>
        <w:pStyle w:val="NormalHanging12a"/>
      </w:pPr>
      <w:r w:rsidRPr="007D48B0">
        <w:t>4.</w:t>
      </w:r>
      <w:r w:rsidRPr="007D48B0">
        <w:tab/>
        <w:t>pabrėžia, kad tikslinės asmeninės sankcijos, kurias ES ir jos valstybės narės nustatė Bidzinai Ivanišviliui, pagrindiniams partijos „Kartvelų svajonė“ lyderiams, teisėjams, prokurorams ir kitiems pareigūnams, atsakingiems už nuolatinį demokratijos padėties blogėjimą Sakartvele, rinkimų klastojimą, sunkius žmogaus teisių pažeidimus ir politinių oponentų bei aktyvistų persekiojimą, taip pat įmonių ir žiniasklaidos priemonių, susijusių su partija „Kartvelų svajonė“, bendrininkams, būtų svarbi kovos su nebaudžiamumu priemonė; palankiai vertina tai, kad, nesant vieningo sprendimo ES lygmeniu, vis daugiau valstybių narių įveda draudimus išduoti vizas Sakartvelo pareigūnams ir kitas pastariesiems taikomas sankcijas; primygtinai ragina kitas valstybes nares pasekti šiuo pavyzdžiu;</w:t>
      </w:r>
    </w:p>
    <w:p w:rsidR="000D221E" w:rsidRPr="007D48B0" w:rsidP="000D221E" w14:paraId="2B1C4A20" w14:textId="77777777">
      <w:pPr>
        <w:pStyle w:val="NormalHanging12a"/>
      </w:pPr>
      <w:r w:rsidRPr="007D48B0">
        <w:t>5.</w:t>
      </w:r>
      <w:r w:rsidRPr="007D48B0">
        <w:tab/>
        <w:t>pakartoja savo tvirtą raginimą ES ir jos valstybėms narėms nedelsiant nustatyti tikslines asmenines sankcijas Bidzinai Ivanišviliui, jo šeimos nariams bei jo įmonėms ir ragina ES įšaldyti jo turtą ir šiuo klausimu bendradarbiauti su kitomis jurisdikcijomis, visų pirma Jungtine Karalyste ir Jungtinėmis Amerikos Valstijomis;</w:t>
      </w:r>
    </w:p>
    <w:p w:rsidR="000D221E" w:rsidRPr="007D48B0" w:rsidP="000D221E" w14:paraId="775488E2" w14:textId="77777777">
      <w:pPr>
        <w:pStyle w:val="NormalHanging12a"/>
      </w:pPr>
      <w:r w:rsidRPr="007D48B0">
        <w:t>6.</w:t>
      </w:r>
      <w:r w:rsidRPr="007D48B0">
        <w:tab/>
        <w:t>smerkia sisteminį pareigūnų ir institucijų, atsakingų už politines represijas ir žurnalistų, žmogaus teisių gynėjų bei opozicijos veikėjų persekiojimą, nebaudžiamumą; vis dėlto pabrėžia, kad, atsižvelgiant į vis labiau įsitvirtinantį autoritarinį režimą Sakartvele, iki šiol ES atsakas buvo nepakankamas ir pavėluotas; primygtinai ragina Tarybą ir valstybes nares skubiai priimti suderintas ES masto ribojamąsias priemones visiems atsakingiems politikams, pareigūnams ir įgalintojams, įskaitant sankcijų sąrašų išplėtimą, visapusišką turto įšaldymą ir draudimą išduoti vizas asmenims, atsakingiems už valstybės užvaldymą, represijas ir režimo remiamą propagandą; primygtinai ragina būsimą Vengrijos vyriausybę panaikinti pirmtakės nustatytą ES masto tikslinių sankcijų Ivanišviliui ir platesnei partijos „Kartvelų svajonė“ vadovybei blokavimą; ragina Tarybą, kai vienbalsiškumas neįmanomas, išnagrinėti kolektyvinius mechanizmus siekiant užtikrinti veiksmingą ir vieningą ES atsaką;</w:t>
      </w:r>
    </w:p>
    <w:p w:rsidR="000D221E" w:rsidRPr="007D48B0" w:rsidP="000D221E" w14:paraId="01144F73" w14:textId="77777777">
      <w:pPr>
        <w:pStyle w:val="Normal12a"/>
      </w:pPr>
      <w:r w:rsidRPr="007D48B0">
        <w:rPr>
          <w:b/>
          <w:i/>
        </w:rPr>
        <w:t>Tolesnis demokratijos ir teisinės valstybės padėties blogėjimas ir autokratinis valdžios konsolidavimas</w:t>
      </w:r>
    </w:p>
    <w:p w:rsidR="000D221E" w:rsidRPr="007D48B0" w:rsidP="000D221E" w14:paraId="0338A04F" w14:textId="77777777">
      <w:pPr>
        <w:pStyle w:val="NormalHanging12a"/>
      </w:pPr>
      <w:r w:rsidRPr="007D48B0">
        <w:t>7.</w:t>
      </w:r>
      <w:r w:rsidRPr="007D48B0">
        <w:tab/>
        <w:t>apgailestauja, kad partija „Kartvelų svajonė“ nesiėmė jokių veiksmų, kad pakeistų savo antidemokratinį ir antieuropietišką kursą; mano, kad bendradarbiavimas su Sakartvelo valdžios institucijomis turėtų griežtai priklausyti nuo apčiuopiamų ir patikrinamų veiksmų, kuriais būtų pakeista demokratijos regreso, represijų, apribojimų ir nuožmios Rusijos stiliaus prieš ES nukreiptos dezinformacijos tendencija; todėl laikosi savo ankstesnės pozicijos dėl parlamento ir jo paskirto prezidento teisėtumo nepripažinimo; apgailestauja dėl to, kad Sakartvelo parlamentas de facto yra vienpartinis parlamentas, mechaniškai tvirtinantis teisėkūros iniciatyvas, kuriomis siekiama išardyti pliuralistinės parlamentinės demokratijos pagrindus; susirūpinęs pažymi, kad faktinis Sakartvelo parlamentas paskelbė apie savo laikiną pasitraukimą iš EURONEST parlamentinės asamblėjos;</w:t>
      </w:r>
    </w:p>
    <w:p w:rsidR="000D221E" w:rsidRPr="007D48B0" w:rsidP="000D221E" w14:paraId="2E6AACA6" w14:textId="77777777">
      <w:pPr>
        <w:pStyle w:val="NormalHanging12a"/>
      </w:pPr>
      <w:r w:rsidRPr="007D48B0">
        <w:t>8.</w:t>
      </w:r>
      <w:r w:rsidRPr="007D48B0">
        <w:tab/>
        <w:t>pakartotinai ragina ES ir valstybių narių atstovus bei parlamentų narius susilaikyti nuo susitikimų su režimo atstovais, visų pirma su dabartiniu de facto prezidentu, kol Sakartvelo valdžios institucijos tęs demokratijos regresą ir represijas; ragina valstybes nares įtvirtinti vieningą ir koordinuotą požiūrį į politinių ryšių su partijos „Kartvelų svajonė“ valdžios institucijomis apsiribojant tik tais klausimais, kurie yra tikrai būtini, kartu išlaikant ir stiprinant bendradarbiavimą su Sakartvelo pilietine visuomene, nepriklausoma žiniasklaida ir akademinėmis institucijomis; smerkia nuolatinę agresyvią retoriką prieš ES ir valstybių narių diplomatus, politikus ir pareigūnus; pabrėžia, kad svarbu ir toliau tarp Sakartvelo gyventojų ir demokratinių principų įsipareigojusių laikytis politinių jėgų populiarinti europines normas, demokratines vertybes ir europinį kelią;</w:t>
      </w:r>
    </w:p>
    <w:p w:rsidR="000D221E" w:rsidRPr="007D48B0" w:rsidP="000D221E" w14:paraId="4D6E3940" w14:textId="77777777">
      <w:pPr>
        <w:pStyle w:val="NormalHanging12a"/>
      </w:pPr>
      <w:r w:rsidRPr="007D48B0">
        <w:t>9.</w:t>
      </w:r>
      <w:r w:rsidRPr="007D48B0">
        <w:tab/>
        <w:t>susirūpinęs atkreipia dėmesį į agresyvią retoriką prieš Jungtines Amerikos Valstijas, Jungtinę Karalystę ir kitus sąjungininkus;</w:t>
      </w:r>
    </w:p>
    <w:p w:rsidR="000D221E" w:rsidRPr="007D48B0" w:rsidP="000D221E" w14:paraId="18972EBF" w14:textId="77777777">
      <w:pPr>
        <w:pStyle w:val="NormalHanging12a"/>
      </w:pPr>
      <w:r w:rsidRPr="007D48B0">
        <w:t>10.</w:t>
      </w:r>
      <w:r w:rsidRPr="007D48B0">
        <w:tab/>
        <w:t>ragina Sakartvelo valdžios institucijas atkurti nuopelnais grindžiamas valstybės tarnybos apsaugos priemones, veiksmingą teisinę apsaugą nuo politiškai motyvuoto atleidimo iš darbo ir užtikrinti veiksmingą teisės susipažinti su vieša informacija įgyvendinimą;</w:t>
      </w:r>
    </w:p>
    <w:p w:rsidR="000D221E" w:rsidRPr="007D48B0" w:rsidP="000D221E" w14:paraId="7AE91320" w14:textId="7D7CED9A">
      <w:pPr>
        <w:pStyle w:val="NormalHanging12a"/>
      </w:pPr>
      <w:r w:rsidRPr="007D48B0">
        <w:t>11.</w:t>
      </w:r>
      <w:r w:rsidRPr="007D48B0">
        <w:tab/>
        <w:t xml:space="preserve">atkreipia dėmesį į tai, kad 2025 m. spalio 4 d. savivaldybių rinkimus boikotavo dauguma opozicinių partijų, o tai rodo gilų didžiosios visuomenės dalies nepasitikėjimą rinkimų proceso nepriklausomumu; apgailestauja, kad 2024 m. gruodžio mėn. ir 2025 m. kovo ir </w:t>
      </w:r>
      <w:r w:rsidR="00B349EC">
        <w:t>balandžio</w:t>
      </w:r>
      <w:r w:rsidRPr="007D48B0" w:rsidR="00B349EC">
        <w:t xml:space="preserve"> </w:t>
      </w:r>
      <w:r w:rsidRPr="007D48B0">
        <w:t>mėn. padarytais Sakartvelo rinkimų kodekso pakeitimais dar labiau sustiprintas valdančiosios partijos dominavimas ir nustatyti nauji vietos stebėtojų, žiniasklaidos ir rinkimų subjektų registravimo apribojimai; pakartoja, kad Sakartvelo valdžios institucijos neatsižvelgė į Venecijos komisijos raginimus panaikinti 2024 m. padarytus pakeitimus; pabrėžia, kad ESBO Demokratinių institucijų ir žmogaus teisių biurui neužtikrinus stebėjimo dėl pavėluoto kvietimo, o vietos stebėtojų organizacijoms – dėl apribojimų, nukentėjo rinkimų proceso skaidrumas ir jo rezultatų patikimumas; pakartoja savo raginimą gerinti rinkimų aplinką užtikrinant nepriklausomą ir nešališką rinkimų administraciją, kad būsimi rinkimai būtų kruopščiai stebimi tarptautinių ir nacionalinių nevyriausybinių organizacijų (NVO); reiškia didelį susirūpinimą dėl 2025 m. gruodžio mėn. rinkimų kodekso pakeitimo, pagal kurį Sakartvelo piliečiams draudžiama balsuoti iš užsienio; pabrėžia, kad dalyvavimas rinkimuose yra pagrindinė kiekvieno piliečio konstitucinė teisė ir ji turi būti užtikrinta neatsižvelgiant į jo gyvenamąją vietą;</w:t>
      </w:r>
    </w:p>
    <w:p w:rsidR="000D221E" w:rsidRPr="007D48B0" w:rsidP="000D221E" w14:paraId="5A8FA63D" w14:textId="77777777">
      <w:pPr>
        <w:pStyle w:val="NormalHanging12a"/>
      </w:pPr>
      <w:r w:rsidRPr="007D48B0">
        <w:t>12.</w:t>
      </w:r>
      <w:r w:rsidRPr="007D48B0">
        <w:tab/>
        <w:t>smerkia tai, kad priimti vis labiau ribojantys teisės aktai, kuriais siekiama, kad tarptautinė parama, įskaitant finansines priemones, praktiškai negalėtų pasiekti pilietinės visuomenės ir žiniasklaidos ir kad jiems nebūtų teikiamas joks nepriklausomas finansavimas; atkreipia dėmesį į naujausius, 2026 m. kovo 5 d. įsigaliojusius, Dotacijų įstatymo pakeitimus, kuriais gerokai išplečiama sąvokos „dotacija“ taikymo sritis ir nustatoma, kad dotacijų ar finansavimo gavimas iš užsienio be išankstinio vyriausybės leidimo yra nusikalstama veika, už kurią baudžiama laisvės atėmimu iki šešerių metų; pažymi, kad tai yra tiesioginis ES ir Gruzijos asociacijos susitarimo pažeidimas; ragina apsaugoti politinius fondus, tarptautines NVO ir plėtros agentūras; primena Sakartvelo valdžios institucijoms, kad bet koks priekabiavimas prie ES valstybių narių organizacijų turės tiesioginių pasekmių;</w:t>
      </w:r>
    </w:p>
    <w:p w:rsidR="000D221E" w:rsidRPr="007D48B0" w:rsidP="000D221E" w14:paraId="53E9567D" w14:textId="77777777">
      <w:pPr>
        <w:pStyle w:val="NormalHanging12a"/>
      </w:pPr>
      <w:r w:rsidRPr="007D48B0">
        <w:t>13.</w:t>
      </w:r>
      <w:r w:rsidRPr="007D48B0">
        <w:tab/>
        <w:t>pažymi, kad šie pakeitimai atitinka 2025 m. balandžio mėn. priimto Dotacijų įstatymo pakeitimus, kuriais jau buvo gerokai apribotos tarptautinės finansinės paramos galimybės ir nustatytas reikalavimas tarptautiniams paramos teikėjams gauti išankstinį valstybės institucijų pritarimą dotacijoms, o jos gavėjams taikytina ribojamoji stebėsena bei baudžiamoji administracinė atsakomybė siekiant atgrasyti organizacijas nuo tarptautinės paramos, įskaitant finansavimą iš ES, priėmimo; pabrėžia, kad plati „dotacijos“ apibrėžtis gali apimti įvairiausius sandorius, kuriems reikalingas išankstinis patvirtinimas, ir dėl to bet kuris pilietis gali tapti galimu vyriausybės persekiojimo taikiniu; susirūpinęs atkreipia dėmesį į draudimą 8 metus bet kuriam asmeniui, kada nors dirbusiam organizacijoje, kuri rėmėsi užsienio finansavimu, tapti partijos nariu, taip užkertant kelią daugeliui socialiai aktyvių asmenų dalyvauti partijų politikoje; primygtinai ragina ES ir jos valstybes nares nedelsiant imtis veiksmų siekiant apsaugoti ir išlaikyti likusias nepriklausomas žiniasklaidos priemones ir pilietinės visuomenės organizacijas Sakartvele;</w:t>
      </w:r>
    </w:p>
    <w:p w:rsidR="000D221E" w:rsidRPr="007D48B0" w:rsidP="000D221E" w14:paraId="39A7DB91" w14:textId="77777777">
      <w:pPr>
        <w:pStyle w:val="NormalHanging12a"/>
      </w:pPr>
      <w:r w:rsidRPr="007D48B0">
        <w:t>14.</w:t>
      </w:r>
      <w:r w:rsidRPr="007D48B0">
        <w:tab/>
        <w:t>smerkia nuolatinius valdančiosios partijos „Kartvelų svajonė“ bandymus persekioti politinius oponentus, įskaitant jų neteisėtą areštą ir sulaikymą, grasinimus jiems ir fizinius išpuolius prieš juos; smerkia politinių oponentų, atsisakiusių atvykti į Sakartvelo de facto parlamento laikinąją tyrimų komisiją, įkalinimą, kuriuo partija „Kartvelų svajonė“ pasinaudojo kaip parodomuoju teismu, sudarančiu prielaidą toliau persekioti politinius oponentus ir uždrausti opozicines partijas; pabrėžia, kad tai, jog esama politinių kalinių, yra nesuderinama su Sakartvelo įsipareigojimais pagal ES ir Sakartvelo asociacijos susitarimą; ragina nedelsiant ir besąlygiškai paleisti visus dėl politinių priežasčių įkalintus asmenis, įskaitant opozicijos politikus ir buvusius pareigūnus; pažymi, kad prieš savivaldos rinkimus de facto prezidentas suteikė malonę dviem opozicijos politikams siekiant imituoti konkurencingus rinkimus; tvirtai pakartoja savo reikalavimą nedelsiant paleisti buvusį prezidentą Micheilą Saakašvilį dėl humanitarinių priežasčių – siekiant leisti jam gauti būtiną gydymą užsienyje; be to, ragina partijos „Kartvelų svajonė“ valdomas valdžios institucijas užtikrinti, kad Europos Parlamento nariams būtų suteikta galimybė netrukdomiems susitikti su Micheilu Saakašviliu ir kitais politiniais kaliniais;</w:t>
      </w:r>
    </w:p>
    <w:p w:rsidR="000D221E" w:rsidRPr="007D48B0" w:rsidP="000D221E" w14:paraId="779F2190" w14:textId="77777777">
      <w:pPr>
        <w:pStyle w:val="NormalHanging12a"/>
      </w:pPr>
      <w:r w:rsidRPr="007D48B0">
        <w:t>15.</w:t>
      </w:r>
      <w:r w:rsidRPr="007D48B0">
        <w:tab/>
        <w:t>pažymi, kad, nepaisant kaltės pripažinimo ir patikimų viešų korupcijos įrodymų, buvusio ministro pirmininko Iraklio Garibašvilio įkalinimas kelia didelį susirūpinimą dėl to, ar procesas atitiko teisingo bylos nagrinėjimo standartus; pabrėžia, kad ši byla atspindi platesnius susirūpinimą keliančius klausimus, susijusius su politiškai paveiktu teisingumu, neoficialiomis valdžios struktūromis ir vidiniu susiskaldymu valdančiojoje partijoje „Kartvelų svajonė“, įskaitant Bidzinos Ivanišvilio vaidmenį;</w:t>
      </w:r>
    </w:p>
    <w:p w:rsidR="000D221E" w:rsidRPr="007D48B0" w:rsidP="000D221E" w14:paraId="2ED793FD" w14:textId="77777777">
      <w:pPr>
        <w:pStyle w:val="NormalHanging12a"/>
      </w:pPr>
      <w:r w:rsidRPr="007D48B0">
        <w:t>16.</w:t>
      </w:r>
      <w:r w:rsidRPr="007D48B0">
        <w:tab/>
        <w:t>ragina Sakartvelo valdžios institucijas įgyvendinti nepriklausomus atskaitomybės mechanizmus, užtikrinti teismų nešališkumą ir laikantis tarptautinių žmogaus teisių standartų patraukti atsakomybėn politiškai motyvuotų pažeidimų vykdytojus;</w:t>
      </w:r>
    </w:p>
    <w:p w:rsidR="000D221E" w:rsidRPr="007D48B0" w:rsidP="000D221E" w14:paraId="1F55225C" w14:textId="77777777">
      <w:pPr>
        <w:pStyle w:val="NormalHanging12a"/>
      </w:pPr>
      <w:r w:rsidRPr="007D48B0">
        <w:t>17.</w:t>
      </w:r>
      <w:r w:rsidRPr="007D48B0">
        <w:tab/>
        <w:t>ragina visapusiškai reformuoti Aukščiausiąją teisingumo tarybą, laikantis Venecijos komisijos rekomendacijų, ir, be kita ko, nustatyti terminuotas kadencijas, kurių negalima pratęsti, skaidrias vyresniųjų teisėjų skyrimo procedūras ir neeilinius sąžiningumo patikrinimus, prasmingai dalyvaujant tarptautiniams ekspertams, kad būtų sustiprintas teismų nepriklausomumas ir visuomenės pasitikėjimas teisminėmis institucijomis; apgailestaudamas pažymi, kad panaikintas 2022 m. įsteigtas Kovos su korupcija biuras, kuris buvo vienas iš pagrindinių ES reikalavimų siekiant suteikti Sakartvelui šalies kandidatės statusą; ragina Sakartvelo valdžios institucijas iš dalies pakeisti generalinio prokuroro skyrimo procedūrą, kad būtų reikalaujama kvalifikuotos parlamento daugumos, ir Prokuratūros įstatymą suderinti su Europos standartais;</w:t>
      </w:r>
    </w:p>
    <w:p w:rsidR="000D221E" w:rsidRPr="007D48B0" w:rsidP="000D221E" w14:paraId="2013E7E9" w14:textId="77777777">
      <w:pPr>
        <w:pStyle w:val="NormalHanging12a"/>
      </w:pPr>
      <w:r w:rsidRPr="007D48B0">
        <w:t>18.</w:t>
      </w:r>
      <w:r w:rsidRPr="007D48B0">
        <w:tab/>
        <w:t>primygtinai ragina Sakartvelo ombudsmeną intensyviau vykdyti savo įgaliojimus ir naudoti visus turimus mechanizmus žmogaus teisėms apsaugoti, palaikant konstruktyvų dialogą ir bendradarbiaujant su žmogaus teisių gynėjais ir pilietine visuomene Sakartvele; pabrėžia, kad būtina užkirsti kelią bet kokiam selektyviam jo įgaliojimų taikymui, kaip yra nurodyta Komisijos 2025 m. ataskaitoje dėl Sakartvelo; atkreipia dėmesį į atskirą Ombudsmeno įgaliojimą prašyti ESBO Demokratinių institucijų ir žmogaus teisių biuro pateikti teisėkūros nuomonę dėl autoritarinių ar nedemokratinių teisės aktų;</w:t>
      </w:r>
    </w:p>
    <w:p w:rsidR="000D221E" w:rsidRPr="007D48B0" w:rsidP="000D221E" w14:paraId="36B489DF" w14:textId="77777777">
      <w:pPr>
        <w:pStyle w:val="NormalHanging12a"/>
      </w:pPr>
      <w:r w:rsidRPr="007D48B0">
        <w:t>19.</w:t>
      </w:r>
      <w:r w:rsidRPr="007D48B0">
        <w:tab/>
        <w:t>apgailestauja dėl nepakankamos pažangos deoligarchizacijos srityje ir ragina Sakartvelo valdžios institucijas laikytis sisteminio požiūrio pagal atitinkamas Venecijos komisijos rekomendacijas, be kita ko, nustatyti griežtesnius skaidrumo reikalavimus, veiksmingas interesų konflikto taisykles ir apsaugos priemones nuo netinkamos įtakos politinių ir ekonominių sprendimų priėmimui;</w:t>
      </w:r>
    </w:p>
    <w:p w:rsidR="000D221E" w:rsidRPr="007D48B0" w:rsidP="000D221E" w14:paraId="4719FAA4" w14:textId="77777777">
      <w:pPr>
        <w:pStyle w:val="NormalHanging12a"/>
      </w:pPr>
      <w:r w:rsidRPr="007D48B0">
        <w:t>20.</w:t>
      </w:r>
      <w:r w:rsidRPr="007D48B0">
        <w:tab/>
        <w:t>griežtai smerkia Sakartvelo valdžios institucijų bandymus uždrausti opozicines partijas; ragina valdžios institucijas nedelsiant nutraukti šiuos bandymus ir atšaukti 88 Sakartvelo de facto parlamento narių pareikštą konstitucinį ieškinį, kuriame prašoma trijų pagrindinių opozicinių partijų – Jungtinio nacionalinio judėjimo, Pokyčių koalicijos ir Stipraus Sakartvelo ir Lelo koalicijos – veiklą paskelbti prieštaraujančia Konstitucijai ir panaikinti jų registraciją; pabrėžia, kad tokie veiksmai kelia pavojingą grėsmę pagrindiniams demokratijos principams ir politiniam pliuralizmui; pabrėžia, kad sveikai demokratijai reikia sąžiningos ir laisvos įvairių politinių partijų konkurencijos;</w:t>
      </w:r>
    </w:p>
    <w:p w:rsidR="000D221E" w:rsidRPr="007D48B0" w:rsidP="000D221E" w14:paraId="4AB13C1F" w14:textId="77777777">
      <w:pPr>
        <w:pStyle w:val="NormalHanging12a"/>
      </w:pPr>
      <w:r w:rsidRPr="007D48B0">
        <w:t>21.</w:t>
      </w:r>
      <w:r w:rsidRPr="007D48B0">
        <w:tab/>
        <w:t>reiškia griežtą nepritarimą tam, kad į Baudžiamąjį kodeksą įtrauktas naujas straipsnis, pagal kurį draudžiama „viešai ir sistemingai“ kritikuoti valdžios institucijas arba abejoti jų teisėtumu, taip pat draudžiami „bet kokie kiti vieši ir sistemingi to paties asmens veiksmai“, kurie gali būti aiškinami įvairiai, tačiau už juos gali būti skiriama iki trejų metų laisvės atėmimo bausmė; pabrėžia, kad tai de facto leidžia kriminalizuoti saviraiškos laisvę, ir ragina vyriausybę denonsuoti šį įstatymą;</w:t>
      </w:r>
    </w:p>
    <w:p w:rsidR="000D221E" w:rsidRPr="007D48B0" w:rsidP="000D221E" w14:paraId="0C5C433D" w14:textId="77777777">
      <w:pPr>
        <w:pStyle w:val="Normal12a"/>
      </w:pPr>
      <w:r w:rsidRPr="007D48B0">
        <w:rPr>
          <w:b/>
          <w:i/>
        </w:rPr>
        <w:t>Pilietinių laisvių ir pagrindinių teisių slopinimas</w:t>
      </w:r>
    </w:p>
    <w:p w:rsidR="000D221E" w:rsidRPr="007D48B0" w:rsidP="000D221E" w14:paraId="4A8C23B2" w14:textId="77777777">
      <w:pPr>
        <w:pStyle w:val="NormalHanging12a"/>
      </w:pPr>
      <w:r w:rsidRPr="007D48B0">
        <w:t>22.</w:t>
      </w:r>
      <w:r w:rsidRPr="007D48B0">
        <w:tab/>
        <w:t xml:space="preserve">yra itin susirūpinęs dėl to, kad partija „Kartvelų svajonė“ jau priėmė keletą teisėkūros aktų, kuriais siekiama slopinti pilietinę visuomenę ir nepriklausomą žiniasklaidą bei pažaboti pliuralizmą, pvz., Užsienio agentų registracijos aktą, ribojančius Transliavimo įstatymo, Viešosios tarnybos įstatymo, Susirinkimų ir manifestacijų įstatymo </w:t>
      </w:r>
      <w:r w:rsidRPr="007D48B0">
        <w:t>pakeitimus ir griežtesnes Baudžiamojo kodekso ir Administracinių teisės pažeidimų kodekso nuostatas; ypač smerkia tas teisėkūros priemones, kuriomis didinamos pagal administracinius kodeksus skiriamos baudos ir dėl kurių vis dažniau įkalinami protestuotojai, negalintys tų baudų sumokėti; pakartoja savo raginimą nedelsiant paleisti visus politinius kalinius ir kitus neteisėtai sulaikytus asmenis; įspėja, kad Sakartvelo valdžios institucijų pastangos pertvarkyti gyvybingą Sakartvelo pilietinę visuomenę į griežtai kontroliuojamą su vyriausybe susijusių organizacijų aplinką yra dar vienas žingsnis siekiant tapti autoritariniu režimu; primena, kad dauguma šių įstatymų kopijuoja ankstyvus pokyčius Rusijos totalitariniame režime valdant V. Putinui; ragina Sakartvelo valdžios institucijas panaikinti šiuos teisės aktus, nes tai būtų apčiuopiamas žingsnis atgal kelyje į narystę ES;</w:t>
      </w:r>
    </w:p>
    <w:p w:rsidR="000D221E" w:rsidRPr="007D48B0" w:rsidP="000D221E" w14:paraId="7D4247C4" w14:textId="77777777">
      <w:pPr>
        <w:pStyle w:val="NormalHanging12a"/>
      </w:pPr>
      <w:r w:rsidRPr="007D48B0">
        <w:t>23.</w:t>
      </w:r>
      <w:r w:rsidRPr="007D48B0">
        <w:tab/>
        <w:t>smerkia žeminantį ir nežmonišką elgesį su E. Choštarija jos sulaikymo metu, kaip buvo pranešama; reikalauja nedelsiant ir besąlygiškai ją paleisti ir nedelsiant panaikinti jai pateiktus politiškai motyvuotus kaltinimus;</w:t>
      </w:r>
    </w:p>
    <w:p w:rsidR="000D221E" w:rsidRPr="007D48B0" w:rsidP="000D221E" w14:paraId="72C81DD1" w14:textId="77777777">
      <w:pPr>
        <w:pStyle w:val="NormalHanging12a"/>
      </w:pPr>
      <w:r w:rsidRPr="007D48B0">
        <w:t>24.</w:t>
      </w:r>
      <w:r w:rsidRPr="007D48B0">
        <w:tab/>
        <w:t>reiškia didelį susirūpinimą dėl tebesitęsiančio piktnaudžiavimo administraciniu protestuotojų ir aktyvistų sulaikymu; atkreipia dėmesį į Europos Žmogaus Teisių Teismo sprendimą byloje Mekvabišvilis prieš Sakartvelą, kuriame nustatyta, kad rėmimasis vien policijos parodymais neturint nepriklausomų įrodymų pakenkė teisingo bylos nagrinėjimo garantijoms ir prisidėjo prie neproporcingų sankcijų taikiems demonstrantams taikymo; ragina Sakartvelo valdžios institucijas pertvarkyti savo administracinių nusižengimų procedūras, kad jos atitiktų Europos žmogaus teisių konvenciją;</w:t>
      </w:r>
    </w:p>
    <w:p w:rsidR="000D221E" w:rsidRPr="007D48B0" w:rsidP="000D221E" w14:paraId="022CBF42" w14:textId="77777777">
      <w:pPr>
        <w:pStyle w:val="NormalHanging12a"/>
      </w:pPr>
      <w:r w:rsidRPr="007D48B0">
        <w:t>25.</w:t>
      </w:r>
      <w:r w:rsidRPr="007D48B0">
        <w:tab/>
        <w:t>smerkia patikimus pranešimus apie perdėtą jėgos naudojimą, kankinimą ir netinkamą elgesį su protestuotojais ir sulaikytaisiais, įskaitant naujausias Europos komiteto prieš kankinimą ir kitokį žiaurų, nežmonišką ar žeminantį elgesį ir baudimą išvadas, kuriose užfiksuoti įtarimai policijos piktnaudžiavimu ir sistemingi apsaugos priemonių ir atskaitomybės trūkumai; ragina Sakartvelo valdžios institucijas užtikrinti greitus, nepriklausomus ir veiksmingus tyrimus, patraukti baudžiamojon atsakomybėn atsakingus asmenis ir visapusiškai įgyvendinti Europos komiteto prieš kankinimą rekomendacijas;</w:t>
      </w:r>
    </w:p>
    <w:p w:rsidR="000D221E" w:rsidRPr="007D48B0" w:rsidP="000D221E" w14:paraId="09B202D9" w14:textId="77777777">
      <w:pPr>
        <w:pStyle w:val="NormalHanging12a"/>
      </w:pPr>
      <w:r w:rsidRPr="007D48B0">
        <w:t>26.</w:t>
      </w:r>
      <w:r w:rsidRPr="007D48B0">
        <w:tab/>
        <w:t>smerkia stiprėjančią Sakartvelo teisėsaugos tendenciją naudoti žodinę ir fizinę prievartą prieš protestuotojus, grasinimus išžaginti ir kitokį smurtą dėl lyties, taip pat neteisėtas kūno apieškas vykdant disidentų, ypač protestuotojų moterų, bauginimo kampaniją ir sakartveliečių žmogaus teisių į saviraiškos ir taikių susirinkimų laisvę slopinimą;</w:t>
      </w:r>
    </w:p>
    <w:p w:rsidR="000D221E" w:rsidRPr="007D48B0" w:rsidP="000D221E" w14:paraId="0D23F755" w14:textId="77777777">
      <w:pPr>
        <w:pStyle w:val="NormalHanging12a"/>
      </w:pPr>
      <w:r w:rsidRPr="007D48B0">
        <w:t>27.</w:t>
      </w:r>
      <w:r w:rsidRPr="007D48B0">
        <w:tab/>
        <w:t>smerkia priimtus teisės aktus, kuriuose numatytas automatinis sulaikymas ir vėlesnės baudžiamosios sankcijos, įskaitant laisvės atėmimą iki vienų metų, asmenims, taikiai protestuojantiems ant šaligatvių ir pėsčiųjų zonose; pabrėžia, kad tokios priemonės yra represinės ir yra skirtos pasipriešinimui slopinti politiniais tikslais; apgailestauja dėl dažno asmenų sulaikymo už tai, kad jie dalijosi savo nuomonėmis socialiniuose tinkluose;</w:t>
      </w:r>
    </w:p>
    <w:p w:rsidR="000D221E" w:rsidRPr="007D48B0" w:rsidP="000D221E" w14:paraId="37D440B3" w14:textId="77777777">
      <w:pPr>
        <w:pStyle w:val="NormalHanging12a"/>
      </w:pPr>
      <w:r w:rsidRPr="007D48B0">
        <w:t>28.</w:t>
      </w:r>
      <w:r w:rsidRPr="007D48B0">
        <w:tab/>
        <w:t xml:space="preserve">reiškia didelį susirūpinimą dėl pranešimų apie įtarimus, kad Sakartvele protestų metu prieš asmenis galėjo būti panaudota draudžiama cheminė medžiaga; pabrėžia, kad, jei šie įtarimai bus patvirtinti, bet kokių cheminių medžiagų naudojimas prieš civilius gyventojus būtų sunkus pagrindinių žmogaus teisių, tarptautinių humanitarinių normų ir Sakartvelo įsipareigojimų pagal tarptautinę teisę, įskaitant cheminio ginklo uždraudimą, pažeidimas; apgailestauja dėl to, kad Sakartvelo valdžios institucijos netinkamai ištyrė </w:t>
      </w:r>
      <w:r w:rsidRPr="007D48B0">
        <w:t>šį klausimą; ragina nedelsiant atlikti nepriklausomą ir skaidrų tarptautinį šių įtarimų tyrimą; ragina Jungtinių Tautų Cheminio ginklo uždraudimo organizaciją atlikti tyrimą ir primygtinai ragina valstybes nares perduoti šį atvejį tolesniam tyrimui;</w:t>
      </w:r>
    </w:p>
    <w:p w:rsidR="000D221E" w:rsidRPr="007D48B0" w:rsidP="000D221E" w14:paraId="64C2F2E3" w14:textId="77777777">
      <w:pPr>
        <w:pStyle w:val="NormalHanging12a"/>
      </w:pPr>
      <w:r w:rsidRPr="007D48B0">
        <w:t>29.</w:t>
      </w:r>
      <w:r w:rsidRPr="007D48B0">
        <w:tab/>
        <w:t>reiškia didelį susirūpinimą dėl sistemingų žmogaus teisių pažeidimų Sakartvele ir pažeidžiamų grupių, įskaitant LGBTIQ+ asmenis, diskriminacijos; pabrėžia, kad šie pažeidimai yra nesuderinami su Sakartvelo įsipareigojimais pagal ES ir Sakartvelo asociacijos susitarimą ir tarptautiniais žmogaus teisių standartais; ragina Sakartvelo valdžios institucijas gerbti teises į saviraiškos, susirinkimų, asociacijų ir politinio dalyvavimo laisvę ir užtikrinti visų žmogaus teisių gynėjų ir aktyvistų saugumą, apsaugą ir veiksmingas teisių gynimo priemones; tvirtai ragina ES ir valstybes nares stebėti šiuos pažeidimus, teikti paramą ir apsaugą asmenims, kuriems gresia pavojus, ir susieti pažangą ES pagalbos, bendradarbiavimo ir prisijungimo srityse su apčiuopiamais teigiamais pokyčiais žmogaus teisių apsaugos srityje;</w:t>
      </w:r>
    </w:p>
    <w:p w:rsidR="000D221E" w:rsidRPr="007D48B0" w:rsidP="000D221E" w14:paraId="25ECDBF0" w14:textId="77777777">
      <w:pPr>
        <w:pStyle w:val="NormalHanging12a"/>
      </w:pPr>
      <w:r w:rsidRPr="007D48B0">
        <w:t>30.</w:t>
      </w:r>
      <w:r w:rsidRPr="007D48B0">
        <w:tab/>
        <w:t>primygtinai ragina Sakartvelo de facto parlamentą panaikinti Šeimos vertybių ir nepilnamečių apsaugos įstatymą, kurio nuostatomis šiurkščiai pažeidžiamos žmogaus teisės, įskaitant teises į lygybę, nediskriminavimą, švietimą, sveikatą, saviraiškos laisvę, taikių susirinkimų ir asociacijų laisvę, taip pat privatumą, laisvę ir saugumą; palaiko Sakartvelo LGBTIQ+ bendruomenę ir su pasibjaurėjimu pažymi, kad įstatyme bendru sutarimu grindžiami tos pačios lyties asmenų santykiai klaidingai prilyginami kraujomaišai; primena, kad panašūs įstatymai V. Putino valdomoje Rusijoje sudarė sąlygas plataus masto represijoms prieš mažumas ir galiausiai sukūrė bauginančią ir diskriminuojančią aplinką Rusijoje;</w:t>
      </w:r>
    </w:p>
    <w:p w:rsidR="000D221E" w:rsidRPr="007D48B0" w:rsidP="000D221E" w14:paraId="0ABE4821" w14:textId="77777777">
      <w:pPr>
        <w:pStyle w:val="NormalHanging12a"/>
      </w:pPr>
      <w:r w:rsidRPr="007D48B0">
        <w:t>31.</w:t>
      </w:r>
      <w:r w:rsidRPr="007D48B0">
        <w:tab/>
        <w:t>reiškia didelį susirūpinimą dėl padėties Sakartvelo Čiatūros regione, susidariusios dėl ES rinkai skirto mangano kasybos, ir ragina įgyvendinti Įmonių tvarumo išsamaus patikrinimo direktyvos (ĮTIPD), nes ES yra atsakinga už vietos gyventojų gerovę ir aplinkos, kurią paveikė padaryta žala, apsaugą;</w:t>
      </w:r>
    </w:p>
    <w:p w:rsidR="000D221E" w:rsidRPr="007D48B0" w:rsidP="000D221E" w14:paraId="40E1C778" w14:textId="77777777">
      <w:pPr>
        <w:pStyle w:val="NormalHanging12a"/>
      </w:pPr>
      <w:r w:rsidRPr="007D48B0">
        <w:t>32.</w:t>
      </w:r>
      <w:r w:rsidRPr="007D48B0">
        <w:tab/>
        <w:t>pakartoja, kad nepritaria darbo teisės aktų ir darbo teisių regresui Sakartvele, kaip matyti iš, pvz., 2024 m. Viešųjų paslaugų įstatymo pakeitimų; ragina Sakartvelo valdžios institucijas laikytis darbo teisės standartų ir susilaikyti nuo darbo teisių apribojimų; primena, kad ES acquis apima suderinimą su Tarptautinės darbo organizacijos konvencijomis, Europos socialine chartija ir ES teisės aktais dėl darbo sąlygų;</w:t>
      </w:r>
    </w:p>
    <w:p w:rsidR="000D221E" w:rsidRPr="007D48B0" w:rsidP="000D221E" w14:paraId="30AE2A40" w14:textId="77777777">
      <w:pPr>
        <w:pStyle w:val="NormalHanging12a"/>
      </w:pPr>
      <w:r w:rsidRPr="007D48B0">
        <w:t>33.</w:t>
      </w:r>
      <w:r w:rsidRPr="007D48B0">
        <w:tab/>
        <w:t>palankiai vertina tai, kad ESBO pradėjo taikyti taip vadinamą Maskvos mechanizmą 24 dalyvaujančių valstybių iniciatyva, nes tai suteikė galimybę siųsti ekspertų misiją siekiant įvertinti, kaip Sakartvelas įgyvendina ESBO įsipareigojimus, visų pirma susijusius su žmogaus teisių ir pagrindinių laisvių padėtimi nuo 2024 m. pavasario; ragina Sakartvelo valdžios institucijas iš esmės atsižvelgti į išvadas ir per aiškius terminus įgyvendinti rekomendacijas, be kita ko, dėl asmenų, laikomų dėl politinių priežasčių, paleidimo, su tarptautiniais įsipareigojimais nesuderinamų teisės aktų panaikinimo ir atskaitomybės už netinkamą elgesį; pabrėžia, kad tuo atveju, jei valdžios institucijos nesiimtų konkrečių ir patikrinamų veiksmų rekomendacijoms įgyvendinti, dalyvaujančios valstybės ir atitinkamos tarptautinės institucijos turėtų apsvarstyti tinkamas tolesnes priemones atskaitomybei užtikrinti, įskaitant tikslines sankcijas ir atitinkamų tarptautinių teisinių mechanizmų naudojimą; ragina ESBO dalyvaujančias ES valstybes nares aktyviai remti misijos įgaliojimų pratęsimą, atsižvelgiant į sistemingus ir tinkamai dokumentuotus pažeidimus, kuriuos reikia išsamiai ir nepriklausomai įvertinti;</w:t>
      </w:r>
    </w:p>
    <w:p w:rsidR="000D221E" w:rsidRPr="007D48B0" w:rsidP="000D221E" w14:paraId="2497A30E" w14:textId="77777777">
      <w:pPr>
        <w:pStyle w:val="NormalHanging12a"/>
      </w:pPr>
      <w:r w:rsidRPr="007D48B0">
        <w:t>34.</w:t>
      </w:r>
      <w:r w:rsidRPr="007D48B0">
        <w:tab/>
        <w:t>palankiai vertina Europos Tarybos Parlamentinės Asamblėjos 2025 m. spalio mėn. rezoliuciją, kurioje Europos Tarybos organai raginami „naudotis visomis turimomis priemonėmis“, įskaitant Europos žmogaus teisių konvencijos 52 straipsnį ir tarpvalstybinį kreipimąsi į Europos Žmogaus Teisių Teismą pagal jos 33 straipsnį dėl pažeidimo, siekiant užtikrinti, kad Sakartvelas laikytųsi savo, kaip Europos Tarybos valstybės narės, įsipareigojimų; ragina ES ir Europos Tarybos valstybes nares apsvarstyti galimybę įgyvendinti šią rekomendaciją;</w:t>
      </w:r>
    </w:p>
    <w:p w:rsidR="000D221E" w:rsidRPr="007D48B0" w:rsidP="000D221E" w14:paraId="685726B3" w14:textId="77777777">
      <w:pPr>
        <w:pStyle w:val="NormalHanging12a"/>
      </w:pPr>
      <w:r w:rsidRPr="007D48B0">
        <w:t>35.</w:t>
      </w:r>
      <w:r w:rsidRPr="007D48B0">
        <w:tab/>
        <w:t>griežtai smerkia su „Kartvelų svajone“ suderintų žiniasklaidos priemonių, įskaitant „Imedi TV“, „Postv“ ir „Rustavi 2 TV“, vaidmenį skleidžiant sistemingą dezinformaciją, šmeižto kampanijas ir priešišką propagandą, nukreiptą prieš ES ir jos institucijas bei atstovus, visų pirma ES delegacijos Sakartvele vadovą ir ES valstybių narių diplomatus; atkreipia dėmesį į neseniai priimtą Jungtinės Karalystės sprendimą taikyti sankcijas „Imedi TV“ ir „Postv“; ragina ES institucijas peržiūrėti tokių žiniasklaidos priemonių akreditavimą ES institucijose ir ragina ES valstybes nares sekti Jungtinės Karalystės pavyzdžiu bei priimti tinkamas ir proporcingas ribojamąsias priemones asmenims ir subjektams, atsakingiems už šių dezinformacijos kampanijų organizavimą ir finansavimą, be kita ko, pagal ES visuotinį sankcijų už žmogaus teisių pažeidimus režimą; ragina į ES sankcijų sąrašą įtraukti Sakartvelo nacionalinės ryšių komisijos ir Sakartvelo visuomeninio transliuotojo vadovybės narius;</w:t>
      </w:r>
    </w:p>
    <w:p w:rsidR="000D221E" w:rsidRPr="007D48B0" w:rsidP="000D221E" w14:paraId="7274A054" w14:textId="77777777">
      <w:pPr>
        <w:pStyle w:val="NormalHanging12a"/>
      </w:pPr>
      <w:r w:rsidRPr="007D48B0">
        <w:t>36.</w:t>
      </w:r>
      <w:r w:rsidRPr="007D48B0">
        <w:tab/>
        <w:t>reiškia susirūpinimą dėl nepriklausomai žiniasklaidai daromo spaudimo ir prieš ją pradėtų teismo procesų; pabrėžia, kad žiniasklaidos pliuralizmas ir žurnalistų saugumas yra būtinos išankstinės demokratinės visuomenės sąlygos;</w:t>
      </w:r>
    </w:p>
    <w:p w:rsidR="000D221E" w:rsidRPr="007D48B0" w:rsidP="000D221E" w14:paraId="7F37A7A7" w14:textId="77777777">
      <w:pPr>
        <w:pStyle w:val="NormalHanging12a"/>
      </w:pPr>
      <w:r w:rsidRPr="007D48B0">
        <w:t>37.</w:t>
      </w:r>
      <w:r w:rsidRPr="007D48B0">
        <w:tab/>
        <w:t>susirūpinęs atkreipia dėmesį į naujausias Sakartvelo švietimo sektoriaus reformas, kuriomis, atrodo, centralizuojama akademinių institucijų kontrolė, silpninama akademinė laisvė ir universitetų savarankiškumas ir trukdoma Sakartvelo integracijai į Europos aukštojo mokslo sistemą; įspėja apie priemones, kuriomis siekiama pakeisti akademinių programų struktūrą ir trukmę, taip pat apie taikomą principą „Vienas miestas – vienas fakultetas“, kuriuo apribojamas atskiruose universitetuose siūlomų disciplinų pasirinkimas; kuriuo ribojamas atskirų universitetų siūlomų disciplinų spektras; yra susirūpinęs dėl reguliavimo spaudimo tokioms institucijoms kaip Ilijos valstybinis universitetas dėl jų visuomenės paramos studentų protestams, kai tuo tarpu parama teikiama privačioms institucijoms, susijusioms su valdančiajam elitui artimais asmenimis; pabrėžia, kad nepriklausomi švietimo ekspertai įspėja, jog bendras šių priemonių poveikis gali pasireikšti tuo, kad sumažės akademinis pliuralizmas, o aukštojo mokslo sistema ir toliau bus politizuojama;</w:t>
      </w:r>
    </w:p>
    <w:p w:rsidR="000D221E" w:rsidRPr="007D48B0" w:rsidP="000D221E" w14:paraId="1527BCAA" w14:textId="77777777">
      <w:pPr>
        <w:pStyle w:val="NormalHanging12a"/>
      </w:pPr>
      <w:r w:rsidRPr="007D48B0">
        <w:t>38.</w:t>
      </w:r>
      <w:r w:rsidRPr="007D48B0">
        <w:tab/>
        <w:t>reiškia susirūpinimą dėl organizuotų apgaulingų skambučių centrų tinklų, veikiančių Sakartvele, visų pirma tų, kurie taikosi į ES piliečius; pabrėžia, kad tarptautiniai žurnalistų tyrimai parodė, jog aukšto rango „Kartvelų svajonės“ pareigūnai siūlo apsaugą šiems sukčių tinklams mainais už finansinį atlygį ir šitaip jie gali atlaikyti ekonomines sankcijas;</w:t>
      </w:r>
    </w:p>
    <w:p w:rsidR="000D221E" w:rsidP="000D221E" w14:paraId="307D7723" w14:textId="77777777">
      <w:pPr>
        <w:pStyle w:val="NormalHanging12a"/>
      </w:pPr>
      <w:r w:rsidRPr="007D48B0">
        <w:t>39.</w:t>
      </w:r>
      <w:r w:rsidRPr="007D48B0">
        <w:tab/>
        <w:t xml:space="preserve">palankiai vertina Komisijos sprendimą sustabdyti bevizį režimą Sakartvelo diplomatinių, tarnybinių ir oficialių pasų turėtojams visose ES valstybėse narėse, kuris taikomas nuo 2026 m. kovo 6 d. pagal peržiūrėtą ir lankstesnį bevizio režimo sustabdymo mechanizmą, kuris įsigaliojo 2025 m. gruodžio 30 d., nes tai yra tiesioginė partijos „Kartvelų svajonė“ režimo veiksmų, kuriais pažeidžiamos pagrindinės vertybės, pasekmė; ragina valstybes nares atlikti išsamų patikrinimą – surengti pokalbį ir paprašyti šių prašymą išduoti vizą pateikiančių asmenų pateikti patvirtinamuosius </w:t>
      </w:r>
      <w:r w:rsidRPr="007D48B0">
        <w:t>dokumentus, o kilus abejonėms dėl jų pateiktos informacijos patikimumo – atsisakyti išduoti vizą; apgailestauja, kad dėl Vengrijos ir Slovakijos vyriausybių pasipriešinimo nebuvo įmanoma visoje ES uždrausti išduoti vizas Sakartvelo pareigūnams, atsakingiems už šiurkščius žmogaus teisių pažeidimus, demokratijos padėties blogėjimą ir represijas; pažymi, kad aštuntojoje bevizio režimo sustabdymo mechanizmo ataskaitoje pabrėžiama, jog Sakartvelas nesilaiko pagrindinių kriterijų ir ankstesnių rekomendacijų; įspėja, kad dėl nuolatinio Sakartvelo valdžios institucijų neveiklumo gali būti sustabdytas bevizis kelionių režimas visiems gyventojams, o visa atsakomybė už tai tektų partijai „Kartvelų svajonė“; ragina Komisiją sukurti mechanizmą, pagal kurį pilietinės visuomenės aktyvistams, žurnalistams ir studentams ir toliau būtų suteikiama galimybė atvykti į ES be vizos, ir padidinti tiesioginę paramą žmonių tarpusavio mainų programoms, pvz., „Erasmus+“, „Europos horizontas“, Europos solidarumo korpusui ir programai „Kūrybiška Europa“;</w:t>
      </w:r>
    </w:p>
    <w:p w:rsidR="00843598" w:rsidRPr="007D48B0" w:rsidP="000D221E" w14:paraId="7A738082" w14:textId="3CB425CE">
      <w:pPr>
        <w:pStyle w:val="NormalHanging12a"/>
      </w:pPr>
      <w:r>
        <w:t>40</w:t>
      </w:r>
      <w:r w:rsidRPr="00843598">
        <w:t>.</w:t>
      </w:r>
      <w:r w:rsidRPr="00843598">
        <w:tab/>
        <w:t>pabrėžia, kad išsamių akademinių tyrimų, istorinio švietimo ir visuomenės informuotumo apie sovietų okupaciją ir jos ilgalaikes pasekmes trūkumas sudaro sąlygas skleisti istorines manipuliacijas ir vykdyti dezinformacijos kampanijas, kuriomis Rusijos Federacija naudojasi siekdama pakenkti Sakartvelo visuomenės euroatlantiniams siekiams; todėl pabrėžia akademinių tyrimų, dokumentacijos ir žinių apie Sakartvelo istoriją sovietų okupacijos metu, įskaitant politines represijas, masines egzekucijas ir pasipriešinimo sovietų ir Rusijos okupacijai istoriją, sklaidos, taip pat šių įvykių atkūrimo kolektyvinėje atmintyje svarbą; apgailestauja, kad pastaraisiais metais, valdžios institucijoms bent jau pasyviai pritarus, buvo stebimos pastangos reliatyvizuoti komunistinius nusikaltimus ir pakeisti destalinizavimo procesą priešinga linkme; atsižvelgdamas į tai, pabrėžia svarbų nepriklausomų istorikų, tyrėjų ir pilietinės visuomenės organizacijų, pvz., „SovLab“, vaidmenį tiriant sovietų okupaciją, jos politines, teisines ir moralines pasekmes, taip pat nustatant komunistinio teroro aukų laidojimo vietas ir užtikrinant jų identifikavimą bei orų atminimą; ragina atitinkamas valstybių narių institucijas, dalyvaujančias dokumentuojant sovietų okupacijos, komunistinių nusikaltimų ir kitų totalitarinių režimų padarinius, stiprinti bendradarbiavimą su kolegomis iš Sakartvelo, remti bendrus mokslinių tyrimų projektus ir dalyvauti švietimo programose bei iniciatyvose, kuriomis siekiama atskleisti, dokumentuoti ir skleisti žinias apie šį Sakartvelo istorijos skyrių; reiškia susirūpinimą dėl sistemingo trukdymo susipažinti su archyvais, susijusiais su represijomis ir nusikaltimais, įvykdytais sovietų okupacijos laikotarpiu; ragina Sakartvelo valdžios institucijas užtikrinti visapusišką, skaidrią ir nediskriminacinę prieigą prie archyvų, susijusių su sovietiniu laikotarpiu, mokslininkams, tyrėjams ir pilietinės visuomenės organizacijoms;</w:t>
      </w:r>
    </w:p>
    <w:p w:rsidR="000D221E" w:rsidRPr="007D48B0" w:rsidP="000D221E" w14:paraId="58504817" w14:textId="77777777">
      <w:pPr>
        <w:pStyle w:val="Normal12a"/>
      </w:pPr>
      <w:r w:rsidRPr="007D48B0">
        <w:rPr>
          <w:b/>
          <w:i/>
        </w:rPr>
        <w:t>Užsienio ir saugumo politikos klausimų suderinimas</w:t>
      </w:r>
    </w:p>
    <w:p w:rsidR="000D221E" w:rsidRPr="007D48B0" w:rsidP="000D221E" w14:paraId="1AEA740C" w14:textId="661B2939">
      <w:pPr>
        <w:pStyle w:val="NormalHanging12a"/>
      </w:pPr>
      <w:r>
        <w:t>41</w:t>
      </w:r>
      <w:r w:rsidRPr="007D48B0">
        <w:t>.</w:t>
      </w:r>
      <w:r w:rsidRPr="007D48B0">
        <w:tab/>
        <w:t>apgailestauja dėl to, kad Sakartvelo atitiktis Komisijos pirmininko pavaduotojos ir Sąjungos vyriausiosios įgaliotinės užsienio reikalams ir saugumo politikai pareiškimams ir Tarybos sprendimams dėl sankcijų dar labiau sumažėjo nuo 53 proc. 2024 m. iki 40 proc., o tai rodo, kad Sakartvelas nėra įsipareigojęs siekti ES integracijos; yra ypač nusivylęs dėl to, kad Sakartvelas sistemingai neprisijungė prie tarptautinių ir ES iniciatyvų Ukrainai remti, įskaitant JT Generalinės Asamblėjos, JT Žmogaus teisių tarybos ir Europos Tarybos priimtas rezoliucijas, o vietoj to sustiprino santykius su Rusija ir rėmė Rusijos naratyvus, kuriais siekiama perkelti atsakomybę už Rusijos agresijos karą ir jos įvykdytus nusikaltimus;</w:t>
      </w:r>
    </w:p>
    <w:p w:rsidR="000D221E" w:rsidRPr="007D48B0" w:rsidP="000D221E" w14:paraId="2F72B419" w14:textId="3B09644C">
      <w:pPr>
        <w:pStyle w:val="NormalHanging12a"/>
      </w:pPr>
      <w:r>
        <w:t>42</w:t>
      </w:r>
      <w:r w:rsidRPr="007D48B0">
        <w:t>.</w:t>
      </w:r>
      <w:r w:rsidRPr="007D48B0">
        <w:tab/>
        <w:t>yra labai dėkingas už tvirtą Sakartvelo žmonių solidarumą su Ukraina Rusijos agresijos karo metu, kuris atspindi platų visuomenės pasipriešinimą Rusijos imperialistinei politikai, pačios šalies patirtį, susijusią su Rusijos karine agresija, ir tvirtą tautos valią išsaugoti savo nepriklausomybę ir pasitraukti iš Maskvos įtakos sferos; atkreipia dėmesį į tai, kad daug Sakartvelo savanorių kovojo kartu su Ukrainos ginkluotosiomis pajėgomis, visų pirma Sakartvelo legione, ir kad Sakartvelo pilietinė visuomenė dalyvavo humanitarinės pagalbos kampanijose Ukrainai remti;</w:t>
      </w:r>
    </w:p>
    <w:p w:rsidR="000D221E" w:rsidRPr="007D48B0" w:rsidP="000D221E" w14:paraId="5E73DE59" w14:textId="7259835C">
      <w:pPr>
        <w:pStyle w:val="NormalHanging12a"/>
      </w:pPr>
      <w:r>
        <w:t>43</w:t>
      </w:r>
      <w:r w:rsidRPr="007D48B0">
        <w:t>.</w:t>
      </w:r>
      <w:r w:rsidRPr="007D48B0">
        <w:tab/>
        <w:t>pažymi, kad Sakartvelas savo taikomų sankcijų vis dar nesuderino su dauguma Rusijai, Baltarusijai ir Iranui taikomų sankcijų; ragina Sakartvelo valdžios institucijas priimti patikrinamas priemones ir stiprinti bendradarbiavimą bei muitinės stebėseną, kad Sakartvelo teritorija ir (arba) Sakartvele registruotais juridiniais asmenimis nebūtų naudojamasi siekiant apeiti ES ribojamąsias priemones pasitelkiant regioninius prekybos kelius; mano, kad dabartinių derinimo ir taikymo užtikrinimo pastangų akivaizdžiai nepakanka ir jos nesuderinamos su ES šalies kandidatės pareigomis; pabrėžia, kad skubiai reikia imtis ryžtingesnių veiksmų, įskaitant visišką suderinimą su ES ribojamosiomis priemonėmis, veiksmingus stebėsenos ir vykdymo užtikrinimo mechanizmus ir skaidrų bendradarbiavimą su ES institucijomis, kad būtų užkirstas kelias sankcijų, be kita ko, susijusių su dvejopo naudojimo prekėmis, naftos eksportu ir finansiniais srautais, susijusiais su Rusijos ir Irano subjektais, apėjimui; įspėja, kad tolesnis sankcijų nesuderinimas su ES užsienio politika ir sankcijų režimu turės tiesioginių padarinių Sakartvelo stojimo į ES procesui; ragina ES ir jos valstybes nares ir toliau atidžiai stebėti, kaip Sakartvelas laikosi ES sankcijų režimo, be kita ko, ar ES ribojamosios priemonės neapeinamos naudojantis Sakartvelo teritorija ar Sakartvele registruotais juridiniais asmenimis;</w:t>
      </w:r>
    </w:p>
    <w:p w:rsidR="000D221E" w:rsidRPr="007D48B0" w:rsidP="000D221E" w14:paraId="1E25F02C" w14:textId="6F1152C3">
      <w:pPr>
        <w:pStyle w:val="NormalHanging12a"/>
      </w:pPr>
      <w:r>
        <w:t>44</w:t>
      </w:r>
      <w:r w:rsidRPr="007D48B0">
        <w:t>.</w:t>
      </w:r>
      <w:r w:rsidRPr="007D48B0">
        <w:tab/>
        <w:t>ragina ES ir jos valstybes nares skubiai imtis ryžtingų veiksmų, kad Rusija, Sakartvelo valdžios institucijų padedama, nebegalėtų sistemingai apeiti ES sankcijų, ir, be kita ko, nustatyti specialų ES stebėsenos mechanizmą per Sakartvelą gabenamų prioritetinių dvejopo naudojimo prekių ir aviacijos pramonės komponentų prekybos srautams stebėti; be to, ragina Sakartvelo valdžios institucijas visapusiškai bendradarbiauti dedant šias pastangas ir reguliariai skelbti skaidrias tokių prekybos srautų ataskaitas siekiant sustiprinti muitinės kontrolę ir užkirsti kelią tolesniam sankcijų apėjimui;</w:t>
      </w:r>
    </w:p>
    <w:p w:rsidR="000D221E" w:rsidRPr="007D48B0" w:rsidP="000D221E" w14:paraId="307B9AC8" w14:textId="06A0E3E0">
      <w:pPr>
        <w:pStyle w:val="NormalHanging12a"/>
      </w:pPr>
      <w:r>
        <w:t>45</w:t>
      </w:r>
      <w:r w:rsidRPr="007D48B0">
        <w:t>.</w:t>
      </w:r>
      <w:r w:rsidRPr="007D48B0">
        <w:tab/>
        <w:t>yra susirūpinęs dėl galimo Sakartvelo uostų, naftos perdirbimo infrastruktūros ir naftos tvarkymo įrenginių naudojimo siekiant palengvinti Rusijos naftos produktų reeksportą ar maišymą, siekiant apeiti tarptautinius sankcijų režimus; reiškia didelį susirūpinimą dėl pranešimų, kad Rusijos žalia nafta gabenama į Sakartvele naujai pastatytą ir iš dalies valstybės finansuojamą Kulevio naftos perdirbimo įmonę Juodosios jūros pakrantėje; ragina Sakartvelo valdžios institucijas nedelsiant nutraukti tokią veiklą ir užkirsti jai kelią, taip pat užtikrinti, kad Sakartvelo infrastruktūra nebūtų naudojama siekiant palengvinti ES sankcijų Rusijai apėjimą; pažymi, kad Kulevio naftos terminalas nebuvo įtrauktas į 20-ąjį ES sankcijų Rusijai paketą, remiantis Sakartvelo valdžios institucijų ir terminalo operatoriaus įsipareigojimais griežtai laikytis ES sankcijų; ragina jį įtraukti į būsimas sankcijas, jei Sakartvelo valdžios institucijos ir terminalo operatoriai griežtai nesilaikys ES sankcijų; ragina stiprinti ES ir tarptautinių partnerių bendradarbiavimą siekiant užtikrinti visapusišką ribojamųjų priemonių vykdymą;</w:t>
      </w:r>
    </w:p>
    <w:p w:rsidR="000D221E" w:rsidRPr="007D48B0" w:rsidP="000D221E" w14:paraId="10EDB97C" w14:textId="6552C48A">
      <w:pPr>
        <w:pStyle w:val="NormalHanging12a"/>
      </w:pPr>
      <w:r>
        <w:t>46</w:t>
      </w:r>
      <w:r w:rsidRPr="007D48B0">
        <w:t>.</w:t>
      </w:r>
      <w:r w:rsidRPr="007D48B0">
        <w:tab/>
        <w:t xml:space="preserve">ragina Komisiją, bendradarbiaujant su Kovos su pinigų plovimu institucija (AMLA), įvertinti Sakartvelo teisinę ir reglamentavimo sistemą, įskaitant Sakartvelo Mokesčių kodekso nuostatas, kurios gali sudaryti palankesnes sąlygas naudotis užsienyje registruotomis įmonėmis ir nuslėpti tikruosius savininkus, taip įgalinant sankcijų </w:t>
      </w:r>
      <w:r w:rsidRPr="007D48B0">
        <w:t>apėjimą ir pinigų plovimą; ragina labiau stebėti ir prižiūrėti Sakartvele registruotas įmones, kurios priklauso Rusijos piliečiams arba juridiniams asmenims arba yra jų kontroliuojamos, ypač nuo 2022 m. vasario mėn. įsteigtas įmones; ragina Sakartvelo valdžios institucijas įsteigti turto susigrąžinimo tarnybą, turto valdymo tarnybą ir tikrųjų savininkų registrą, kad būtų sustiprintos kovos su pinigų plovimu apsaugos priemonės ir sumažinta sankcijų apėjimo rizika;</w:t>
      </w:r>
    </w:p>
    <w:p w:rsidR="000D221E" w:rsidRPr="007D48B0" w:rsidP="000D221E" w14:paraId="0AF180D3" w14:textId="334ADCDE">
      <w:pPr>
        <w:pStyle w:val="NormalHanging12a"/>
      </w:pPr>
      <w:r>
        <w:t>47</w:t>
      </w:r>
      <w:r w:rsidRPr="007D48B0">
        <w:t>.</w:t>
      </w:r>
      <w:r w:rsidRPr="007D48B0">
        <w:tab/>
        <w:t>pažymi, kad, kaip patvirtinta daugelyje pranešimų, atsisakydama euroatlantinės integracijos „Kartvelų svajonė“ strategiškai pereina prie bendradarbiavimo su Kinija, Rusija ir Iranu; pabrėžia, kad šis perorientavimas rodo, jog nepaisoma Sakartvelo konstitucinio įsipareigojimo dėl euroatlantinės integracijos ir aiškios bei nuosekliai išreikštos Sakartvelo visuomenės valios; reiškia pasipiktinimą, kad, užuot atsižvelgus į patikimas išvadas dėl didėjančios autoritarinių jėgų įtakos, buvo pradėti tyrimai prieš tokių pranešimų autorius, įskaitant „Hudson Institute“ tyrėją Giorgį Kandelakį ir Tinatiną Kidašelį;</w:t>
      </w:r>
    </w:p>
    <w:p w:rsidR="000D221E" w:rsidRPr="007D48B0" w:rsidP="000D221E" w14:paraId="6DE7C9A9" w14:textId="5A07F85B">
      <w:pPr>
        <w:pStyle w:val="NormalHanging12a"/>
      </w:pPr>
      <w:r>
        <w:t>48</w:t>
      </w:r>
      <w:r w:rsidRPr="007D48B0">
        <w:t>.</w:t>
      </w:r>
      <w:r w:rsidRPr="007D48B0">
        <w:tab/>
        <w:t>reiškia susirūpinimą dėl Kinijos valstybės valdomų įmonių dalyvavimo strateginiuose projektuose, pvz., Anaklijos giliosios jūros uoste, kuris iš pradžių buvo sukurtas kartu su Vakarų partneriais ir kuriuo buvo siekiama stiprinti Rytų ir Vakarų jungtis nepriklausomai nuo Rusijos ir Kinijos įtakos; primena Sakartvelo valdžios institucijoms, kad Vidurio koridoriaus sėkmė susijusi su Sakartvelo teisinės valstybės principų laikymusi ir kad norint pritraukti investicijų į strategiją „Global Gateway“ Sakartvelas turi būti stabilus ir skaidrus partneris;</w:t>
      </w:r>
    </w:p>
    <w:p w:rsidR="000D221E" w:rsidRPr="007D48B0" w:rsidP="000D221E" w14:paraId="70303C45" w14:textId="7ECF8E60">
      <w:pPr>
        <w:pStyle w:val="NormalHanging12a"/>
      </w:pPr>
      <w:r>
        <w:t>49</w:t>
      </w:r>
      <w:r w:rsidRPr="007D48B0">
        <w:t>.</w:t>
      </w:r>
      <w:r w:rsidRPr="007D48B0">
        <w:tab/>
        <w:t>palankiai vertina iniciatyvas dėl strateginių junglumo projektų Juodosios jūros regione, įskaitant Juodosios jūros skaitmeninio junglumo povandeninius kabelius ir Juodosios jūros povandeninius elektros kabelius, kuriais stiprinami ES ir Pietų Kaukazo energetiniai ir skaitmeniniai ryšiai;</w:t>
      </w:r>
    </w:p>
    <w:p w:rsidR="000D221E" w:rsidRPr="007D48B0" w:rsidP="000D221E" w14:paraId="05852838" w14:textId="7B95F879">
      <w:pPr>
        <w:pStyle w:val="NormalHanging12a"/>
      </w:pPr>
      <w:r>
        <w:t>50</w:t>
      </w:r>
      <w:r w:rsidRPr="007D48B0">
        <w:t>.</w:t>
      </w:r>
      <w:r w:rsidRPr="007D48B0">
        <w:tab/>
        <w:t>pažymi, kad Sakartvelo stačiatikių bažnyčia tebėra didelę įtaką Sakartvelo visuomenei daranti institucija ir atlieka svarbų vaidmenį formuojant viešąjį diskursą; reiškia susirūpinimą dėl to, kad Rusija naudoja religinius tinklus kaip dezinformacijos ir įtakos operacijų kanalus visame Sakartvele, siekdama pakenkti proeuropietiškai orientacijai ir demokratiniam atsparumui; primena, kad kai kurie Sakartvelo dvasininkai pasipriešino tokiam religijos instrumentalizavimui ir pasisakė prieš Rusijos įtaką ir „Kartvelų svajonės“ režimo politikai; pabrėžia, kad Sakartvelo stačiatikių vyskupija ir bendruomenės taip pat veikia ir ES, o tai rodo, kad reikia būti budriems ir atspariems tarpvalstybinėms dezinformacijos pastangoms;</w:t>
      </w:r>
    </w:p>
    <w:p w:rsidR="000D221E" w:rsidRPr="007D48B0" w:rsidP="000D221E" w14:paraId="60649747" w14:textId="436A470C">
      <w:pPr>
        <w:pStyle w:val="NormalHanging12a"/>
      </w:pPr>
      <w:r>
        <w:t>51</w:t>
      </w:r>
      <w:r w:rsidRPr="007D48B0">
        <w:t>.</w:t>
      </w:r>
      <w:r w:rsidRPr="007D48B0">
        <w:tab/>
        <w:t>ypač susirūpinęs atkreipia dėmesį į didėjančią Irano įtaką šalyje, visų pirma per religines bei švietimo institucijas ir jaunimo telkimą, taip pat per ekonomines struktūras, kurios veiksmingai sudaro sąlygas Iranui išvengti sankcijų; yra ir toliau susirūpinęs dėl didėjančios Sakartvele veikiančių su Irano režimu susijusių ekonominės veiklos vykdytojų įtakos; pabrėžia, kad tokiais subjektais gali būti naudojamasi siekiant apeiti finansines sankcijas, plauti pinigus ir vykdyti neteisėtą Irano prekių eksportą, o tai dėl korupcijos ir iškreiptų viešųjų pirkimų gali būti naudinga subjektams, susijusiems tiek su Irano, tiek su partijos „Kartvelų svajonė“ režimais;</w:t>
      </w:r>
    </w:p>
    <w:p w:rsidR="000D221E" w:rsidRPr="007D48B0" w:rsidP="000D221E" w14:paraId="0E0C5BB5" w14:textId="5F347265">
      <w:pPr>
        <w:pStyle w:val="NormalHanging12a"/>
      </w:pPr>
      <w:r>
        <w:t>52</w:t>
      </w:r>
      <w:r w:rsidRPr="007D48B0">
        <w:t>.</w:t>
      </w:r>
      <w:r w:rsidRPr="007D48B0">
        <w:tab/>
        <w:t>mano, kad Sakartvelas turėtų atlikti konstruktyvų vaidmenį palengvindamas Armėnijai prieigą prie tarptautinės jūrų prekybos maršrutų ir taip prisidėti prie regioninio sujungiamumo, ekonominio atsparumo ir stabilumo Pietų Kaukaze;</w:t>
      </w:r>
    </w:p>
    <w:p w:rsidR="000D221E" w:rsidRPr="007D48B0" w:rsidP="000D221E" w14:paraId="0B26EB39" w14:textId="7A158120">
      <w:pPr>
        <w:pStyle w:val="NormalHanging12a"/>
      </w:pPr>
      <w:r>
        <w:t>53</w:t>
      </w:r>
      <w:r w:rsidRPr="007D48B0">
        <w:t>.</w:t>
      </w:r>
      <w:r w:rsidRPr="007D48B0">
        <w:tab/>
        <w:t>pakartoja, kad tvirtai remia Sakartvelo suverenitetą ir teritorinį vientisumą; griežtai smerkia Rusijos vykdomą Sakartvelo Abchazijos ir Cchinvalio (Pietų Osetija) regionų okupaciją ir tebesitęsiantį „sienų nustatymo“ procesą, kuriuo pažeidžiamas Sakartvelo suverenitetas ir teritorinis vientisumas; primygtinai ragina Sakartvelo vyriausybę išlaikyti aiškią ir nuoseklią poziciją dėl Rusijos agresijos; griežtai smerkia Rusijos mėginimus politiniu, kariniu ir ekonominiu požiūriu integruoti okupuotas teritorijas į Rusijos Federaciją; labai susirūpinęs atkreipia dėmesį į tebesitęsiančius neteisėtus etninių kartvelų, įskaitant moteris ir jaunimą, sulaikymus ir išpuolius prieš juos Abchazijoje ir Cchinvalio regione, remiantis suklastotais kaltinimais, pvz., šnipinėjimu ar Sakartvelo paso turėjimu; smerkia šią praktiką kaip šiurkščius žmogaus teisių pažeidimus, kuriais prisidedama prie Sakartvelo gyventojų bauginimo, diskriminacijos ir priverstinio perkėlimo; griežtai smerkia Rusijos karinio jūrų laivyno bazės Ochamčerėje plėtrą, kuri yra ne tik teritorinio vientisumo pažeidimas, bet ir tiesioginė grėsmė viso Juodosios jūros baseino saugumui ir Sakartvelo jūrų prekybos užmojams; pakartoja savo raginimą, kad nedelsiant ir besąlygiškai būtų išvestos Rusijos pajėgos iš Sakartvelo Abchazijos ir Cchinvalio (Pietų Osetija) regionų;</w:t>
      </w:r>
    </w:p>
    <w:p w:rsidR="000D221E" w:rsidRPr="007D48B0" w:rsidP="000D221E" w14:paraId="6F1AB395" w14:textId="2607B32B">
      <w:pPr>
        <w:pStyle w:val="NormalHanging12a"/>
      </w:pPr>
      <w:r>
        <w:t>54</w:t>
      </w:r>
      <w:r w:rsidRPr="007D48B0">
        <w:t>.</w:t>
      </w:r>
      <w:r w:rsidRPr="007D48B0">
        <w:tab/>
        <w:t>ragina taikyti tikslines ribojamąsias priemones asmenims, atsakingiems už žmogaus teisių pažeidimus okupuotose teritorijose, remiantis precedentais, pvz., 2018 m. G. Otchozorios ir A. Tatunašvilio sąrašu;</w:t>
      </w:r>
    </w:p>
    <w:p w:rsidR="000D221E" w:rsidRPr="007D48B0" w:rsidP="000D221E" w14:paraId="6E685F13" w14:textId="10714CEB">
      <w:pPr>
        <w:pStyle w:val="NormalHanging12a"/>
      </w:pPr>
      <w:r>
        <w:t>55</w:t>
      </w:r>
      <w:r w:rsidRPr="007D48B0">
        <w:t>.</w:t>
      </w:r>
      <w:r w:rsidRPr="007D48B0">
        <w:tab/>
        <w:t>pakartoja, koks svarbus ES stebėsenos misijos Gruzijoje (EUMM) darbas sprendžiant konfliktus, stebint žmogaus teises ir remiant nukentėjusias bendruomenes; griežtai smerkia tai, kad Rusijos Federacija nuolat trukdo EUMM patekti į okupuotus Sakartvelo regionus, taip pat ankstesnius EUMM stebėtojų bauginimo veiksmus, įskaitant neteisėtus sulaikymus ir kitus incidentus, susijusius su grėsmėmis ir kišimusi į EUMM darbą; mano, kad reikėtų toliau stiprinti matomą ir viešą EUMM įgaliojimų įgyvendinimą didinat paramą ir skiriant papildomą personalą ir apie jį turėtų būti geriau informuojama, nes ji labai prisideda prie ES veiklos regione ir atskleidžia agresyvią Rusijos taktiką, kuri nuo 2008 m. karo prieš Sakartvelą ir toliau sėja mirtį, kančias ir nestabilumą regione;</w:t>
      </w:r>
    </w:p>
    <w:p w:rsidR="000D221E" w:rsidRPr="007D48B0" w:rsidP="000D221E" w14:paraId="35145729" w14:textId="77777777">
      <w:pPr>
        <w:pStyle w:val="NormalCenter12a"/>
      </w:pPr>
      <w:r w:rsidRPr="007D48B0">
        <w:t>°</w:t>
      </w:r>
    </w:p>
    <w:p w:rsidR="000D221E" w:rsidRPr="007D48B0" w:rsidP="000D221E" w14:paraId="68609217" w14:textId="77777777">
      <w:pPr>
        <w:pStyle w:val="NormalCenter12a"/>
      </w:pPr>
      <w:r w:rsidRPr="007D48B0">
        <w:t>°</w:t>
      </w:r>
      <w:r w:rsidRPr="007D48B0">
        <w:tab/>
        <w:t>°</w:t>
      </w:r>
    </w:p>
    <w:p w:rsidR="00E365E1" w:rsidRPr="007D48B0" w:rsidP="004A58A7" w14:paraId="453F19D9" w14:textId="65A0941B">
      <w:pPr>
        <w:pStyle w:val="NormalHanging12a"/>
      </w:pPr>
      <w:r>
        <w:t>56</w:t>
      </w:r>
      <w:r w:rsidRPr="007D48B0" w:rsidR="000D221E">
        <w:t>.</w:t>
      </w:r>
      <w:r w:rsidRPr="007D48B0" w:rsidR="000D221E">
        <w:tab/>
        <w:t>paveda Pirmininkei perduoti šią rezoliuciją Tarybai, Komisijos pirmininko pavaduotojai ir Sąjungos vyriausiajai įgaliotinei užsienio reikalams ir saugumo politikai, Komisijai, valstybių narių vyriausybėms ir parlamentams, Europos Tarybai, Europos saugumo ir bendradarbiavimo organizacijai, Sakartvelo prezidentei Salomei Zurabišvili ir de facto Sakartvelo valdžios institucijoms.</w:t>
      </w:r>
    </w:p>
    <w:sectPr w:rsidSect="007D48B0">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E30EB" w:rsidRPr="007D48B0" w14:paraId="4D6F5A73" w14:textId="77777777">
      <w:r w:rsidRPr="007D48B0">
        <w:separator/>
      </w:r>
    </w:p>
  </w:footnote>
  <w:footnote w:type="continuationSeparator" w:id="1">
    <w:p w:rsidR="004E30EB" w:rsidRPr="007D48B0" w14:paraId="13C22D91" w14:textId="77777777">
      <w:r w:rsidRPr="007D48B0">
        <w:continuationSeparator/>
      </w:r>
    </w:p>
  </w:footnote>
  <w:footnote w:id="2">
    <w:p w:rsidR="00AE2B57" w:rsidRPr="007D48B0" w:rsidP="007D48B0" w14:paraId="4906B7A2" w14:textId="5D2270D2">
      <w:pPr>
        <w:pStyle w:val="FootnoteText"/>
        <w:ind w:left="567" w:hanging="567"/>
        <w:rPr>
          <w:sz w:val="24"/>
          <w:lang w:val="lt-LT"/>
        </w:rPr>
      </w:pPr>
      <w:r>
        <w:rPr>
          <w:rStyle w:val="FootnoteReference"/>
        </w:rPr>
        <w:footnoteRef/>
      </w:r>
      <w:r w:rsidRPr="007D48B0">
        <w:rPr>
          <w:sz w:val="24"/>
          <w:lang w:val="lt-LT"/>
        </w:rPr>
        <w:t xml:space="preserve"> </w:t>
      </w:r>
      <w:r w:rsidRPr="007D48B0">
        <w:rPr>
          <w:sz w:val="24"/>
          <w:lang w:val="lt-LT"/>
        </w:rPr>
        <w:tab/>
        <w:t xml:space="preserve">OL L 261, 2014 8 30, p. 4, ELI: </w:t>
      </w:r>
      <w:hyperlink r:id="rId1" w:tgtFrame="http://data.europa.eu/eli/agree_internation/2014/494/oj" w:history="1">
        <w:r w:rsidRPr="007D48B0">
          <w:rPr>
            <w:rStyle w:val="Hyperlink"/>
            <w:sz w:val="24"/>
            <w:lang w:val="lt-LT"/>
          </w:rPr>
          <w:t>http://data.europa.eu/eli/agree_internation/2014/494/oj</w:t>
        </w:r>
      </w:hyperlink>
      <w:r w:rsidRPr="007D48B0">
        <w:rPr>
          <w:sz w:val="24"/>
          <w:lang w:val="lt-LT"/>
        </w:rPr>
        <w:t>.</w:t>
      </w:r>
    </w:p>
  </w:footnote>
  <w:footnote w:id="3">
    <w:p w:rsidR="00AE2B57" w:rsidRPr="007D48B0" w:rsidP="007D48B0" w14:paraId="3D18A768" w14:textId="2ADE6CE6">
      <w:pPr>
        <w:pStyle w:val="FootnoteText"/>
        <w:ind w:left="567" w:hanging="567"/>
        <w:rPr>
          <w:sz w:val="24"/>
          <w:lang w:val="lt-LT"/>
        </w:rPr>
      </w:pPr>
      <w:r>
        <w:rPr>
          <w:rStyle w:val="FootnoteReference"/>
        </w:rPr>
        <w:footnoteRef/>
      </w:r>
      <w:r w:rsidRPr="007D48B0">
        <w:rPr>
          <w:sz w:val="24"/>
          <w:lang w:val="lt-LT"/>
        </w:rPr>
        <w:t xml:space="preserve"> </w:t>
      </w:r>
      <w:r w:rsidRPr="007D48B0">
        <w:rPr>
          <w:sz w:val="24"/>
          <w:lang w:val="lt-LT"/>
        </w:rPr>
        <w:tab/>
        <w:t xml:space="preserve">OL L, 2025/2441, 2025 12 10, ELI: </w:t>
      </w:r>
      <w:hyperlink r:id="rId2" w:tgtFrame="http://data.europa.eu/eli/reg/2025/2441/oj" w:history="1">
        <w:r w:rsidRPr="007D48B0">
          <w:rPr>
            <w:rStyle w:val="Hyperlink"/>
            <w:sz w:val="24"/>
            <w:lang w:val="lt-LT"/>
          </w:rPr>
          <w:t>http://data.europa.eu/eli/reg/2025/2441/oj</w:t>
        </w:r>
      </w:hyperlink>
      <w:r w:rsidRPr="007D48B0">
        <w:rPr>
          <w:sz w:val="24"/>
          <w:lang w:val="lt-LT"/>
        </w:rPr>
        <w:t>.</w:t>
      </w:r>
    </w:p>
  </w:footnote>
  <w:footnote w:id="4">
    <w:p w:rsidR="00AE2B57" w:rsidRPr="007D48B0" w:rsidP="007D48B0" w14:paraId="4B4D3944" w14:textId="7C4A797A">
      <w:pPr>
        <w:pStyle w:val="FootnoteText"/>
        <w:ind w:left="567" w:hanging="567"/>
        <w:rPr>
          <w:sz w:val="24"/>
          <w:lang w:val="lt-LT"/>
        </w:rPr>
      </w:pPr>
      <w:r>
        <w:rPr>
          <w:rStyle w:val="FootnoteReference"/>
        </w:rPr>
        <w:footnoteRef/>
      </w:r>
      <w:r w:rsidRPr="007D48B0">
        <w:rPr>
          <w:sz w:val="24"/>
          <w:lang w:val="lt-LT"/>
        </w:rPr>
        <w:t xml:space="preserve"> </w:t>
      </w:r>
      <w:r w:rsidRPr="007D48B0">
        <w:rPr>
          <w:sz w:val="24"/>
          <w:lang w:val="lt-LT"/>
        </w:rPr>
        <w:tab/>
        <w:t>Priimti tekstai, P10_TA(2026)0077.</w:t>
      </w:r>
    </w:p>
  </w:footnote>
  <w:footnote w:id="5">
    <w:p w:rsidR="00AE2B57" w:rsidRPr="007D48B0" w:rsidP="007D48B0" w14:paraId="386F6223" w14:textId="0FDC4FC8">
      <w:pPr>
        <w:pStyle w:val="FootnoteText"/>
        <w:ind w:left="567" w:hanging="567"/>
        <w:rPr>
          <w:sz w:val="24"/>
          <w:lang w:val="lt-LT"/>
        </w:rPr>
      </w:pPr>
      <w:r>
        <w:rPr>
          <w:rStyle w:val="FootnoteReference"/>
        </w:rPr>
        <w:footnoteRef/>
      </w:r>
      <w:r w:rsidRPr="007D48B0">
        <w:rPr>
          <w:sz w:val="24"/>
          <w:lang w:val="lt-LT"/>
        </w:rPr>
        <w:t xml:space="preserve"> </w:t>
      </w:r>
      <w:r w:rsidRPr="007D48B0">
        <w:rPr>
          <w:sz w:val="24"/>
          <w:lang w:val="lt-LT"/>
        </w:rPr>
        <w:tab/>
        <w:t xml:space="preserve">OL L, 2024/1760, 2024 7 5, ELI: </w:t>
      </w:r>
      <w:hyperlink r:id="rId3" w:tgtFrame="http://data.europa.eu/eli/dir/2024/1760/oj" w:history="1">
        <w:r w:rsidRPr="007D48B0">
          <w:rPr>
            <w:rStyle w:val="Hyperlink"/>
            <w:sz w:val="24"/>
            <w:lang w:val="lt-LT"/>
          </w:rPr>
          <w:t>http://data.europa.eu/eli/dir/2024/1760/oj</w:t>
        </w:r>
      </w:hyperlink>
      <w:r w:rsidRPr="007D48B0">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35001739">
    <w:abstractNumId w:val="9"/>
  </w:num>
  <w:num w:numId="2" w16cid:durableId="1407648216">
    <w:abstractNumId w:val="9"/>
  </w:num>
  <w:num w:numId="3" w16cid:durableId="1316881063">
    <w:abstractNumId w:val="7"/>
  </w:num>
  <w:num w:numId="4" w16cid:durableId="1909727356">
    <w:abstractNumId w:val="7"/>
  </w:num>
  <w:num w:numId="5" w16cid:durableId="624239983">
    <w:abstractNumId w:val="6"/>
  </w:num>
  <w:num w:numId="6" w16cid:durableId="422841617">
    <w:abstractNumId w:val="6"/>
  </w:num>
  <w:num w:numId="7" w16cid:durableId="2027058591">
    <w:abstractNumId w:val="5"/>
  </w:num>
  <w:num w:numId="8" w16cid:durableId="151798116">
    <w:abstractNumId w:val="5"/>
  </w:num>
  <w:num w:numId="9" w16cid:durableId="1345397887">
    <w:abstractNumId w:val="4"/>
  </w:num>
  <w:num w:numId="10" w16cid:durableId="333992054">
    <w:abstractNumId w:val="4"/>
  </w:num>
  <w:num w:numId="11" w16cid:durableId="1036586398">
    <w:abstractNumId w:val="8"/>
  </w:num>
  <w:num w:numId="12" w16cid:durableId="1126336">
    <w:abstractNumId w:val="8"/>
  </w:num>
  <w:num w:numId="13" w16cid:durableId="1581717866">
    <w:abstractNumId w:val="3"/>
  </w:num>
  <w:num w:numId="14" w16cid:durableId="2138714666">
    <w:abstractNumId w:val="3"/>
  </w:num>
  <w:num w:numId="15" w16cid:durableId="226572546">
    <w:abstractNumId w:val="2"/>
  </w:num>
  <w:num w:numId="16" w16cid:durableId="1358387062">
    <w:abstractNumId w:val="2"/>
  </w:num>
  <w:num w:numId="17" w16cid:durableId="576860969">
    <w:abstractNumId w:val="1"/>
  </w:num>
  <w:num w:numId="18" w16cid:durableId="1116218337">
    <w:abstractNumId w:val="1"/>
  </w:num>
  <w:num w:numId="19" w16cid:durableId="173616009">
    <w:abstractNumId w:val="0"/>
  </w:num>
  <w:num w:numId="20" w16cid:durableId="395013248">
    <w:abstractNumId w:val="0"/>
  </w:num>
  <w:num w:numId="21" w16cid:durableId="402415266">
    <w:abstractNumId w:val="9"/>
  </w:num>
  <w:num w:numId="22" w16cid:durableId="1775512207">
    <w:abstractNumId w:val="7"/>
  </w:num>
  <w:num w:numId="23" w16cid:durableId="245190259">
    <w:abstractNumId w:val="6"/>
  </w:num>
  <w:num w:numId="24" w16cid:durableId="1862157679">
    <w:abstractNumId w:val="5"/>
  </w:num>
  <w:num w:numId="25" w16cid:durableId="841437021">
    <w:abstractNumId w:val="4"/>
  </w:num>
  <w:num w:numId="26" w16cid:durableId="1691908536">
    <w:abstractNumId w:val="8"/>
  </w:num>
  <w:num w:numId="27" w16cid:durableId="1046178056">
    <w:abstractNumId w:val="3"/>
  </w:num>
  <w:num w:numId="28" w16cid:durableId="1734499642">
    <w:abstractNumId w:val="2"/>
  </w:num>
  <w:num w:numId="29" w16cid:durableId="216167181">
    <w:abstractNumId w:val="1"/>
  </w:num>
  <w:num w:numId="30" w16cid:durableId="867335940">
    <w:abstractNumId w:val="0"/>
  </w:num>
  <w:num w:numId="31" w16cid:durableId="1736076908">
    <w:abstractNumId w:val="9"/>
  </w:num>
  <w:num w:numId="32" w16cid:durableId="1233737555">
    <w:abstractNumId w:val="7"/>
  </w:num>
  <w:num w:numId="33" w16cid:durableId="1441877154">
    <w:abstractNumId w:val="6"/>
  </w:num>
  <w:num w:numId="34" w16cid:durableId="2079932405">
    <w:abstractNumId w:val="5"/>
  </w:num>
  <w:num w:numId="35" w16cid:durableId="239604998">
    <w:abstractNumId w:val="4"/>
  </w:num>
  <w:num w:numId="36" w16cid:durableId="352732824">
    <w:abstractNumId w:val="8"/>
  </w:num>
  <w:num w:numId="37" w16cid:durableId="1387073468">
    <w:abstractNumId w:val="3"/>
  </w:num>
  <w:num w:numId="38" w16cid:durableId="58283628">
    <w:abstractNumId w:val="2"/>
  </w:num>
  <w:num w:numId="39" w16cid:durableId="1672903392">
    <w:abstractNumId w:val="1"/>
  </w:num>
  <w:num w:numId="40" w16cid:durableId="1348479895">
    <w:abstractNumId w:val="0"/>
  </w:num>
  <w:num w:numId="41" w16cid:durableId="438569095">
    <w:abstractNumId w:val="10"/>
  </w:num>
  <w:num w:numId="42" w16cid:durableId="2014448577">
    <w:abstractNumId w:val="10"/>
  </w:num>
  <w:num w:numId="43" w16cid:durableId="619263728">
    <w:abstractNumId w:val="10"/>
  </w:num>
  <w:num w:numId="44" w16cid:durableId="11052664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0EB"/>
    <w:rsid w:val="00002272"/>
    <w:rsid w:val="00023C8E"/>
    <w:rsid w:val="0006269E"/>
    <w:rsid w:val="00064002"/>
    <w:rsid w:val="000677B9"/>
    <w:rsid w:val="000831BA"/>
    <w:rsid w:val="000A42CC"/>
    <w:rsid w:val="000D221E"/>
    <w:rsid w:val="000E7DD9"/>
    <w:rsid w:val="0010095E"/>
    <w:rsid w:val="00125B37"/>
    <w:rsid w:val="00187494"/>
    <w:rsid w:val="001B0242"/>
    <w:rsid w:val="001B19E1"/>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58A7"/>
    <w:rsid w:val="004C0004"/>
    <w:rsid w:val="004C5D52"/>
    <w:rsid w:val="004E30EB"/>
    <w:rsid w:val="0050519A"/>
    <w:rsid w:val="005072A1"/>
    <w:rsid w:val="00514517"/>
    <w:rsid w:val="00545827"/>
    <w:rsid w:val="00560270"/>
    <w:rsid w:val="005A2360"/>
    <w:rsid w:val="005C2568"/>
    <w:rsid w:val="005F1B17"/>
    <w:rsid w:val="006037C0"/>
    <w:rsid w:val="006631B6"/>
    <w:rsid w:val="00680577"/>
    <w:rsid w:val="006F74FA"/>
    <w:rsid w:val="00715AD8"/>
    <w:rsid w:val="00731ADD"/>
    <w:rsid w:val="00734777"/>
    <w:rsid w:val="00747932"/>
    <w:rsid w:val="00751A4A"/>
    <w:rsid w:val="00756632"/>
    <w:rsid w:val="00762C74"/>
    <w:rsid w:val="00786EC0"/>
    <w:rsid w:val="007D1690"/>
    <w:rsid w:val="007D48B0"/>
    <w:rsid w:val="007E22AD"/>
    <w:rsid w:val="00817416"/>
    <w:rsid w:val="00842779"/>
    <w:rsid w:val="00843598"/>
    <w:rsid w:val="00865F67"/>
    <w:rsid w:val="00881A7B"/>
    <w:rsid w:val="008840E5"/>
    <w:rsid w:val="00887B3E"/>
    <w:rsid w:val="008C2AC6"/>
    <w:rsid w:val="00930C23"/>
    <w:rsid w:val="0093193B"/>
    <w:rsid w:val="009509D8"/>
    <w:rsid w:val="00950B64"/>
    <w:rsid w:val="00981893"/>
    <w:rsid w:val="009C0107"/>
    <w:rsid w:val="00A1687D"/>
    <w:rsid w:val="00A43E52"/>
    <w:rsid w:val="00A4678D"/>
    <w:rsid w:val="00A778C7"/>
    <w:rsid w:val="00A844B2"/>
    <w:rsid w:val="00AB441E"/>
    <w:rsid w:val="00AB6293"/>
    <w:rsid w:val="00AE0928"/>
    <w:rsid w:val="00AE2B57"/>
    <w:rsid w:val="00AF3B82"/>
    <w:rsid w:val="00B12E95"/>
    <w:rsid w:val="00B16DF7"/>
    <w:rsid w:val="00B22876"/>
    <w:rsid w:val="00B349EC"/>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20E2"/>
    <w:rsid w:val="00E365E1"/>
    <w:rsid w:val="00E820A4"/>
    <w:rsid w:val="00EB006A"/>
    <w:rsid w:val="00EB4772"/>
    <w:rsid w:val="00ED169E"/>
    <w:rsid w:val="00ED4235"/>
    <w:rsid w:val="00F04346"/>
    <w:rsid w:val="00F075DC"/>
    <w:rsid w:val="00F149E9"/>
    <w:rsid w:val="00F5134D"/>
    <w:rsid w:val="00F74202"/>
    <w:rsid w:val="00F87713"/>
    <w:rsid w:val="00FA19D9"/>
    <w:rsid w:val="00FB4360"/>
    <w:rsid w:val="00FD0C70"/>
  </w:rsids>
  <w:docVars>
    <w:docVar w:name="dvdocse" w:val="A10-0140/2026"/>
    <w:docVar w:name="dvlangue" w:val="LT"/>
    <w:docVar w:name="dvnumam" w:val="0"/>
    <w:docVar w:name="dvpe" w:val="782.288"/>
    <w:docVar w:name="dvrapporteur" w:val="Pranešėja: "/>
    <w:docVar w:name="dvtitre" w:val="2026 m. birzelio XX d. Europos Parlamento rezoliucija dėl 2025 m. Komisijos ataskaitos dėl Sakartvelo(2025/225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11C985A"/>
  <w15:chartTrackingRefBased/>
  <w15:docId w15:val="{8A9C29B5-10BA-4DEF-B4F1-8B81787D8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D221E"/>
    <w:pPr>
      <w:widowControl/>
      <w:spacing w:after="240"/>
    </w:pPr>
    <w:rPr>
      <w:szCs w:val="24"/>
      <w:lang w:eastAsia="en-US"/>
    </w:rPr>
  </w:style>
  <w:style w:type="paragraph" w:customStyle="1" w:styleId="NormalHanging12a">
    <w:name w:val="NormalHanging12a"/>
    <w:basedOn w:val="Normal"/>
    <w:rsid w:val="000D221E"/>
    <w:pPr>
      <w:widowControl/>
      <w:spacing w:after="240"/>
      <w:ind w:left="566" w:hanging="566"/>
    </w:pPr>
    <w:rPr>
      <w:szCs w:val="24"/>
      <w:lang w:eastAsia="en-US"/>
    </w:rPr>
  </w:style>
  <w:style w:type="paragraph" w:customStyle="1" w:styleId="Normal12">
    <w:name w:val="Normal12"/>
    <w:basedOn w:val="Normal"/>
    <w:rsid w:val="000D221E"/>
    <w:pPr>
      <w:spacing w:after="240"/>
    </w:pPr>
    <w:rPr>
      <w:szCs w:val="24"/>
      <w:lang w:eastAsia="en-US"/>
    </w:rPr>
  </w:style>
  <w:style w:type="paragraph" w:customStyle="1" w:styleId="NormalHanging">
    <w:name w:val="NormalHanging"/>
    <w:basedOn w:val="Normal"/>
    <w:rsid w:val="000D221E"/>
    <w:pPr>
      <w:spacing w:after="240"/>
      <w:ind w:left="566" w:hanging="566"/>
    </w:pPr>
    <w:rPr>
      <w:szCs w:val="24"/>
      <w:lang w:eastAsia="en-US"/>
    </w:rPr>
  </w:style>
  <w:style w:type="paragraph" w:customStyle="1" w:styleId="NormalCenter12a">
    <w:name w:val="NormalCenter12a"/>
    <w:basedOn w:val="Normal"/>
    <w:rsid w:val="000D221E"/>
    <w:pPr>
      <w:widowControl/>
      <w:spacing w:after="240"/>
      <w:jc w:val="center"/>
    </w:pPr>
    <w:rPr>
      <w:szCs w:val="24"/>
      <w:lang w:eastAsia="en-US"/>
    </w:rPr>
  </w:style>
  <w:style w:type="character" w:styleId="Hyperlink">
    <w:name w:val="Hyperlink"/>
    <w:basedOn w:val="DefaultParagraphFont"/>
    <w:rsid w:val="000D221E"/>
    <w:rPr>
      <w:color w:val="0000FF"/>
      <w:u w:val="single"/>
    </w:rPr>
  </w:style>
  <w:style w:type="paragraph" w:styleId="Revision">
    <w:name w:val="Revision"/>
    <w:hidden/>
    <w:uiPriority w:val="99"/>
    <w:semiHidden/>
    <w:rsid w:val="009C0107"/>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494/oj" TargetMode="External" /><Relationship Id="rId2" Type="http://schemas.openxmlformats.org/officeDocument/2006/relationships/hyperlink" Target="http://data.europa.eu/eli/reg/2025/2441/oj" TargetMode="External" /><Relationship Id="rId3" Type="http://schemas.openxmlformats.org/officeDocument/2006/relationships/hyperlink" Target="http://data.europa.eu/eli/dir/2024/176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7078</Words>
  <Characters>51261</Characters>
  <Application>Microsoft Office Word</Application>
  <DocSecurity>0</DocSecurity>
  <Lines>427</Lines>
  <Paragraphs>116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P10_TA(2026)0000</vt:lpstr>
      <vt:lpstr>    2025 m. Komisijos ataskaita dėl Sakartvelo</vt:lpstr>
      <vt:lpstr>        2026 m. birželio 17 d. Europos Parlamento rezoliucija dėl 2025 m. Komisijos atas</vt:lpstr>
    </vt:vector>
  </TitlesOfParts>
  <Company/>
  <LinksUpToDate>false</LinksUpToDate>
  <CharactersWithSpaces>58223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2026-07-20T15:30:00Z</dcterms:created>
  <dcterms:modified xsi:type="dcterms:W3CDTF">2026-07-20T15:30:00Z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A10-0140/2026</vt:lpwstr>
  </property>
  <property fmtid="{D5CDD505-2E9C-101B-9397-08002B2CF9AE}" pid="4" name="&lt;Type&gt;">
    <vt:lpwstr>RR</vt:lpwstr>
  </property>
</Properties>
</file>