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2C7912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E6A20" w:rsidP="0010095E" w14:paraId="48EB20CC" w14:textId="77777777">
            <w:pPr>
              <w:pStyle w:val="EPName"/>
            </w:pPr>
            <w:r w:rsidRPr="004E6A20">
              <w:t>Európai Parlament</w:t>
            </w:r>
          </w:p>
          <w:p w:rsidR="00751A4A" w:rsidRPr="004E6A20" w:rsidP="005F1B17" w14:paraId="7F56000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6A20">
              <w:t>2024</w:t>
            </w:r>
            <w:r w:rsidRPr="004E6A20" w:rsidR="00817416">
              <w:t>-202</w:t>
            </w:r>
            <w:r w:rsidRPr="004E6A2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E6A20" w:rsidP="0010095E" w14:paraId="214C2F84" w14:textId="77777777">
            <w:pPr>
              <w:pStyle w:val="EPLogo"/>
            </w:pPr>
            <w:r w:rsidRPr="004E6A2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E6A20" w:rsidP="004C5D52" w14:paraId="3D175EFA" w14:textId="77777777">
      <w:pPr>
        <w:pStyle w:val="LineTop"/>
      </w:pPr>
    </w:p>
    <w:p w:rsidR="00680577" w:rsidRPr="004E6A20" w:rsidP="00680577" w14:paraId="44A37B4F" w14:textId="77777777">
      <w:pPr>
        <w:pStyle w:val="EPBodyTA1"/>
      </w:pPr>
      <w:r w:rsidRPr="004E6A20">
        <w:t>ELFOGADOTT SZÖVEGEK</w:t>
      </w:r>
    </w:p>
    <w:p w:rsidR="00D058B8" w:rsidRPr="004E6A20" w:rsidP="00D058B8" w14:paraId="4EBE520D" w14:textId="77777777">
      <w:pPr>
        <w:pStyle w:val="LineBottom"/>
      </w:pPr>
    </w:p>
    <w:p w:rsidR="005E4AF2" w:rsidRPr="004E6A20" w:rsidP="005E4AF2" w14:paraId="765E9A15" w14:textId="328CDFF0">
      <w:pPr>
        <w:pStyle w:val="ATHeading1"/>
      </w:pPr>
      <w:bookmarkStart w:id="0" w:name="TANumber"/>
      <w:r w:rsidRPr="004E6A20">
        <w:t>P10_</w:t>
      </w:r>
      <w:r w:rsidRPr="004E6A20">
        <w:t>TA(</w:t>
      </w:r>
      <w:r w:rsidRPr="004E6A20">
        <w:t>2026)0</w:t>
      </w:r>
      <w:r w:rsidRPr="004E6A20" w:rsidR="004E6A20">
        <w:t>223</w:t>
      </w:r>
      <w:bookmarkEnd w:id="0"/>
    </w:p>
    <w:p w:rsidR="005E4AF2" w:rsidRPr="004E6A20" w:rsidP="005E4AF2" w14:paraId="2649FDE8" w14:textId="77777777">
      <w:pPr>
        <w:pStyle w:val="ATHeading2"/>
      </w:pPr>
      <w:bookmarkStart w:id="1" w:name="title"/>
      <w:r w:rsidRPr="004E6A20">
        <w:t xml:space="preserve">A nicaraguai politikai foglyok – Carlos </w:t>
      </w:r>
      <w:r w:rsidRPr="004E6A20">
        <w:t>Brenes</w:t>
      </w:r>
      <w:r w:rsidRPr="004E6A20">
        <w:t xml:space="preserve">, </w:t>
      </w:r>
      <w:r w:rsidRPr="004E6A20">
        <w:t>Salvadora</w:t>
      </w:r>
      <w:r w:rsidRPr="004E6A20">
        <w:t xml:space="preserve"> </w:t>
      </w:r>
      <w:r w:rsidRPr="004E6A20">
        <w:t>del</w:t>
      </w:r>
      <w:r w:rsidRPr="004E6A20">
        <w:t xml:space="preserve"> </w:t>
      </w:r>
      <w:r w:rsidRPr="004E6A20">
        <w:t>Socorro</w:t>
      </w:r>
      <w:r w:rsidRPr="004E6A20">
        <w:t xml:space="preserve"> Martínez </w:t>
      </w:r>
      <w:r w:rsidRPr="004E6A20">
        <w:t>Aburto</w:t>
      </w:r>
      <w:r w:rsidRPr="004E6A20">
        <w:t xml:space="preserve"> és Brooklyn Rivera ügye</w:t>
      </w:r>
      <w:bookmarkEnd w:id="1"/>
    </w:p>
    <w:p w:rsidR="005E4AF2" w:rsidRPr="004E6A20" w:rsidP="005E4AF2" w14:paraId="7F9E84DE" w14:textId="77777777">
      <w:pPr>
        <w:rPr>
          <w:i/>
          <w:vanish/>
        </w:rPr>
      </w:pPr>
      <w:r>
        <w:rPr>
          <w:i/>
        </w:rPr>
        <w:fldChar w:fldCharType="begin"/>
      </w:r>
      <w:r w:rsidRPr="004E6A20">
        <w:rPr>
          <w:i/>
        </w:rPr>
        <w:instrText xml:space="preserve"> TC"(</w:instrText>
      </w:r>
      <w:bookmarkStart w:id="2" w:name="DocNumber"/>
      <w:r w:rsidRPr="004E6A20">
        <w:rPr>
          <w:i/>
        </w:rPr>
        <w:instrText>B10-0292, 0293, 0314, 0315 és 0317/2026</w:instrText>
      </w:r>
      <w:bookmarkEnd w:id="2"/>
      <w:r w:rsidRPr="004E6A20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E4AF2" w:rsidRPr="004E6A20" w:rsidP="005E4AF2" w14:paraId="7F5C45CF" w14:textId="77777777">
      <w:pPr>
        <w:rPr>
          <w:vanish/>
        </w:rPr>
      </w:pPr>
      <w:bookmarkStart w:id="3" w:name="PE"/>
      <w:r w:rsidRPr="004E6A20">
        <w:rPr>
          <w:vanish/>
        </w:rPr>
        <w:t>PE783.349</w:t>
      </w:r>
      <w:bookmarkEnd w:id="3"/>
    </w:p>
    <w:p w:rsidR="005E4AF2" w:rsidRPr="004E6A20" w:rsidP="005E4AF2" w14:paraId="11EF1E7F" w14:textId="77777777">
      <w:pPr>
        <w:pStyle w:val="ATHeading3"/>
      </w:pPr>
      <w:bookmarkStart w:id="4" w:name="Sujet"/>
      <w:r w:rsidRPr="004E6A20">
        <w:t xml:space="preserve">Az Európai Parlament 2026. június 18-i állásfoglalása a nicaraguai politikai foglyokról – Carlos </w:t>
      </w:r>
      <w:r w:rsidRPr="004E6A20">
        <w:t>Brenes</w:t>
      </w:r>
      <w:r w:rsidRPr="004E6A20">
        <w:t xml:space="preserve">, </w:t>
      </w:r>
      <w:r w:rsidRPr="004E6A20">
        <w:t>Salvadora</w:t>
      </w:r>
      <w:r w:rsidRPr="004E6A20">
        <w:t xml:space="preserve"> </w:t>
      </w:r>
      <w:r w:rsidRPr="004E6A20">
        <w:t>del</w:t>
      </w:r>
      <w:r w:rsidRPr="004E6A20">
        <w:t xml:space="preserve"> </w:t>
      </w:r>
      <w:r w:rsidRPr="004E6A20">
        <w:t>Socorro</w:t>
      </w:r>
      <w:r w:rsidRPr="004E6A20">
        <w:t xml:space="preserve"> Martínez </w:t>
      </w:r>
      <w:r w:rsidRPr="004E6A20">
        <w:t>Aburto</w:t>
      </w:r>
      <w:r w:rsidRPr="004E6A20">
        <w:t xml:space="preserve"> és Brooklyn Rivera ügyéről</w:t>
      </w:r>
      <w:bookmarkEnd w:id="4"/>
      <w:r w:rsidRPr="004E6A20">
        <w:t xml:space="preserve"> </w:t>
      </w:r>
      <w:bookmarkStart w:id="5" w:name="References"/>
      <w:r w:rsidRPr="004E6A20">
        <w:t>(2026/2765(RSP))</w:t>
      </w:r>
      <w:bookmarkEnd w:id="5"/>
    </w:p>
    <w:p w:rsidR="0055347E" w:rsidRPr="004E6A20" w:rsidP="0055347E" w14:paraId="78C06381" w14:textId="77777777">
      <w:pPr>
        <w:pStyle w:val="EPComma"/>
      </w:pPr>
      <w:bookmarkStart w:id="6" w:name="TextBodyBegin"/>
      <w:bookmarkEnd w:id="6"/>
      <w:r w:rsidRPr="004E6A20">
        <w:rPr>
          <w:i/>
        </w:rPr>
        <w:t>Az Európai Parlament</w:t>
      </w:r>
      <w:r w:rsidRPr="004E6A20">
        <w:t>,</w:t>
      </w:r>
    </w:p>
    <w:p w:rsidR="0055347E" w:rsidRPr="004E6A20" w:rsidP="00D964F7" w14:paraId="07B648B3" w14:textId="77777777">
      <w:pPr>
        <w:pStyle w:val="NormalHanging12a"/>
        <w:widowControl/>
      </w:pPr>
      <w:r w:rsidRPr="004E6A20">
        <w:t>–</w:t>
      </w:r>
      <w:r w:rsidRPr="004E6A20">
        <w:tab/>
        <w:t>tekintettel eljárási szabályzata 150. cikkének (5) bekezdésére és 136. cikkének (4) bekezdésére,</w:t>
      </w:r>
    </w:p>
    <w:p w:rsidR="0055347E" w:rsidRPr="004E6A20" w:rsidP="00D964F7" w14:paraId="770F9FD0" w14:textId="77777777">
      <w:pPr>
        <w:pStyle w:val="NormalHanging12a"/>
        <w:widowControl/>
      </w:pPr>
      <w:r w:rsidRPr="004E6A20">
        <w:t>A.</w:t>
      </w:r>
      <w:r w:rsidRPr="004E6A20">
        <w:tab/>
        <w:t>mivel 2018 óta az Ortega–Murillo-rezsim felszámolta a demokratikus intézményeket és a jogállamiságot, alkotmányos reformmal megszüntette a politikai pluralizmust, miközben üldözi az ellenzékieket, az újságírókat, a papokat, az őslakos népek vezetőit, az emberi jogi aktivistákat és a civil társadalmat;</w:t>
      </w:r>
    </w:p>
    <w:p w:rsidR="0055347E" w:rsidRPr="004E6A20" w:rsidP="00D964F7" w14:paraId="2D72F5E2" w14:textId="559C2F5C">
      <w:pPr>
        <w:pStyle w:val="NormalHanging12a"/>
        <w:widowControl/>
      </w:pPr>
      <w:r w:rsidRPr="004E6A20">
        <w:t>B.</w:t>
      </w:r>
      <w:r w:rsidRPr="004E6A20">
        <w:tab/>
        <w:t>mivel a Nicaraguával foglalkozó emberi jogi szakértői csoport arra a következtetésre jutott, hogy a 2018 óta elkövetett jogsértések emberiesség elleni bűncselekménynek minősülhetnek; mivel a civil társadalmi tér gyakorlatilag bezárult: több mint 5</w:t>
      </w:r>
      <w:r w:rsidRPr="004E6A20" w:rsidR="00D964F7">
        <w:t> </w:t>
      </w:r>
      <w:r w:rsidRPr="004E6A20">
        <w:t>600 nem kormányzati szervezetet és a civil társadalmi szervezetek 80%-át felszámolták, és több százezren kényszerültek száműzetésbe;</w:t>
      </w:r>
    </w:p>
    <w:p w:rsidR="0055347E" w:rsidRPr="004E6A20" w:rsidP="00D964F7" w14:paraId="2E4FBABE" w14:textId="77777777">
      <w:pPr>
        <w:pStyle w:val="NormalHanging12a"/>
        <w:widowControl/>
      </w:pPr>
      <w:r w:rsidRPr="004E6A20">
        <w:t>C.</w:t>
      </w:r>
      <w:r w:rsidRPr="004E6A20">
        <w:tab/>
        <w:t>mivel emberi jogi szervezetek dokumentálják az önkényes letartóztatásokat, a teljes elkülönítést és az erőszakos eltüntetéseket; mivel 2025 augusztusa óta az ENSZ három, a fogva tartási körülmények és az orvosi ellátás hiányosságaihoz kapcsolódó, fogva tartás során bekövetkező halálesetet regisztrált;</w:t>
      </w:r>
    </w:p>
    <w:p w:rsidR="0055347E" w:rsidRPr="004E6A20" w:rsidP="00D964F7" w14:paraId="43BBC41E" w14:textId="77777777">
      <w:pPr>
        <w:pStyle w:val="NormalHanging12a"/>
        <w:widowControl/>
      </w:pPr>
      <w:r w:rsidRPr="004E6A20">
        <w:t>D.</w:t>
      </w:r>
      <w:r w:rsidRPr="004E6A20">
        <w:tab/>
        <w:t xml:space="preserve">mivel Carlos </w:t>
      </w:r>
      <w:r w:rsidRPr="004E6A20">
        <w:t>Brenest</w:t>
      </w:r>
      <w:r w:rsidRPr="004E6A20">
        <w:t xml:space="preserve"> – akit 2018-ban polgári tiltakozás miatt vettek őrizetbe és kínoztak meg –, valamint </w:t>
      </w:r>
      <w:r w:rsidRPr="004E6A20">
        <w:t>Salvadora</w:t>
      </w:r>
      <w:r w:rsidRPr="004E6A20">
        <w:t xml:space="preserve"> Martínezt 2025 augusztusában ismét őrizetbe vették, teljes elkülönítésben tartották, és jogszerű eljárás nélkül, „hazaárulás” vádjával 15 évre ítélték; mivel </w:t>
      </w:r>
      <w:r w:rsidRPr="004E6A20">
        <w:t>Brenes</w:t>
      </w:r>
      <w:r w:rsidRPr="004E6A20">
        <w:t xml:space="preserve"> cukorbeteg, és megtagadták tőle a gyógyszeres kezelést;</w:t>
      </w:r>
    </w:p>
    <w:p w:rsidR="0055347E" w:rsidRPr="004E6A20" w:rsidP="00D964F7" w14:paraId="155F9C7A" w14:textId="77777777">
      <w:pPr>
        <w:pStyle w:val="NormalHanging12a"/>
        <w:widowControl/>
        <w:rPr>
          <w:bCs/>
        </w:rPr>
      </w:pPr>
      <w:r w:rsidRPr="004E6A20">
        <w:t>E.</w:t>
      </w:r>
      <w:r w:rsidRPr="004E6A20">
        <w:tab/>
        <w:t xml:space="preserve">mivel Brooklyn Riverát – a </w:t>
      </w:r>
      <w:r w:rsidRPr="004E6A20">
        <w:t>miszkito</w:t>
      </w:r>
      <w:r w:rsidRPr="004E6A20">
        <w:t xml:space="preserve"> őslakos népi vezetőjét és a feloszlatott </w:t>
      </w:r>
      <w:r w:rsidRPr="004E6A20">
        <w:t>Yatama</w:t>
      </w:r>
      <w:r w:rsidRPr="004E6A20">
        <w:t xml:space="preserve"> párt elnökét – 2023 szeptemberében őrizetbe vették, több mint 32 hónapon át erőszakkal eltüntették, majd 2026. május 30-án őrizetben meghalt; mivel a hatóságok megtagadták a holttest kiadását, és a maradványait kereső rokonai szintén eltűntek;</w:t>
      </w:r>
    </w:p>
    <w:p w:rsidR="0055347E" w:rsidRPr="004E6A20" w:rsidP="00D964F7" w14:paraId="1002A52D" w14:textId="77777777">
      <w:pPr>
        <w:pStyle w:val="NormalHanging12a"/>
        <w:widowControl/>
      </w:pPr>
      <w:r w:rsidRPr="004E6A20">
        <w:t>1.</w:t>
      </w:r>
      <w:r w:rsidRPr="004E6A20">
        <w:tab/>
        <w:t>határozottan elítéli az Ortega–Murillo-rezsim által elkövetett szisztematikus elnyomást, önkényes fogva tartásokat, erőszakos eltüntetéseket, színlelt pereket, száműzetésbe kényszerítést, állampolgárság-megvonást, vagyonelkobzásokat és emberiesség elleni bűncselekményeket;</w:t>
      </w:r>
    </w:p>
    <w:p w:rsidR="0055347E" w:rsidRPr="004E6A20" w:rsidP="00D964F7" w14:paraId="5087734F" w14:textId="77777777">
      <w:pPr>
        <w:pStyle w:val="NormalHanging12a"/>
        <w:widowControl/>
      </w:pPr>
      <w:r w:rsidRPr="004E6A20">
        <w:t>2.</w:t>
      </w:r>
      <w:r w:rsidRPr="004E6A20">
        <w:tab/>
        <w:t xml:space="preserve">követeli </w:t>
      </w:r>
      <w:r w:rsidRPr="004E6A20">
        <w:t>Brenes</w:t>
      </w:r>
      <w:r w:rsidRPr="004E6A20">
        <w:t>, Martínez és valamennyi politikai fogoly azonnali és feltétel nélküli szabadon bocsátását, a politikai indíttatású ítéletek megsemmisítését, a sorsukra és tartózkodási helyükre vonatkozó tájékoztatást, valamint azonnali bizonyítékot arra, hogy még életben vannak;</w:t>
      </w:r>
    </w:p>
    <w:p w:rsidR="0055347E" w:rsidRPr="004E6A20" w:rsidP="00D964F7" w14:paraId="775F6DDF" w14:textId="77777777">
      <w:pPr>
        <w:pStyle w:val="NormalHanging12a"/>
        <w:widowControl/>
      </w:pPr>
      <w:r w:rsidRPr="004E6A20">
        <w:t>3.</w:t>
      </w:r>
      <w:r w:rsidRPr="004E6A20">
        <w:tab/>
        <w:t>sürgeti a hatóságokat, hogy a Nelson Mandela-szabályt (a fogvatartottakkal való bánásmód minimumszabályai) alkalmazva valamennyi fogva tartott számára biztosítsák a családdal és az ügyvédekkel való kapcsolattartás lehetőségét, az orvosi ellátást és a nemzetközi ellenőrzést; felszólít arra, hogy az ENSZ emberi jogi képviselői ismét bejuthassanak a fogdákba;</w:t>
      </w:r>
    </w:p>
    <w:p w:rsidR="0055347E" w:rsidRPr="004E6A20" w:rsidP="00D964F7" w14:paraId="2306EB7D" w14:textId="77777777">
      <w:pPr>
        <w:pStyle w:val="NormalHanging12a"/>
        <w:widowControl/>
      </w:pPr>
      <w:r w:rsidRPr="004E6A20">
        <w:t>4.</w:t>
      </w:r>
      <w:r w:rsidRPr="004E6A20">
        <w:tab/>
        <w:t>felszólít Brooklyn Rivera halálának haladéktalan kivizsgálására, maradványai hazaszállítására, az eltűnt hozzátartozók szabadon bocsátásra és a felelősségre vonásra;</w:t>
      </w:r>
    </w:p>
    <w:p w:rsidR="0055347E" w:rsidRPr="004E6A20" w:rsidP="00D964F7" w14:paraId="5B84EE67" w14:textId="77777777">
      <w:pPr>
        <w:pStyle w:val="NormalHanging12a"/>
        <w:widowControl/>
      </w:pPr>
      <w:r w:rsidRPr="004E6A20">
        <w:t>5.</w:t>
      </w:r>
      <w:r w:rsidRPr="004E6A20">
        <w:tab/>
        <w:t>elítéli a keresztény egyházak, az őslakos népek, a civil társadalom, az ellenzékiek és hozzátartozóik üldözését; felszólít valamennyi önkényesen feloszlatott szervezet működésének helyreállítására, valamint a vallás és a meggyőződés szabadságának tiszteletben tartására;</w:t>
      </w:r>
    </w:p>
    <w:p w:rsidR="0055347E" w:rsidRPr="004E6A20" w:rsidP="00D964F7" w14:paraId="15BAD703" w14:textId="77777777">
      <w:pPr>
        <w:pStyle w:val="NormalHanging12a"/>
        <w:widowControl/>
      </w:pPr>
      <w:r w:rsidRPr="004E6A20">
        <w:t>6.</w:t>
      </w:r>
      <w:r w:rsidRPr="004E6A20">
        <w:tab/>
        <w:t>felszólít a Nicaraguában és a száműzetésben élő demokratikus szereplők és civil társadalom támogatására; felhívja az EU-t annak biztosítására, hogy egyetlen uniós vagy multilaterális alap se erősítse a rendszert, továbbá a tettesek – köztük Daniel Ortega és belső köre – elleni célzott szankciók bővítésére;</w:t>
      </w:r>
    </w:p>
    <w:p w:rsidR="0055347E" w:rsidRPr="004E6A20" w:rsidP="00D964F7" w14:paraId="3BD74FA7" w14:textId="77777777">
      <w:pPr>
        <w:pStyle w:val="NormalHanging12a"/>
        <w:widowControl/>
      </w:pPr>
      <w:r w:rsidRPr="004E6A20">
        <w:t>7.</w:t>
      </w:r>
      <w:r w:rsidRPr="004E6A20">
        <w:tab/>
        <w:t>sürgeti az Emberi Jogok Amerikaközi Bírósága (</w:t>
      </w:r>
      <w:r w:rsidRPr="004E6A20">
        <w:t>IACtHR</w:t>
      </w:r>
      <w:r w:rsidRPr="004E6A20">
        <w:t xml:space="preserve">) ítéletének betartását; támogatja az elszámoltathatóságot, többek között az egyetemes joghatóság és a Nemzetközi Büntetőbíróság elé utalás révén; emlékeztet az </w:t>
      </w:r>
      <w:r w:rsidRPr="004E6A20">
        <w:t>Alessio</w:t>
      </w:r>
      <w:r w:rsidRPr="004E6A20">
        <w:t xml:space="preserve"> </w:t>
      </w:r>
      <w:r w:rsidRPr="004E6A20">
        <w:t>Casimirri</w:t>
      </w:r>
      <w:r w:rsidRPr="004E6A20">
        <w:t xml:space="preserve"> kiadatásával kapcsolatos álláspontjára;</w:t>
      </w:r>
    </w:p>
    <w:p w:rsidR="0055347E" w:rsidRPr="004E6A20" w:rsidP="00D964F7" w14:paraId="4E179109" w14:textId="77777777">
      <w:pPr>
        <w:pStyle w:val="NormalHanging12a"/>
        <w:widowControl/>
      </w:pPr>
      <w:r w:rsidRPr="004E6A20">
        <w:t>8.</w:t>
      </w:r>
      <w:r w:rsidRPr="004E6A20">
        <w:tab/>
        <w:t>felszólítja a Tanácsot és a Bizottságot, hogy aktiválják a demokratikus záradékot, és függesszék fel a társulási megállapodás alkalmazását Nicaragua tekintetében, mindaddig, amíg az elnyomás fennáll; hangsúlyozza, hogy a Parlament nem fog együttműködni a rezsim képviselőivel az újonnan létrehozott Társulási Parlamenti Bizottság keretében;</w:t>
      </w:r>
    </w:p>
    <w:p w:rsidR="00E365E1" w:rsidRPr="008A4432" w:rsidP="004E6A20" w14:paraId="16B66367" w14:textId="20E5D66F">
      <w:pPr>
        <w:pStyle w:val="NormalHanging12a"/>
        <w:widowControl/>
      </w:pPr>
      <w:r w:rsidRPr="004E6A20">
        <w:t>9.</w:t>
      </w:r>
      <w:r w:rsidRPr="004E6A20">
        <w:tab/>
        <w:t>utasítja elnökét, hogy továbbítsa ezt az állásfoglalást a Tanácsnak, a Bizottságnak, az alelnöknek/főképviselőnek, a tagállamoknak, az ENSZ-nek, az Amerikai Államok Szervezetének, valamint a nicaraguai hatóságoknak.</w:t>
      </w:r>
    </w:p>
    <w:sectPr w:rsidSect="008A44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A4432" w14:paraId="19E4E3B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A4432" w14:paraId="1764AC7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A4432" w14:paraId="473DF18C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A4432" w14:paraId="6189484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A4432" w14:paraId="02756CA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A4432" w14:paraId="6208DAE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2324161">
    <w:abstractNumId w:val="9"/>
  </w:num>
  <w:num w:numId="2" w16cid:durableId="1694763903">
    <w:abstractNumId w:val="9"/>
  </w:num>
  <w:num w:numId="3" w16cid:durableId="618688833">
    <w:abstractNumId w:val="7"/>
  </w:num>
  <w:num w:numId="4" w16cid:durableId="49352430">
    <w:abstractNumId w:val="7"/>
  </w:num>
  <w:num w:numId="5" w16cid:durableId="238293207">
    <w:abstractNumId w:val="6"/>
  </w:num>
  <w:num w:numId="6" w16cid:durableId="382801054">
    <w:abstractNumId w:val="6"/>
  </w:num>
  <w:num w:numId="7" w16cid:durableId="1215775499">
    <w:abstractNumId w:val="5"/>
  </w:num>
  <w:num w:numId="8" w16cid:durableId="232009481">
    <w:abstractNumId w:val="5"/>
  </w:num>
  <w:num w:numId="9" w16cid:durableId="1481120905">
    <w:abstractNumId w:val="4"/>
  </w:num>
  <w:num w:numId="10" w16cid:durableId="76488362">
    <w:abstractNumId w:val="4"/>
  </w:num>
  <w:num w:numId="11" w16cid:durableId="1820418297">
    <w:abstractNumId w:val="8"/>
  </w:num>
  <w:num w:numId="12" w16cid:durableId="2078094214">
    <w:abstractNumId w:val="8"/>
  </w:num>
  <w:num w:numId="13" w16cid:durableId="1260259144">
    <w:abstractNumId w:val="3"/>
  </w:num>
  <w:num w:numId="14" w16cid:durableId="379478800">
    <w:abstractNumId w:val="3"/>
  </w:num>
  <w:num w:numId="15" w16cid:durableId="1071003655">
    <w:abstractNumId w:val="2"/>
  </w:num>
  <w:num w:numId="16" w16cid:durableId="288365793">
    <w:abstractNumId w:val="2"/>
  </w:num>
  <w:num w:numId="17" w16cid:durableId="1171678969">
    <w:abstractNumId w:val="1"/>
  </w:num>
  <w:num w:numId="18" w16cid:durableId="1083532663">
    <w:abstractNumId w:val="1"/>
  </w:num>
  <w:num w:numId="19" w16cid:durableId="1879853697">
    <w:abstractNumId w:val="0"/>
  </w:num>
  <w:num w:numId="20" w16cid:durableId="44838348">
    <w:abstractNumId w:val="0"/>
  </w:num>
  <w:num w:numId="21" w16cid:durableId="1752502051">
    <w:abstractNumId w:val="9"/>
  </w:num>
  <w:num w:numId="22" w16cid:durableId="1372924630">
    <w:abstractNumId w:val="7"/>
  </w:num>
  <w:num w:numId="23" w16cid:durableId="1580476933">
    <w:abstractNumId w:val="6"/>
  </w:num>
  <w:num w:numId="24" w16cid:durableId="1908149471">
    <w:abstractNumId w:val="5"/>
  </w:num>
  <w:num w:numId="25" w16cid:durableId="191385648">
    <w:abstractNumId w:val="4"/>
  </w:num>
  <w:num w:numId="26" w16cid:durableId="738133763">
    <w:abstractNumId w:val="8"/>
  </w:num>
  <w:num w:numId="27" w16cid:durableId="559363614">
    <w:abstractNumId w:val="3"/>
  </w:num>
  <w:num w:numId="28" w16cid:durableId="349257499">
    <w:abstractNumId w:val="2"/>
  </w:num>
  <w:num w:numId="29" w16cid:durableId="1839810071">
    <w:abstractNumId w:val="1"/>
  </w:num>
  <w:num w:numId="30" w16cid:durableId="1663853976">
    <w:abstractNumId w:val="0"/>
  </w:num>
  <w:num w:numId="31" w16cid:durableId="1086154544">
    <w:abstractNumId w:val="9"/>
  </w:num>
  <w:num w:numId="32" w16cid:durableId="727843735">
    <w:abstractNumId w:val="7"/>
  </w:num>
  <w:num w:numId="33" w16cid:durableId="2074616542">
    <w:abstractNumId w:val="6"/>
  </w:num>
  <w:num w:numId="34" w16cid:durableId="185559602">
    <w:abstractNumId w:val="5"/>
  </w:num>
  <w:num w:numId="35" w16cid:durableId="1830975641">
    <w:abstractNumId w:val="4"/>
  </w:num>
  <w:num w:numId="36" w16cid:durableId="2056158442">
    <w:abstractNumId w:val="8"/>
  </w:num>
  <w:num w:numId="37" w16cid:durableId="461968063">
    <w:abstractNumId w:val="3"/>
  </w:num>
  <w:num w:numId="38" w16cid:durableId="1956013290">
    <w:abstractNumId w:val="2"/>
  </w:num>
  <w:num w:numId="39" w16cid:durableId="545869932">
    <w:abstractNumId w:val="1"/>
  </w:num>
  <w:num w:numId="40" w16cid:durableId="2077312015">
    <w:abstractNumId w:val="0"/>
  </w:num>
  <w:num w:numId="41" w16cid:durableId="1940260176">
    <w:abstractNumId w:val="10"/>
  </w:num>
  <w:num w:numId="42" w16cid:durableId="1023362919">
    <w:abstractNumId w:val="10"/>
  </w:num>
  <w:num w:numId="43" w16cid:durableId="1164200956">
    <w:abstractNumId w:val="10"/>
  </w:num>
  <w:num w:numId="44" w16cid:durableId="13644742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AF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495D"/>
    <w:rsid w:val="004C0004"/>
    <w:rsid w:val="004C5D52"/>
    <w:rsid w:val="004E6A20"/>
    <w:rsid w:val="0050519A"/>
    <w:rsid w:val="005072A1"/>
    <w:rsid w:val="00514517"/>
    <w:rsid w:val="00545827"/>
    <w:rsid w:val="0055347E"/>
    <w:rsid w:val="00560270"/>
    <w:rsid w:val="005C2568"/>
    <w:rsid w:val="005E4AF2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443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64F7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92, 0293, 0314, 0315 és 0317/2026"/>
    <w:docVar w:name="dvlangue" w:val="HU"/>
    <w:docVar w:name="dvnumam" w:val="0"/>
    <w:docVar w:name="dvpe" w:val="783.349"/>
    <w:docVar w:name="dvtitre" w:val="Az Európai Parlament 2026. június 18-i állásfoglalása a nicaraguai politikai foglyokról – Carlos Brenes, Salvadora del Socorro Martínez Aburto és Brooklyn Rivera ügyéről(2026/276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FCEE9FF"/>
  <w15:chartTrackingRefBased/>
  <w15:docId w15:val="{220BB732-D5C4-4E05-B224-A6E740126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5347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5347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5347E"/>
    <w:rPr>
      <w:sz w:val="24"/>
      <w:lang w:val="hu-HU"/>
    </w:rPr>
  </w:style>
  <w:style w:type="character" w:customStyle="1" w:styleId="EPCommaChar">
    <w:name w:val="EPComma Char"/>
    <w:basedOn w:val="DefaultParagraphFont"/>
    <w:link w:val="EPComma"/>
    <w:rsid w:val="0055347E"/>
    <w:rPr>
      <w:sz w:val="24"/>
      <w:lang w:val="hu-HU"/>
    </w:rPr>
  </w:style>
  <w:style w:type="paragraph" w:styleId="Revision">
    <w:name w:val="Revision"/>
    <w:hidden/>
    <w:uiPriority w:val="99"/>
    <w:semiHidden/>
    <w:rsid w:val="00D964F7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2026-06-18T10:39:00Z</dcterms:created>
  <dcterms:modified xsi:type="dcterms:W3CDTF">2026-06-18T10:39:00Z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B10-0292, 0293, 0314, 0315 és 0317/2026</vt:lpwstr>
  </property>
  <property fmtid="{D5CDD505-2E9C-101B-9397-08002B2CF9AE}" pid="4" name="&lt;Type&gt;">
    <vt:lpwstr>RR</vt:lpwstr>
  </property>
</Properties>
</file>