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CF1018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0C3D" w:rsidP="0010095E" w14:paraId="05295531" w14:textId="77777777">
            <w:pPr>
              <w:pStyle w:val="EPName"/>
            </w:pPr>
            <w:r w:rsidRPr="00440C3D">
              <w:t>Europos Parlamentas</w:t>
            </w:r>
          </w:p>
          <w:p w:rsidR="00751A4A" w:rsidRPr="00440C3D" w:rsidP="005F1B17" w14:paraId="1DB5D92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C3D">
              <w:t>2024</w:t>
            </w:r>
            <w:r w:rsidRPr="00440C3D" w:rsidR="00817416">
              <w:t>-202</w:t>
            </w:r>
            <w:r w:rsidRPr="00440C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0C3D" w:rsidP="0010095E" w14:paraId="64593271" w14:textId="77777777">
            <w:pPr>
              <w:pStyle w:val="EPLogo"/>
            </w:pPr>
            <w:r w:rsidRPr="00440C3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0C3D" w:rsidP="004C5D52" w14:paraId="54D36D48" w14:textId="77777777">
      <w:pPr>
        <w:pStyle w:val="LineTop"/>
      </w:pPr>
    </w:p>
    <w:p w:rsidR="00680577" w:rsidRPr="00440C3D" w:rsidP="00680577" w14:paraId="4E143E91" w14:textId="77777777">
      <w:pPr>
        <w:pStyle w:val="EPBodyTA1"/>
      </w:pPr>
      <w:r w:rsidRPr="00440C3D">
        <w:t>PRIIMTI TEKSTAI</w:t>
      </w:r>
    </w:p>
    <w:p w:rsidR="00D058B8" w:rsidRPr="00440C3D" w:rsidP="00D058B8" w14:paraId="79B13197" w14:textId="77777777">
      <w:pPr>
        <w:pStyle w:val="LineBottom"/>
      </w:pPr>
    </w:p>
    <w:p w:rsidR="006E4490" w:rsidRPr="00440C3D" w:rsidP="006E4490" w14:paraId="1DC863CC" w14:textId="3BEEA28F">
      <w:pPr>
        <w:pStyle w:val="ATHeading1"/>
      </w:pPr>
      <w:bookmarkStart w:id="0" w:name="TANumber"/>
      <w:r w:rsidRPr="00440C3D">
        <w:t>P10_TA(2026)0</w:t>
      </w:r>
      <w:r w:rsidR="00F1241F">
        <w:t>223</w:t>
      </w:r>
      <w:bookmarkEnd w:id="0"/>
    </w:p>
    <w:p w:rsidR="006E4490" w:rsidRPr="00440C3D" w:rsidP="006E4490" w14:paraId="2BA938FD" w14:textId="77777777">
      <w:pPr>
        <w:pStyle w:val="ATHeading2"/>
      </w:pPr>
      <w:bookmarkStart w:id="1" w:name="title"/>
      <w:r w:rsidRPr="00440C3D">
        <w:t xml:space="preserve">Politiniai kaliniai Nikaragvoje. </w:t>
      </w:r>
      <w:r w:rsidRPr="00440C3D">
        <w:t>Carloso</w:t>
      </w:r>
      <w:r w:rsidRPr="00440C3D">
        <w:t xml:space="preserve"> </w:t>
      </w:r>
      <w:r w:rsidRPr="00440C3D">
        <w:t>Breneso</w:t>
      </w:r>
      <w:r w:rsidRPr="00440C3D">
        <w:t xml:space="preserve">, </w:t>
      </w:r>
      <w:r w:rsidRPr="00440C3D">
        <w:t>Salvadoros</w:t>
      </w:r>
      <w:r w:rsidRPr="00440C3D">
        <w:t xml:space="preserve"> </w:t>
      </w:r>
      <w:r w:rsidRPr="00440C3D">
        <w:t>del</w:t>
      </w:r>
      <w:r w:rsidRPr="00440C3D">
        <w:t xml:space="preserve"> </w:t>
      </w:r>
      <w:r w:rsidRPr="00440C3D">
        <w:t>Socorro</w:t>
      </w:r>
      <w:r w:rsidRPr="00440C3D">
        <w:t xml:space="preserve"> </w:t>
      </w:r>
      <w:r w:rsidRPr="00440C3D">
        <w:t>Martínez</w:t>
      </w:r>
      <w:r w:rsidRPr="00440C3D">
        <w:t xml:space="preserve"> </w:t>
      </w:r>
      <w:r w:rsidRPr="00440C3D">
        <w:t>Aburto</w:t>
      </w:r>
      <w:r w:rsidRPr="00440C3D">
        <w:t xml:space="preserve"> ir </w:t>
      </w:r>
      <w:r w:rsidRPr="00440C3D">
        <w:t>Brooklyno</w:t>
      </w:r>
      <w:r w:rsidRPr="00440C3D">
        <w:t xml:space="preserve"> </w:t>
      </w:r>
      <w:r w:rsidRPr="00440C3D">
        <w:t>Riveros</w:t>
      </w:r>
      <w:r w:rsidRPr="00440C3D">
        <w:t xml:space="preserve"> atvejai</w:t>
      </w:r>
      <w:bookmarkEnd w:id="1"/>
    </w:p>
    <w:p w:rsidR="006E4490" w:rsidRPr="00440C3D" w:rsidP="006E4490" w14:paraId="15FC1E60" w14:textId="77777777">
      <w:pPr>
        <w:rPr>
          <w:i/>
          <w:vanish/>
        </w:rPr>
      </w:pPr>
      <w:r>
        <w:rPr>
          <w:i/>
        </w:rPr>
        <w:fldChar w:fldCharType="begin"/>
      </w:r>
      <w:r w:rsidRPr="00440C3D">
        <w:rPr>
          <w:i/>
        </w:rPr>
        <w:instrText xml:space="preserve"> TC"(</w:instrText>
      </w:r>
      <w:bookmarkStart w:id="2" w:name="DocNumber"/>
      <w:r w:rsidRPr="00440C3D">
        <w:rPr>
          <w:i/>
        </w:rPr>
        <w:instrText>B10-0292, 0293, 0314, 0315 ir 0317/2026</w:instrText>
      </w:r>
      <w:bookmarkEnd w:id="2"/>
      <w:r w:rsidRPr="00440C3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E4490" w:rsidRPr="00440C3D" w:rsidP="006E4490" w14:paraId="042601E6" w14:textId="77777777">
      <w:pPr>
        <w:rPr>
          <w:vanish/>
        </w:rPr>
      </w:pPr>
      <w:bookmarkStart w:id="3" w:name="PE"/>
      <w:r w:rsidRPr="00440C3D">
        <w:rPr>
          <w:vanish/>
        </w:rPr>
        <w:t>PE783.349</w:t>
      </w:r>
      <w:bookmarkEnd w:id="3"/>
    </w:p>
    <w:p w:rsidR="006E4490" w:rsidRPr="00440C3D" w:rsidP="00687DBB" w14:paraId="0C76BD73" w14:textId="35D6F2DC">
      <w:pPr>
        <w:pStyle w:val="ATHeading3"/>
      </w:pPr>
      <w:bookmarkStart w:id="4" w:name="Sujet"/>
      <w:r w:rsidRPr="00440C3D">
        <w:t xml:space="preserve">2026 m. </w:t>
      </w:r>
      <w:r w:rsidR="00785727">
        <w:t>birželio 18</w:t>
      </w:r>
      <w:r w:rsidRPr="00440C3D">
        <w:t xml:space="preserve"> d. Europos Parlamento rezoliucija dėl politinių kalinių Nikaragvoje. </w:t>
      </w:r>
      <w:r w:rsidRPr="00440C3D">
        <w:t>Carloso</w:t>
      </w:r>
      <w:r w:rsidRPr="00440C3D">
        <w:t xml:space="preserve"> </w:t>
      </w:r>
      <w:r w:rsidRPr="00440C3D">
        <w:t>Breneso</w:t>
      </w:r>
      <w:r w:rsidRPr="00440C3D">
        <w:t xml:space="preserve">, </w:t>
      </w:r>
      <w:r w:rsidRPr="00440C3D">
        <w:t>Salvadoros</w:t>
      </w:r>
      <w:r w:rsidRPr="00440C3D">
        <w:t xml:space="preserve"> </w:t>
      </w:r>
      <w:r w:rsidRPr="00440C3D">
        <w:t>del</w:t>
      </w:r>
      <w:r w:rsidRPr="00440C3D">
        <w:t xml:space="preserve"> </w:t>
      </w:r>
      <w:r w:rsidRPr="00440C3D">
        <w:t>Socorro</w:t>
      </w:r>
      <w:r w:rsidRPr="00440C3D">
        <w:t xml:space="preserve"> </w:t>
      </w:r>
      <w:r w:rsidRPr="00440C3D">
        <w:t>Martínez</w:t>
      </w:r>
      <w:r w:rsidRPr="00440C3D">
        <w:t xml:space="preserve"> </w:t>
      </w:r>
      <w:r w:rsidRPr="00440C3D">
        <w:t>Aburto</w:t>
      </w:r>
      <w:r w:rsidRPr="00440C3D">
        <w:t xml:space="preserve"> ir </w:t>
      </w:r>
      <w:r w:rsidRPr="00440C3D">
        <w:t>Brooklyno</w:t>
      </w:r>
      <w:r w:rsidRPr="00440C3D">
        <w:t xml:space="preserve"> </w:t>
      </w:r>
      <w:r w:rsidRPr="00440C3D">
        <w:t>Riveros</w:t>
      </w:r>
      <w:r w:rsidRPr="00440C3D">
        <w:t xml:space="preserve"> atvejai</w:t>
      </w:r>
      <w:bookmarkEnd w:id="4"/>
      <w:r w:rsidRPr="00440C3D">
        <w:t xml:space="preserve"> </w:t>
      </w:r>
      <w:bookmarkStart w:id="5" w:name="References"/>
      <w:r w:rsidRPr="00440C3D">
        <w:t>(2026/2765(RSP))</w:t>
      </w:r>
      <w:bookmarkEnd w:id="5"/>
    </w:p>
    <w:p w:rsidR="00D41B22" w:rsidRPr="00440C3D" w:rsidP="00D41B22" w14:paraId="6FA9DCAD" w14:textId="77777777">
      <w:pPr>
        <w:pStyle w:val="EPComma"/>
      </w:pPr>
      <w:bookmarkStart w:id="6" w:name="TextBodyBegin"/>
      <w:bookmarkEnd w:id="6"/>
      <w:r w:rsidRPr="00440C3D">
        <w:rPr>
          <w:i/>
        </w:rPr>
        <w:t>Europos Parlamentas</w:t>
      </w:r>
      <w:r w:rsidRPr="00440C3D">
        <w:t>,</w:t>
      </w:r>
    </w:p>
    <w:p w:rsidR="00D41B22" w:rsidRPr="00440C3D" w:rsidP="00D41B22" w14:paraId="6283BF7F" w14:textId="77777777">
      <w:pPr>
        <w:pStyle w:val="NormalHanging12a"/>
      </w:pPr>
      <w:r w:rsidRPr="00440C3D">
        <w:t>–</w:t>
      </w:r>
      <w:r w:rsidRPr="00440C3D">
        <w:tab/>
        <w:t>atsižvelgdamas į Darbo tvarkos taisyklių 150 straipsnio 5 dalį ir 136 straipsnio 4 dalį,</w:t>
      </w:r>
    </w:p>
    <w:p w:rsidR="00D41B22" w:rsidRPr="00440C3D" w:rsidP="00D41B22" w14:paraId="735665A4" w14:textId="77777777">
      <w:pPr>
        <w:pStyle w:val="NormalHanging12a"/>
      </w:pPr>
      <w:r w:rsidRPr="00440C3D">
        <w:t>A.</w:t>
      </w:r>
      <w:r w:rsidRPr="00440C3D">
        <w:tab/>
        <w:t xml:space="preserve">kadangi nuo 2018 m. D. Ortegos ir R. </w:t>
      </w:r>
      <w:r w:rsidRPr="00440C3D">
        <w:t>Murillo</w:t>
      </w:r>
      <w:r w:rsidRPr="00440C3D">
        <w:t xml:space="preserve"> režimas išardė demokratines institucijas ir teisinę valstybę, vykdant konstitucinę reformą buvo panaikintas politinis pliuralizmas ir persekiojami oponentai, žurnalistai, dvasininkai, čiabuvių lyderiai, žmogaus teisių gynėjai ir pilietinė visuomenė;</w:t>
      </w:r>
    </w:p>
    <w:p w:rsidR="00D41B22" w:rsidRPr="00440C3D" w:rsidP="00D41B22" w14:paraId="5486441B" w14:textId="77777777">
      <w:pPr>
        <w:pStyle w:val="NormalHanging12a"/>
      </w:pPr>
      <w:r w:rsidRPr="00440C3D">
        <w:t>B.</w:t>
      </w:r>
      <w:r w:rsidRPr="00440C3D">
        <w:tab/>
        <w:t>kadangi Žmogaus teisių ekspertų grupė Nikaragvos klausimais padarė išvadą, kad nuo 2018 m. padaryti pažeidimai gali būti laikomi nusikaltimais žmoniškumui; kadangi pilietinės visuomenės erdvė yra praktiškai uždaryta: daugiau kaip 5 600 NVO ir 80 proc. pilietinės visuomenės organizacijų turėjo nutraukti veiklą ir šimtai tūkstančių piliečių buvo priversti emigruoti;</w:t>
      </w:r>
    </w:p>
    <w:p w:rsidR="00D41B22" w:rsidRPr="00440C3D" w:rsidP="00D41B22" w14:paraId="3DEF9FA4" w14:textId="77777777">
      <w:pPr>
        <w:pStyle w:val="NormalHanging12a"/>
      </w:pPr>
      <w:r w:rsidRPr="00440C3D">
        <w:t>C.</w:t>
      </w:r>
      <w:r w:rsidRPr="00440C3D">
        <w:tab/>
        <w:t>kadangi žmogaus teisių organizacijos dokumentuoja savavališkus suėmimus, kalinimą neleidžiant susisiekti su išoriniu pasauliu ir priverstinius dingimus; kadangi nuo 2025 m. rugpjūčio mėn. JT užregistravo tris mirties atvejus kalėjime, susijusius su netinkamomis sąlygomis ir medicinine priežiūra;</w:t>
      </w:r>
    </w:p>
    <w:p w:rsidR="00D41B22" w:rsidRPr="00440C3D" w:rsidP="00D41B22" w14:paraId="2CCC3CA2" w14:textId="77777777">
      <w:pPr>
        <w:pStyle w:val="NormalHanging12a"/>
      </w:pPr>
      <w:r w:rsidRPr="00440C3D">
        <w:t>D.</w:t>
      </w:r>
      <w:r w:rsidRPr="00440C3D">
        <w:tab/>
        <w:t xml:space="preserve">kadangi </w:t>
      </w:r>
      <w:r w:rsidRPr="00440C3D">
        <w:t>Carlos</w:t>
      </w:r>
      <w:r w:rsidRPr="00440C3D">
        <w:t xml:space="preserve"> </w:t>
      </w:r>
      <w:r w:rsidRPr="00440C3D">
        <w:t>Brenes</w:t>
      </w:r>
      <w:r w:rsidRPr="00440C3D">
        <w:t xml:space="preserve">, kuris 2018 m. už pilietinį protestą buvo sulaikytas ir kankintas, 2025 m. rugpjūčio mėn. vėl buvo suimtas kartu su </w:t>
      </w:r>
      <w:r w:rsidRPr="00440C3D">
        <w:t>Salvadora</w:t>
      </w:r>
      <w:r w:rsidRPr="00440C3D">
        <w:t xml:space="preserve"> </w:t>
      </w:r>
      <w:r w:rsidRPr="00440C3D">
        <w:t>Martínez</w:t>
      </w:r>
      <w:r w:rsidRPr="00440C3D">
        <w:t>, abu laikomi neleidžiant susisiekti su išoriniu pasauliu ir be tinkamo teismo proceso nuteisti 15 metų už išdavystę; kadangi C. </w:t>
      </w:r>
      <w:r w:rsidRPr="00440C3D">
        <w:t>Brenes</w:t>
      </w:r>
      <w:r w:rsidRPr="00440C3D">
        <w:t xml:space="preserve"> serga diabetu ir jam neleista vartoti vaistų;</w:t>
      </w:r>
    </w:p>
    <w:p w:rsidR="00D41B22" w:rsidRPr="00440C3D" w:rsidP="00D41B22" w14:paraId="323ED577" w14:textId="77777777">
      <w:pPr>
        <w:pStyle w:val="NormalHanging12a"/>
        <w:rPr>
          <w:bCs/>
        </w:rPr>
      </w:pPr>
      <w:r w:rsidRPr="00440C3D">
        <w:t>E.</w:t>
      </w:r>
      <w:r w:rsidRPr="00440C3D">
        <w:tab/>
        <w:t xml:space="preserve">kadangi </w:t>
      </w:r>
      <w:r w:rsidRPr="00440C3D">
        <w:t>miskitų</w:t>
      </w:r>
      <w:r w:rsidRPr="00440C3D">
        <w:t xml:space="preserve"> čiabuvių lyderis ir paleistos partijos YATAMA pirmininkas </w:t>
      </w:r>
      <w:r w:rsidRPr="00440C3D">
        <w:t>Brooklyn</w:t>
      </w:r>
      <w:r w:rsidRPr="00440C3D">
        <w:t xml:space="preserve"> </w:t>
      </w:r>
      <w:r w:rsidRPr="00440C3D">
        <w:t>Rivera</w:t>
      </w:r>
      <w:r w:rsidRPr="00440C3D">
        <w:t xml:space="preserve"> buvo sulaikytas 2023 m. rugsėjo mėn., daugiau kaip 32 mėnesius buvo priverstinai dingęs ir 2026 m. gegužės 30 d. mirė kalėjime; kadangi valdžios institucijos atsisakė atiduoti jo kūną, o palaikus siekiantys atgauti giminaičiai dingo;</w:t>
      </w:r>
    </w:p>
    <w:p w:rsidR="00D41B22" w:rsidRPr="00440C3D" w:rsidP="00D41B22" w14:paraId="2F8FFC11" w14:textId="77777777">
      <w:pPr>
        <w:pStyle w:val="NormalHanging12a"/>
      </w:pPr>
      <w:r w:rsidRPr="00440C3D">
        <w:t>1.</w:t>
      </w:r>
      <w:r w:rsidRPr="00440C3D">
        <w:tab/>
        <w:t xml:space="preserve">griežtai smerkia sistemingas D. Ortegos ir R. </w:t>
      </w:r>
      <w:r w:rsidRPr="00440C3D">
        <w:t>Murillo</w:t>
      </w:r>
      <w:r w:rsidRPr="00440C3D">
        <w:t xml:space="preserve"> režimo represijas, savavališką sulaikymą, priverstinį dingimą, fiktyvius teismo procesus, egzilį, denacionalizaciją, konfiskavimą ir nusikaltimus žmoniškumui;</w:t>
      </w:r>
    </w:p>
    <w:p w:rsidR="00D41B22" w:rsidRPr="00440C3D" w:rsidP="00D41B22" w14:paraId="41C5D6BE" w14:textId="77777777">
      <w:pPr>
        <w:pStyle w:val="NormalHanging12a"/>
      </w:pPr>
      <w:r w:rsidRPr="00440C3D">
        <w:t>2.</w:t>
      </w:r>
      <w:r w:rsidRPr="00440C3D">
        <w:tab/>
        <w:t>reikalauja nedelsiant ir besąlygiškai paleisti C. </w:t>
      </w:r>
      <w:r w:rsidRPr="00440C3D">
        <w:t>Brenesą</w:t>
      </w:r>
      <w:r w:rsidRPr="00440C3D">
        <w:t>, S. </w:t>
      </w:r>
      <w:r w:rsidRPr="00440C3D">
        <w:t>Martínez</w:t>
      </w:r>
      <w:r w:rsidRPr="00440C3D">
        <w:t xml:space="preserve"> ir visus politinius kalinius, panaikinti politiškai motyvuotus apkaltinamuosius nuosprendžius, suteikti informaciją apie jų likimą ir buvimo vietą ir nedelsiant pateikti gyvybės įrodymą;</w:t>
      </w:r>
    </w:p>
    <w:p w:rsidR="00D41B22" w:rsidRPr="00440C3D" w:rsidP="00D41B22" w14:paraId="5DCC0433" w14:textId="77777777">
      <w:pPr>
        <w:pStyle w:val="NormalHanging12a"/>
      </w:pPr>
      <w:r w:rsidRPr="00440C3D">
        <w:t>3.</w:t>
      </w:r>
      <w:r w:rsidRPr="00440C3D">
        <w:tab/>
        <w:t xml:space="preserve">primygtinai ragina valdžios institucijas, laikantis Nelsono </w:t>
      </w:r>
      <w:r w:rsidRPr="00440C3D">
        <w:t>Mandelos</w:t>
      </w:r>
      <w:r w:rsidRPr="00440C3D">
        <w:t xml:space="preserve"> taisyklių, suteikti visiems sulaikytiesiems galimybę susisiekti su šeimos nariais ir advokatais, gauti medicininę priežiūrą ir leisti tarptautinę stebėseną; ragina, kad JT žmogaus teisių mechanizmai atgautų galimybę patekti į sulaikymo centrus;</w:t>
      </w:r>
    </w:p>
    <w:p w:rsidR="00D41B22" w:rsidRPr="00440C3D" w:rsidP="00D41B22" w14:paraId="76C9F5CF" w14:textId="77777777">
      <w:pPr>
        <w:pStyle w:val="NormalHanging12a"/>
      </w:pPr>
      <w:r w:rsidRPr="00440C3D">
        <w:t>4.</w:t>
      </w:r>
      <w:r w:rsidRPr="00440C3D">
        <w:tab/>
        <w:t xml:space="preserve">ragina skubiai ištirti </w:t>
      </w:r>
      <w:r w:rsidRPr="00440C3D">
        <w:t>Brooklyno</w:t>
      </w:r>
      <w:r w:rsidRPr="00440C3D">
        <w:t xml:space="preserve"> </w:t>
      </w:r>
      <w:r w:rsidRPr="00440C3D">
        <w:t>Riveros</w:t>
      </w:r>
      <w:r w:rsidRPr="00440C3D">
        <w:t xml:space="preserve"> mirtį, grąžinti palaikus, paleisti dingusius giminaičius ir prisiimti atskaitomybę;</w:t>
      </w:r>
    </w:p>
    <w:p w:rsidR="00D41B22" w:rsidRPr="00440C3D" w:rsidP="00D41B22" w14:paraId="3CE80BDF" w14:textId="77777777">
      <w:pPr>
        <w:pStyle w:val="NormalHanging12a"/>
      </w:pPr>
      <w:r w:rsidRPr="00440C3D">
        <w:t>5.</w:t>
      </w:r>
      <w:r w:rsidRPr="00440C3D">
        <w:tab/>
        <w:t>smerkia krikščionių bažnyčių, čiabuvių, pilietinės visuomenės, oponentų ir jų artimųjų persekiojimą; ragina atkurti visas savavališkai paleistas organizacijas ir gerbti religijos ir tikėjimo laisvę;</w:t>
      </w:r>
    </w:p>
    <w:p w:rsidR="00D41B22" w:rsidRPr="00440C3D" w:rsidP="00D41B22" w14:paraId="2D1C45A7" w14:textId="77777777">
      <w:pPr>
        <w:pStyle w:val="NormalHanging12a"/>
      </w:pPr>
      <w:r w:rsidRPr="00440C3D">
        <w:t>6.</w:t>
      </w:r>
      <w:r w:rsidRPr="00440C3D">
        <w:tab/>
        <w:t>ragina remti demokratinius veikėjus ir pilietinę visuomenę Nikaragvoje ir egzilyje; ragina ES užtikrinti, kad jokiais ES ar daugiašaliais fondais nebūtų stiprinamas režimas, ir išplėsti tikslines sankcijas nusikaltėliams, įskaitant Danielį Ortegą ir jo vidinį ratą;</w:t>
      </w:r>
    </w:p>
    <w:p w:rsidR="00D41B22" w:rsidRPr="00440C3D" w:rsidP="00D41B22" w14:paraId="30A8D0C4" w14:textId="77777777">
      <w:pPr>
        <w:pStyle w:val="NormalHanging12a"/>
      </w:pPr>
      <w:r w:rsidRPr="00440C3D">
        <w:t>7.</w:t>
      </w:r>
      <w:r w:rsidRPr="00440C3D">
        <w:tab/>
        <w:t>primygtinai ragina laikytis Amerikos šalių žmogaus teisių teismo (</w:t>
      </w:r>
      <w:r w:rsidRPr="00440C3D">
        <w:t>IACtHR</w:t>
      </w:r>
      <w:r w:rsidRPr="00440C3D">
        <w:t xml:space="preserve">) sprendimo; remia atskaitomybę, be kita ko, taikant visuotinę jurisdikciją ir kreipiantis į Tarptautinį baudžiamąjį teismą; primena savo poziciją dėl </w:t>
      </w:r>
      <w:r w:rsidRPr="00440C3D">
        <w:t>Alessio</w:t>
      </w:r>
      <w:r w:rsidRPr="00440C3D">
        <w:t xml:space="preserve"> </w:t>
      </w:r>
      <w:r w:rsidRPr="00440C3D">
        <w:t>Casimirri</w:t>
      </w:r>
      <w:r w:rsidRPr="00440C3D">
        <w:t xml:space="preserve"> ekstradicijos;</w:t>
      </w:r>
    </w:p>
    <w:p w:rsidR="00D41B22" w:rsidRPr="00440C3D" w:rsidP="00D41B22" w14:paraId="575DB26A" w14:textId="77777777">
      <w:pPr>
        <w:pStyle w:val="NormalHanging12a"/>
      </w:pPr>
      <w:r w:rsidRPr="00440C3D">
        <w:t>8.</w:t>
      </w:r>
      <w:r w:rsidRPr="00440C3D">
        <w:tab/>
        <w:t>ragina Tarybą ir Komisiją pradėti taikyti demokratijos išlygą ir, kol šalyje tęsiasi represijos, sustabdyti asociacijos susitarimo taikymą Nikaragvai; pabrėžia, kad Parlamentas nebendradarbiaus su režimo atstovais naujai įsteigtame Asociacijos parlamentiniame komitete;</w:t>
      </w:r>
    </w:p>
    <w:p w:rsidR="00440C3D" w:rsidRPr="00440C3D" w:rsidP="00440C3D" w14:paraId="409263BA" w14:textId="524D5470">
      <w:pPr>
        <w:pStyle w:val="NormalHanging12a"/>
      </w:pPr>
      <w:r w:rsidRPr="00440C3D">
        <w:t>9.</w:t>
      </w:r>
      <w:r w:rsidRPr="00440C3D">
        <w:tab/>
        <w:t>paveda Pirmininkei perduoti šią rezoliuciją Tarybai, Komisijai, Komisijos pirmininkės pavaduotojai ir Sąjungos vyriausiajai įgaliotinei užsienio reikalams ir saugumo politikai, valstybėms narėms, JT, Amerikos valstybių organizacijai ir Nikaragvos valdžios institucijoms.</w:t>
      </w:r>
    </w:p>
    <w:p w:rsidR="00E365E1" w:rsidRPr="00440C3D" w:rsidP="006E4490" w14:paraId="5E9DCB7B" w14:textId="4FAEF7B0"/>
    <w:sectPr w:rsidSect="00440C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C3D" w14:paraId="5E427BB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C3D" w14:paraId="7655D8D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C3D" w14:paraId="53A2591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C3D" w14:paraId="33A7345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C3D" w14:paraId="29365F0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40C3D" w14:paraId="33361A5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9678723">
    <w:abstractNumId w:val="9"/>
  </w:num>
  <w:num w:numId="2" w16cid:durableId="703143298">
    <w:abstractNumId w:val="9"/>
  </w:num>
  <w:num w:numId="3" w16cid:durableId="771441778">
    <w:abstractNumId w:val="7"/>
  </w:num>
  <w:num w:numId="4" w16cid:durableId="1259220676">
    <w:abstractNumId w:val="7"/>
  </w:num>
  <w:num w:numId="5" w16cid:durableId="710568291">
    <w:abstractNumId w:val="6"/>
  </w:num>
  <w:num w:numId="6" w16cid:durableId="1162890979">
    <w:abstractNumId w:val="6"/>
  </w:num>
  <w:num w:numId="7" w16cid:durableId="993070491">
    <w:abstractNumId w:val="5"/>
  </w:num>
  <w:num w:numId="8" w16cid:durableId="783230565">
    <w:abstractNumId w:val="5"/>
  </w:num>
  <w:num w:numId="9" w16cid:durableId="731584493">
    <w:abstractNumId w:val="4"/>
  </w:num>
  <w:num w:numId="10" w16cid:durableId="737214699">
    <w:abstractNumId w:val="4"/>
  </w:num>
  <w:num w:numId="11" w16cid:durableId="1381829155">
    <w:abstractNumId w:val="8"/>
  </w:num>
  <w:num w:numId="12" w16cid:durableId="1923879315">
    <w:abstractNumId w:val="8"/>
  </w:num>
  <w:num w:numId="13" w16cid:durableId="199637810">
    <w:abstractNumId w:val="3"/>
  </w:num>
  <w:num w:numId="14" w16cid:durableId="1556509092">
    <w:abstractNumId w:val="3"/>
  </w:num>
  <w:num w:numId="15" w16cid:durableId="978614833">
    <w:abstractNumId w:val="2"/>
  </w:num>
  <w:num w:numId="16" w16cid:durableId="1961764119">
    <w:abstractNumId w:val="2"/>
  </w:num>
  <w:num w:numId="17" w16cid:durableId="1656644745">
    <w:abstractNumId w:val="1"/>
  </w:num>
  <w:num w:numId="18" w16cid:durableId="2011059697">
    <w:abstractNumId w:val="1"/>
  </w:num>
  <w:num w:numId="19" w16cid:durableId="1577520190">
    <w:abstractNumId w:val="0"/>
  </w:num>
  <w:num w:numId="20" w16cid:durableId="519198202">
    <w:abstractNumId w:val="0"/>
  </w:num>
  <w:num w:numId="21" w16cid:durableId="2059042431">
    <w:abstractNumId w:val="9"/>
  </w:num>
  <w:num w:numId="22" w16cid:durableId="1718119615">
    <w:abstractNumId w:val="7"/>
  </w:num>
  <w:num w:numId="23" w16cid:durableId="1954552667">
    <w:abstractNumId w:val="6"/>
  </w:num>
  <w:num w:numId="24" w16cid:durableId="780495632">
    <w:abstractNumId w:val="5"/>
  </w:num>
  <w:num w:numId="25" w16cid:durableId="964122144">
    <w:abstractNumId w:val="4"/>
  </w:num>
  <w:num w:numId="26" w16cid:durableId="241113089">
    <w:abstractNumId w:val="8"/>
  </w:num>
  <w:num w:numId="27" w16cid:durableId="1011949858">
    <w:abstractNumId w:val="3"/>
  </w:num>
  <w:num w:numId="28" w16cid:durableId="1169832883">
    <w:abstractNumId w:val="2"/>
  </w:num>
  <w:num w:numId="29" w16cid:durableId="644119966">
    <w:abstractNumId w:val="1"/>
  </w:num>
  <w:num w:numId="30" w16cid:durableId="1718702474">
    <w:abstractNumId w:val="0"/>
  </w:num>
  <w:num w:numId="31" w16cid:durableId="263224744">
    <w:abstractNumId w:val="9"/>
  </w:num>
  <w:num w:numId="32" w16cid:durableId="799959394">
    <w:abstractNumId w:val="7"/>
  </w:num>
  <w:num w:numId="33" w16cid:durableId="2046323230">
    <w:abstractNumId w:val="6"/>
  </w:num>
  <w:num w:numId="34" w16cid:durableId="1302157262">
    <w:abstractNumId w:val="5"/>
  </w:num>
  <w:num w:numId="35" w16cid:durableId="613177907">
    <w:abstractNumId w:val="4"/>
  </w:num>
  <w:num w:numId="36" w16cid:durableId="489492361">
    <w:abstractNumId w:val="8"/>
  </w:num>
  <w:num w:numId="37" w16cid:durableId="446436256">
    <w:abstractNumId w:val="3"/>
  </w:num>
  <w:num w:numId="38" w16cid:durableId="600917306">
    <w:abstractNumId w:val="2"/>
  </w:num>
  <w:num w:numId="39" w16cid:durableId="1150294823">
    <w:abstractNumId w:val="1"/>
  </w:num>
  <w:num w:numId="40" w16cid:durableId="2075005973">
    <w:abstractNumId w:val="0"/>
  </w:num>
  <w:num w:numId="41" w16cid:durableId="913009855">
    <w:abstractNumId w:val="10"/>
  </w:num>
  <w:num w:numId="42" w16cid:durableId="1765370868">
    <w:abstractNumId w:val="10"/>
  </w:num>
  <w:num w:numId="43" w16cid:durableId="376203622">
    <w:abstractNumId w:val="10"/>
  </w:num>
  <w:num w:numId="44" w16cid:durableId="488592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2B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C3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DBB"/>
    <w:rsid w:val="006E4490"/>
    <w:rsid w:val="006F74FA"/>
    <w:rsid w:val="00731ADD"/>
    <w:rsid w:val="00734777"/>
    <w:rsid w:val="00747932"/>
    <w:rsid w:val="00751A4A"/>
    <w:rsid w:val="00756632"/>
    <w:rsid w:val="00762C74"/>
    <w:rsid w:val="0078572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01A"/>
    <w:rsid w:val="00C61C0C"/>
    <w:rsid w:val="00C941CB"/>
    <w:rsid w:val="00CC2357"/>
    <w:rsid w:val="00CF071A"/>
    <w:rsid w:val="00D058B8"/>
    <w:rsid w:val="00D41B2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41F"/>
    <w:rsid w:val="00F149E9"/>
    <w:rsid w:val="00F302C6"/>
    <w:rsid w:val="00F5134D"/>
    <w:rsid w:val="00F74202"/>
    <w:rsid w:val="00F87713"/>
    <w:rsid w:val="00FB4360"/>
    <w:rsid w:val="00FD0C70"/>
  </w:rsids>
  <w:docVars>
    <w:docVar w:name="dvdocse" w:val="B10-0292, 0293, 0314, 0315 ir 0317/2026"/>
    <w:docVar w:name="dvlangue" w:val="LT"/>
    <w:docVar w:name="dvnumam" w:val="0"/>
    <w:docVar w:name="dvpe" w:val="783.349"/>
    <w:docVar w:name="dvtitre" w:val="2026 m. ... ... d. Europos Parlamento rezoliucija dėl politinių kalinių Nikaragvoje. Carloso Breneso, Salvadoros del Socorro Martínez Aburto ir Brooklyno Riveros atvejai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A1E85D8"/>
  <w15:chartTrackingRefBased/>
  <w15:docId w15:val="{AD158C5B-6FBD-4991-8F74-197A9F88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41B2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41B2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41B22"/>
    <w:rPr>
      <w:sz w:val="24"/>
      <w:lang w:val="lt-LT"/>
    </w:rPr>
  </w:style>
  <w:style w:type="character" w:customStyle="1" w:styleId="EPCommaChar">
    <w:name w:val="EPComma Char"/>
    <w:basedOn w:val="DefaultParagraphFont"/>
    <w:link w:val="EPComma"/>
    <w:rsid w:val="00D41B22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3866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2026-06-18T09:23:00Z</dcterms:created>
  <dcterms:modified xsi:type="dcterms:W3CDTF">2026-06-18T09:23:00Z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B10-0292, 0293, 0314, 0315 ir 0317/2026</vt:lpwstr>
  </property>
  <property fmtid="{D5CDD505-2E9C-101B-9397-08002B2CF9AE}" pid="4" name="&lt;Type&gt;">
    <vt:lpwstr>RR</vt:lpwstr>
  </property>
</Properties>
</file>