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7987C3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3820" w:rsidP="0010095E" w14:paraId="25ED0ABD" w14:textId="7F2F125B">
            <w:pPr>
              <w:pStyle w:val="EPName"/>
            </w:pPr>
            <w:r w:rsidRPr="004B3820">
              <w:t>Eiropas Parlaments</w:t>
            </w:r>
          </w:p>
          <w:p w:rsidR="00751A4A" w:rsidRPr="004B3820" w:rsidP="005F1B17" w14:paraId="11C1C2F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3820">
              <w:t>2024</w:t>
            </w:r>
            <w:r w:rsidRPr="004B3820" w:rsidR="00817416">
              <w:t>-202</w:t>
            </w:r>
            <w:r w:rsidRPr="004B38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3820" w:rsidP="0010095E" w14:paraId="51612A16" w14:textId="77777777">
            <w:pPr>
              <w:pStyle w:val="EPLogo"/>
            </w:pPr>
            <w:r w:rsidRPr="004B382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3820" w:rsidP="004C5D52" w14:paraId="4FE204E0" w14:textId="77777777">
      <w:pPr>
        <w:pStyle w:val="LineTop"/>
      </w:pPr>
    </w:p>
    <w:p w:rsidR="00680577" w:rsidRPr="004B3820" w:rsidP="00680577" w14:paraId="2CE1D660" w14:textId="7365E760">
      <w:pPr>
        <w:pStyle w:val="EPBodyTA1"/>
      </w:pPr>
      <w:r w:rsidRPr="004B3820">
        <w:t>PIEŅEMTIE TEKSTI</w:t>
      </w:r>
    </w:p>
    <w:p w:rsidR="00D058B8" w:rsidRPr="004B3820" w:rsidP="00D058B8" w14:paraId="6EE9E1E9" w14:textId="77777777">
      <w:pPr>
        <w:pStyle w:val="LineBottom"/>
      </w:pPr>
    </w:p>
    <w:p w:rsidR="00047988" w:rsidRPr="004B3820" w:rsidP="00047988" w14:paraId="1854B4B7" w14:textId="5893F095">
      <w:pPr>
        <w:pStyle w:val="ATHeading1"/>
      </w:pPr>
      <w:bookmarkStart w:id="0" w:name="TANumber"/>
      <w:r w:rsidRPr="004B3820">
        <w:t>P10_TA(2026)0</w:t>
      </w:r>
      <w:bookmarkEnd w:id="0"/>
      <w:r w:rsidRPr="004B3820" w:rsidR="004B3820">
        <w:t>223</w:t>
      </w:r>
    </w:p>
    <w:p w:rsidR="00047988" w:rsidRPr="004B3820" w:rsidP="00F85A81" w14:paraId="2D5DEAE8" w14:textId="5F68E576">
      <w:pPr>
        <w:pStyle w:val="ATHeading2"/>
      </w:pPr>
      <w:bookmarkStart w:id="1" w:name="title"/>
      <w:r w:rsidRPr="004B3820">
        <w:rPr>
          <w:bCs/>
        </w:rPr>
        <w:t>Politieslodz</w:t>
      </w:r>
      <w:r w:rsidRPr="004B3820">
        <w:rPr>
          <w:rFonts w:hint="eastAsia"/>
          <w:bCs/>
        </w:rPr>
        <w:t>ī</w:t>
      </w:r>
      <w:r w:rsidRPr="004B3820">
        <w:rPr>
          <w:bCs/>
        </w:rPr>
        <w:t>tie Nikaragv</w:t>
      </w:r>
      <w:r w:rsidRPr="004B3820">
        <w:rPr>
          <w:rFonts w:hint="eastAsia"/>
          <w:bCs/>
        </w:rPr>
        <w:t>ā</w:t>
      </w:r>
      <w:r w:rsidRPr="004B3820">
        <w:rPr>
          <w:bCs/>
        </w:rPr>
        <w:t xml:space="preserve"> </w:t>
      </w:r>
      <w:r w:rsidRPr="004B3820">
        <w:rPr>
          <w:rFonts w:hint="eastAsia"/>
          <w:bCs/>
        </w:rPr>
        <w:t>–</w:t>
      </w:r>
      <w:r w:rsidRPr="004B3820">
        <w:rPr>
          <w:bCs/>
        </w:rPr>
        <w:t xml:space="preserve"> </w:t>
      </w:r>
      <w:r w:rsidRPr="004B3820">
        <w:rPr>
          <w:bCs/>
          <w:i/>
          <w:iCs/>
        </w:rPr>
        <w:t xml:space="preserve">Carlos </w:t>
      </w:r>
      <w:r w:rsidRPr="004B3820">
        <w:rPr>
          <w:bCs/>
          <w:i/>
          <w:iCs/>
        </w:rPr>
        <w:t>Brenes</w:t>
      </w:r>
      <w:r w:rsidRPr="004B3820">
        <w:rPr>
          <w:bCs/>
          <w:i/>
          <w:iCs/>
        </w:rPr>
        <w:t xml:space="preserve">, Salvadora </w:t>
      </w:r>
      <w:r w:rsidRPr="004B3820">
        <w:rPr>
          <w:bCs/>
          <w:i/>
          <w:iCs/>
        </w:rPr>
        <w:t>del</w:t>
      </w:r>
      <w:r w:rsidRPr="004B3820">
        <w:rPr>
          <w:bCs/>
          <w:i/>
          <w:iCs/>
        </w:rPr>
        <w:t xml:space="preserve"> </w:t>
      </w:r>
      <w:r w:rsidRPr="004B3820">
        <w:rPr>
          <w:bCs/>
          <w:i/>
          <w:iCs/>
        </w:rPr>
        <w:t>Socorro</w:t>
      </w:r>
      <w:r w:rsidRPr="004B3820">
        <w:rPr>
          <w:bCs/>
          <w:i/>
          <w:iCs/>
        </w:rPr>
        <w:t xml:space="preserve"> </w:t>
      </w:r>
      <w:r w:rsidRPr="004B3820">
        <w:rPr>
          <w:bCs/>
          <w:i/>
          <w:iCs/>
        </w:rPr>
        <w:t>Mart</w:t>
      </w:r>
      <w:r w:rsidRPr="004B3820">
        <w:rPr>
          <w:rFonts w:hint="eastAsia"/>
          <w:bCs/>
          <w:i/>
          <w:iCs/>
        </w:rPr>
        <w:t>í</w:t>
      </w:r>
      <w:r w:rsidRPr="004B3820">
        <w:rPr>
          <w:bCs/>
          <w:i/>
          <w:iCs/>
        </w:rPr>
        <w:t>nez</w:t>
      </w:r>
      <w:r w:rsidRPr="004B3820">
        <w:rPr>
          <w:bCs/>
          <w:i/>
          <w:iCs/>
        </w:rPr>
        <w:t xml:space="preserve"> </w:t>
      </w:r>
      <w:r w:rsidRPr="004B3820">
        <w:rPr>
          <w:bCs/>
          <w:i/>
          <w:iCs/>
        </w:rPr>
        <w:t>Aburto</w:t>
      </w:r>
      <w:r w:rsidRPr="004B3820">
        <w:rPr>
          <w:bCs/>
        </w:rPr>
        <w:t xml:space="preserve"> un </w:t>
      </w:r>
      <w:r w:rsidRPr="004B3820">
        <w:rPr>
          <w:bCs/>
          <w:i/>
          <w:iCs/>
        </w:rPr>
        <w:t>Brooklyn</w:t>
      </w:r>
      <w:r w:rsidRPr="004B3820">
        <w:rPr>
          <w:bCs/>
          <w:i/>
          <w:iCs/>
        </w:rPr>
        <w:t xml:space="preserve"> </w:t>
      </w:r>
      <w:r w:rsidRPr="004B3820">
        <w:rPr>
          <w:bCs/>
          <w:i/>
          <w:iCs/>
        </w:rPr>
        <w:t>Rivera</w:t>
      </w:r>
      <w:r w:rsidRPr="004B3820">
        <w:rPr>
          <w:bCs/>
        </w:rPr>
        <w:t xml:space="preserve"> lietas</w:t>
      </w:r>
      <w:bookmarkEnd w:id="1"/>
    </w:p>
    <w:p w:rsidR="00047988" w:rsidRPr="004B3820" w:rsidP="00047988" w14:paraId="6E985606" w14:textId="0CC0BC70">
      <w:pPr>
        <w:rPr>
          <w:i/>
          <w:vanish/>
        </w:rPr>
      </w:pPr>
      <w:r>
        <w:rPr>
          <w:i/>
        </w:rPr>
        <w:fldChar w:fldCharType="begin"/>
      </w:r>
      <w:r w:rsidRPr="004B3820">
        <w:rPr>
          <w:i/>
        </w:rPr>
        <w:instrText xml:space="preserve"> TC"(</w:instrText>
      </w:r>
      <w:bookmarkStart w:id="2" w:name="DocNumber"/>
      <w:r w:rsidRPr="004B3820" w:rsidR="00F85A81">
        <w:rPr>
          <w:i/>
        </w:rPr>
        <w:instrText>B10-0292, 0293, 0314, 0315 un 0317/2026</w:instrText>
      </w:r>
      <w:bookmarkEnd w:id="2"/>
      <w:r w:rsidRPr="004B382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47988" w:rsidRPr="004B3820" w:rsidP="00047988" w14:paraId="62110262" w14:textId="77777777">
      <w:pPr>
        <w:rPr>
          <w:vanish/>
        </w:rPr>
      </w:pPr>
      <w:bookmarkStart w:id="3" w:name="PE"/>
      <w:r w:rsidRPr="004B3820">
        <w:rPr>
          <w:vanish/>
        </w:rPr>
        <w:t>PE783.349</w:t>
      </w:r>
      <w:bookmarkEnd w:id="3"/>
    </w:p>
    <w:p w:rsidR="00047988" w:rsidRPr="004B3820" w:rsidP="00047988" w14:paraId="01147BB7" w14:textId="7750AEC9">
      <w:pPr>
        <w:pStyle w:val="ATHeading3"/>
      </w:pPr>
      <w:bookmarkStart w:id="4" w:name="Sujet"/>
      <w:r w:rsidRPr="004B3820">
        <w:t xml:space="preserve">Eiropas Parlamenta 2026. gada </w:t>
      </w:r>
      <w:r w:rsidRPr="004B3820" w:rsidR="00F85A81">
        <w:t>18. jūnija</w:t>
      </w:r>
      <w:r w:rsidRPr="004B3820">
        <w:t xml:space="preserve"> rezolūcija par politieslodzītajiem Nikaragvā – </w:t>
      </w:r>
      <w:r w:rsidRPr="004B3820">
        <w:rPr>
          <w:i/>
          <w:iCs/>
        </w:rPr>
        <w:t xml:space="preserve">Carlos </w:t>
      </w:r>
      <w:r w:rsidRPr="004B3820">
        <w:rPr>
          <w:i/>
          <w:iCs/>
        </w:rPr>
        <w:t>Brenes</w:t>
      </w:r>
      <w:r w:rsidRPr="004B3820">
        <w:t xml:space="preserve">, </w:t>
      </w:r>
      <w:r w:rsidRPr="004B3820">
        <w:rPr>
          <w:i/>
          <w:iCs/>
        </w:rPr>
        <w:t xml:space="preserve">Salvadora </w:t>
      </w:r>
      <w:r w:rsidRPr="004B3820">
        <w:rPr>
          <w:i/>
          <w:iCs/>
        </w:rPr>
        <w:t>del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Socorro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Martínez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Aburto</w:t>
      </w:r>
      <w:r w:rsidRPr="004B3820">
        <w:t xml:space="preserve"> un </w:t>
      </w:r>
      <w:r w:rsidRPr="004B3820">
        <w:rPr>
          <w:i/>
          <w:iCs/>
        </w:rPr>
        <w:t>Brooklyn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Rivera</w:t>
      </w:r>
      <w:r w:rsidRPr="004B3820">
        <w:t xml:space="preserve"> lietas</w:t>
      </w:r>
      <w:bookmarkEnd w:id="4"/>
      <w:r w:rsidRPr="004B3820">
        <w:t xml:space="preserve"> </w:t>
      </w:r>
      <w:bookmarkStart w:id="5" w:name="References"/>
      <w:r w:rsidRPr="004B3820">
        <w:t>(2026/2765(RSP))</w:t>
      </w:r>
      <w:bookmarkEnd w:id="5"/>
    </w:p>
    <w:p w:rsidR="00634F13" w:rsidRPr="004B3820" w:rsidP="00634F13" w14:paraId="33D8F4D6" w14:textId="77777777">
      <w:pPr>
        <w:pStyle w:val="EPComma"/>
      </w:pPr>
      <w:bookmarkStart w:id="6" w:name="TextBodyBegin"/>
      <w:bookmarkEnd w:id="6"/>
      <w:r w:rsidRPr="004B3820">
        <w:rPr>
          <w:i/>
          <w:iCs/>
        </w:rPr>
        <w:t>Eiropas Parlaments</w:t>
      </w:r>
      <w:r w:rsidRPr="004B3820">
        <w:t>,</w:t>
      </w:r>
    </w:p>
    <w:p w:rsidR="00634F13" w:rsidRPr="004B3820" w:rsidP="00634F13" w14:paraId="25358325" w14:textId="77777777">
      <w:pPr>
        <w:pStyle w:val="NormalHanging12a"/>
      </w:pPr>
      <w:r w:rsidRPr="004B3820">
        <w:t>–</w:t>
      </w:r>
      <w:r w:rsidRPr="004B3820">
        <w:tab/>
        <w:t>ņemot vērā Reglamenta 150. panta 5. punktu un 136. panta 4. punktu,</w:t>
      </w:r>
    </w:p>
    <w:p w:rsidR="00634F13" w:rsidRPr="004B3820" w:rsidP="00634F13" w14:paraId="10F4F9C6" w14:textId="77777777">
      <w:pPr>
        <w:pStyle w:val="NormalHanging12a"/>
      </w:pPr>
      <w:r w:rsidRPr="004B3820">
        <w:t>A.</w:t>
      </w:r>
      <w:r w:rsidRPr="004B3820">
        <w:tab/>
        <w:t xml:space="preserve">tā kā kopš 2018. gada </w:t>
      </w:r>
      <w:r w:rsidRPr="004B3820">
        <w:rPr>
          <w:i/>
          <w:iCs/>
        </w:rPr>
        <w:t>Ortega-</w:t>
      </w:r>
      <w:r w:rsidRPr="004B3820">
        <w:rPr>
          <w:i/>
          <w:iCs/>
        </w:rPr>
        <w:t>Murillo</w:t>
      </w:r>
      <w:r w:rsidRPr="004B3820">
        <w:t xml:space="preserve"> režīms ir likvidējis demokrātiskās iestādes un tiesiskumu un konstitucionālā reforma ir atcēlusi politisko plurālismu, vienlaikus vajājot oponentus, žurnālistus, garīdzniekus, pirmiedzīvotāju līderus, cilvēktiesību aizstāvjus un pilsonisko sabiedrību;</w:t>
      </w:r>
    </w:p>
    <w:p w:rsidR="00634F13" w:rsidRPr="004B3820" w:rsidP="00634F13" w14:paraId="211EDC2A" w14:textId="77777777">
      <w:pPr>
        <w:pStyle w:val="NormalHanging12a"/>
      </w:pPr>
      <w:r w:rsidRPr="004B3820">
        <w:t>B.</w:t>
      </w:r>
      <w:r w:rsidRPr="004B3820">
        <w:tab/>
        <w:t>tā kā Cilvēktiesību ekspertu grupa Nikaragvas jautājumos secināja, ka konstatētie pārkāpumi kopš 2018. gada varētu būt noziegumi pret cilvēci; tā kā pilsoniskā telpa ir faktiski slēgta, jo ir slēgtas vairāk nekā 5600 NVO un 80 % pilsoniskās sabiedrības organizāciju un simtiem tūkstoši personu ir piespiedu kārtā izraidītas;</w:t>
      </w:r>
    </w:p>
    <w:p w:rsidR="00634F13" w:rsidRPr="004B3820" w:rsidP="00634F13" w14:paraId="37F0EE12" w14:textId="77777777">
      <w:pPr>
        <w:pStyle w:val="NormalHanging12a"/>
      </w:pPr>
      <w:r w:rsidRPr="004B3820">
        <w:t>C.</w:t>
      </w:r>
      <w:r w:rsidRPr="004B3820">
        <w:tab/>
        <w:t>tā kā cilvēktiesību organizācijas ir dokumentējušas patvaļīgus arestus, aizturēšanu bez saziņas iespējām un piespiedu pazušanas; tā kā kopš 2025. gada augusta ANO ir reģistrējusi trīs nāves gadījumus apcietinājumā, kas saistīti ar nepiemērotiem apstākļiem un medicīnisko aprūpi;</w:t>
      </w:r>
    </w:p>
    <w:p w:rsidR="00634F13" w:rsidRPr="004B3820" w:rsidP="00634F13" w14:paraId="30E9EA37" w14:textId="77777777">
      <w:pPr>
        <w:pStyle w:val="NormalHanging12a"/>
      </w:pPr>
      <w:r w:rsidRPr="004B3820">
        <w:t>D.</w:t>
      </w:r>
      <w:r w:rsidRPr="004B3820">
        <w:tab/>
        <w:t xml:space="preserve">tā kā </w:t>
      </w:r>
      <w:r w:rsidRPr="004B3820">
        <w:rPr>
          <w:i/>
          <w:iCs/>
        </w:rPr>
        <w:t xml:space="preserve">Carlos </w:t>
      </w:r>
      <w:r w:rsidRPr="004B3820">
        <w:rPr>
          <w:i/>
          <w:iCs/>
        </w:rPr>
        <w:t>Brenes</w:t>
      </w:r>
      <w:r w:rsidRPr="004B3820">
        <w:t xml:space="preserve">, kas 2018. gadā tika aizturēts par pilsoniskiem protestiem un spīdzināts, tika atkal aizturēts kopā ar </w:t>
      </w:r>
      <w:r w:rsidRPr="004B3820">
        <w:rPr>
          <w:i/>
          <w:iCs/>
        </w:rPr>
        <w:t xml:space="preserve">Salvadora </w:t>
      </w:r>
      <w:r w:rsidRPr="004B3820">
        <w:rPr>
          <w:i/>
          <w:iCs/>
        </w:rPr>
        <w:t>Martínez</w:t>
      </w:r>
      <w:r w:rsidRPr="004B3820">
        <w:t xml:space="preserve"> 2025. gada augustā un abi turēti apcietinājumā bez saziņas iespējām un notiesāti bez pienācīga tiesas procesa uz 15 gadiem par valsts nodevību; tā kā </w:t>
      </w:r>
      <w:r w:rsidRPr="004B3820">
        <w:rPr>
          <w:i/>
          <w:iCs/>
        </w:rPr>
        <w:t>C. </w:t>
      </w:r>
      <w:r w:rsidRPr="004B3820">
        <w:rPr>
          <w:i/>
          <w:iCs/>
        </w:rPr>
        <w:t>Brenes</w:t>
      </w:r>
      <w:r w:rsidRPr="004B3820">
        <w:t xml:space="preserve"> ir diabēta slimnieks un viņam tika liegtas zāles;</w:t>
      </w:r>
    </w:p>
    <w:p w:rsidR="00634F13" w:rsidRPr="004B3820" w:rsidP="00634F13" w14:paraId="18CB0EA8" w14:textId="77777777">
      <w:pPr>
        <w:pStyle w:val="NormalHanging12a"/>
        <w:rPr>
          <w:bCs/>
        </w:rPr>
      </w:pPr>
      <w:r w:rsidRPr="004B3820">
        <w:t>E.</w:t>
      </w:r>
      <w:r w:rsidRPr="004B3820">
        <w:tab/>
        <w:t xml:space="preserve">tā kā pirmiedzīvotāju </w:t>
      </w:r>
      <w:r w:rsidRPr="004B3820">
        <w:t>miskitu</w:t>
      </w:r>
      <w:r w:rsidRPr="004B3820">
        <w:t xml:space="preserve"> līderis un likvidētās partijas “</w:t>
      </w:r>
      <w:r w:rsidRPr="004B3820">
        <w:rPr>
          <w:i/>
          <w:iCs/>
        </w:rPr>
        <w:t>Yatama</w:t>
      </w:r>
      <w:r w:rsidRPr="004B3820">
        <w:t xml:space="preserve">” priekšsēdētājs </w:t>
      </w:r>
      <w:r w:rsidRPr="004B3820">
        <w:rPr>
          <w:i/>
          <w:iCs/>
        </w:rPr>
        <w:t>Brooklyn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Rivera</w:t>
      </w:r>
      <w:r w:rsidRPr="004B3820">
        <w:t xml:space="preserve"> 2023. gada septembrī tika aizturēts, pēc tam piespiedu kārtā pazuda uz ilgāk nekā uz 32 mēnešiem un 2026. gada 30. maijā nomira apcietinājumā,</w:t>
      </w:r>
    </w:p>
    <w:p w:rsidR="00634F13" w:rsidRPr="004B3820" w:rsidP="00634F13" w14:paraId="40FE123B" w14:textId="77777777">
      <w:pPr>
        <w:pStyle w:val="NormalHanging12a"/>
      </w:pPr>
      <w:r w:rsidRPr="004B3820">
        <w:t>1.</w:t>
      </w:r>
      <w:r w:rsidRPr="004B3820">
        <w:tab/>
        <w:t xml:space="preserve">stingri nosoda </w:t>
      </w:r>
      <w:r w:rsidRPr="004B3820">
        <w:rPr>
          <w:i/>
          <w:iCs/>
        </w:rPr>
        <w:t>Ortega-</w:t>
      </w:r>
      <w:r w:rsidRPr="004B3820">
        <w:rPr>
          <w:i/>
          <w:iCs/>
        </w:rPr>
        <w:t>Murillo</w:t>
      </w:r>
      <w:r w:rsidRPr="004B3820">
        <w:t xml:space="preserve"> režīma sistemātiskās represijas, patvaļīgu aizturēšanu, piespiedu pazušanu, fiktīvas tiesas prāvas, sūtīšanu trimdā, denacionalizāciju, konfiskāciju un noziegumus pret cilvēci;</w:t>
      </w:r>
    </w:p>
    <w:p w:rsidR="00634F13" w:rsidRPr="004B3820" w:rsidP="00634F13" w14:paraId="6E0E3B0C" w14:textId="77777777">
      <w:pPr>
        <w:pStyle w:val="NormalHanging12a"/>
      </w:pPr>
      <w:r w:rsidRPr="004B3820">
        <w:t>2.</w:t>
      </w:r>
      <w:r w:rsidRPr="004B3820">
        <w:tab/>
        <w:t xml:space="preserve">prasa nekavējoties un bez nosacījumiem atbrīvot </w:t>
      </w:r>
      <w:r w:rsidRPr="004B3820">
        <w:rPr>
          <w:i/>
          <w:iCs/>
        </w:rPr>
        <w:t>C.</w:t>
      </w:r>
      <w:r w:rsidRPr="004B3820">
        <w:t> </w:t>
      </w:r>
      <w:r w:rsidRPr="004B3820">
        <w:rPr>
          <w:i/>
          <w:iCs/>
        </w:rPr>
        <w:t>Brenes</w:t>
      </w:r>
      <w:r w:rsidRPr="004B3820">
        <w:t xml:space="preserve">, </w:t>
      </w:r>
      <w:r w:rsidRPr="004B3820">
        <w:rPr>
          <w:i/>
          <w:iCs/>
        </w:rPr>
        <w:t>S. </w:t>
      </w:r>
      <w:r w:rsidRPr="004B3820">
        <w:rPr>
          <w:i/>
          <w:iCs/>
        </w:rPr>
        <w:t>Martínez</w:t>
      </w:r>
      <w:r w:rsidRPr="004B3820">
        <w:t xml:space="preserve"> un visus politieslodzītos, anulēt politiski motivētus notiesājošus spriedumus, sniegt informāciju par viņu likteni un atrašanās vietu un nekavējoties apliecināt, ka viņi ir dzīvi;</w:t>
      </w:r>
    </w:p>
    <w:p w:rsidR="00634F13" w:rsidRPr="004B3820" w:rsidP="00634F13" w14:paraId="32FC1E7E" w14:textId="77777777">
      <w:pPr>
        <w:pStyle w:val="NormalHanging12a"/>
      </w:pPr>
      <w:r w:rsidRPr="004B3820">
        <w:t>3.</w:t>
      </w:r>
      <w:r w:rsidRPr="004B3820">
        <w:tab/>
        <w:t>mudina iestādes nodrošināt visiem aizturētajiem piekļuvi ģimenei un advokātiem, medicīnisko aprūpi un starptautisko uzraudzību, piemērojot Nelsona Mandelas noteikumus; aicina izveidot ANO cilvēktiesību mehānismus, lai atgūtu piekļuvi aizturēšanas centriem;</w:t>
      </w:r>
    </w:p>
    <w:p w:rsidR="00634F13" w:rsidRPr="004B3820" w:rsidP="00634F13" w14:paraId="0D2A873E" w14:textId="77777777">
      <w:pPr>
        <w:pStyle w:val="NormalHanging12a"/>
      </w:pPr>
      <w:r w:rsidRPr="004B3820">
        <w:t>4.</w:t>
      </w:r>
      <w:r w:rsidRPr="004B3820">
        <w:tab/>
        <w:t xml:space="preserve">prasa nekavējoties izmeklēt </w:t>
      </w:r>
      <w:r w:rsidRPr="004B3820">
        <w:rPr>
          <w:i/>
          <w:iCs/>
        </w:rPr>
        <w:t>Brooklyn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Rivera</w:t>
      </w:r>
      <w:r w:rsidRPr="004B3820">
        <w:t xml:space="preserve"> nāvi, atgriezt viņa mirstīgās atliekas, atbrīvot pazudušos radiniekus un saukt pie atbildības vainīgos;</w:t>
      </w:r>
    </w:p>
    <w:p w:rsidR="00634F13" w:rsidRPr="004B3820" w:rsidP="00634F13" w14:paraId="3393033B" w14:textId="77777777">
      <w:pPr>
        <w:pStyle w:val="NormalHanging12a"/>
      </w:pPr>
      <w:r w:rsidRPr="004B3820">
        <w:t>5.</w:t>
      </w:r>
      <w:r w:rsidRPr="004B3820">
        <w:tab/>
        <w:t>nosoda kristiešu baznīcu, pirmiedzīvotāju, pilsoniskās sabiedrības, oponentu un viņu radinieku vajāšanu; prasa atjaunot visas patvaļīgi likvidētās organizācijas un ievērot reliģijas un ticības brīvību;</w:t>
      </w:r>
    </w:p>
    <w:p w:rsidR="00634F13" w:rsidRPr="004B3820" w:rsidP="00634F13" w14:paraId="29EFC0A2" w14:textId="77777777">
      <w:pPr>
        <w:pStyle w:val="NormalHanging12a"/>
      </w:pPr>
      <w:r w:rsidRPr="004B3820">
        <w:t>6.</w:t>
      </w:r>
      <w:r w:rsidRPr="004B3820">
        <w:tab/>
        <w:t xml:space="preserve">prasa atbalstīt demokrātiskos dalībniekus un pilsonisko sabiedrību Nikaragvā un trimdā; prasa ES nodrošināt, ka neviens ES vai daudzpusējs finansējums nestiprina režīmu, un paplašināt mērķtiecīgas sankcijas pret vainīgajiem, tostarp pret </w:t>
      </w:r>
      <w:r w:rsidRPr="004B3820">
        <w:rPr>
          <w:i/>
          <w:iCs/>
        </w:rPr>
        <w:t>Daniel Ortega</w:t>
      </w:r>
      <w:r w:rsidRPr="004B3820">
        <w:t xml:space="preserve"> un viņa tuvāko loku;</w:t>
      </w:r>
    </w:p>
    <w:p w:rsidR="00634F13" w:rsidRPr="004B3820" w:rsidP="00634F13" w14:paraId="6DBDC44A" w14:textId="77777777">
      <w:pPr>
        <w:pStyle w:val="NormalHanging12a"/>
      </w:pPr>
      <w:r w:rsidRPr="004B3820">
        <w:t>7.</w:t>
      </w:r>
      <w:r w:rsidRPr="004B3820">
        <w:tab/>
        <w:t xml:space="preserve">mudina ievērot </w:t>
      </w:r>
      <w:r w:rsidRPr="004B3820">
        <w:rPr>
          <w:i/>
          <w:iCs/>
        </w:rPr>
        <w:t>IACtHR</w:t>
      </w:r>
      <w:r w:rsidRPr="004B3820">
        <w:t xml:space="preserve"> nolēmumu; atbalsta </w:t>
      </w:r>
      <w:r w:rsidRPr="004B3820">
        <w:t>pārskatatbildību</w:t>
      </w:r>
      <w:r w:rsidRPr="004B3820">
        <w:t xml:space="preserve">, tostarp izmantojot universālu jurisdikciju un nododot lietu izskatīšanai Starptautiskajā Krimināltiesā; atgādina savu nostāju attiecībā uz </w:t>
      </w:r>
      <w:r w:rsidRPr="004B3820">
        <w:rPr>
          <w:i/>
          <w:iCs/>
        </w:rPr>
        <w:t>Alessio</w:t>
      </w:r>
      <w:r w:rsidRPr="004B3820">
        <w:rPr>
          <w:i/>
          <w:iCs/>
        </w:rPr>
        <w:t xml:space="preserve"> </w:t>
      </w:r>
      <w:r w:rsidRPr="004B3820">
        <w:rPr>
          <w:i/>
          <w:iCs/>
        </w:rPr>
        <w:t>Casimirri</w:t>
      </w:r>
      <w:r w:rsidRPr="004B3820">
        <w:t xml:space="preserve"> izdošanu;</w:t>
      </w:r>
    </w:p>
    <w:p w:rsidR="00634F13" w:rsidRPr="004B3820" w:rsidP="00634F13" w14:paraId="242048FD" w14:textId="77777777">
      <w:pPr>
        <w:pStyle w:val="NormalHanging12a"/>
      </w:pPr>
      <w:r w:rsidRPr="004B3820">
        <w:t>8.</w:t>
      </w:r>
      <w:r w:rsidRPr="004B3820">
        <w:tab/>
        <w:t xml:space="preserve">aicina Padomi un Komisiju iedarbināt demokrātijas klauzulu un apturēt asociācijas nolīguma piemērošanu attiecībā uz Nikaragvu, kamēr turpinās represijas; uzsver, ka Parlaments neiesaistīsies attiecībās ar režīma pārstāvjiem </w:t>
      </w:r>
      <w:r w:rsidRPr="004B3820">
        <w:t>jaunizveidotajā</w:t>
      </w:r>
      <w:r w:rsidRPr="004B3820">
        <w:t xml:space="preserve"> Asociācijas parlamentārajā komitejā;</w:t>
      </w:r>
    </w:p>
    <w:p w:rsidR="00E365E1" w:rsidRPr="004B3820" w:rsidP="004B3820" w14:paraId="0F57AA8E" w14:textId="3112786E">
      <w:pPr>
        <w:ind w:left="567" w:hanging="567"/>
      </w:pPr>
      <w:r w:rsidRPr="004B3820">
        <w:t>9.</w:t>
      </w:r>
      <w:r w:rsidRPr="004B3820">
        <w:tab/>
        <w:t>uzdod priekšsēdētājai šo rezolūciju nosūtīt Padomei, Komisijai, AP/PV, dalībvalstīm, ANO, Amerikas valstu organizācijai un Nikaragvas varas iestādēm.</w:t>
      </w:r>
    </w:p>
    <w:sectPr w:rsidSect="00996B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6B73" w14:paraId="29E45B3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6B73" w14:paraId="7926797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6B73" w14:paraId="714A596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6B73" w14:paraId="31667D3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6B73" w14:paraId="2BA147C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6B73" w14:paraId="7F4F5FA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1032959">
    <w:abstractNumId w:val="9"/>
  </w:num>
  <w:num w:numId="2" w16cid:durableId="151603794">
    <w:abstractNumId w:val="9"/>
  </w:num>
  <w:num w:numId="3" w16cid:durableId="1841844593">
    <w:abstractNumId w:val="7"/>
  </w:num>
  <w:num w:numId="4" w16cid:durableId="2632438">
    <w:abstractNumId w:val="7"/>
  </w:num>
  <w:num w:numId="5" w16cid:durableId="441461107">
    <w:abstractNumId w:val="6"/>
  </w:num>
  <w:num w:numId="6" w16cid:durableId="38289426">
    <w:abstractNumId w:val="6"/>
  </w:num>
  <w:num w:numId="7" w16cid:durableId="562133104">
    <w:abstractNumId w:val="5"/>
  </w:num>
  <w:num w:numId="8" w16cid:durableId="887299614">
    <w:abstractNumId w:val="5"/>
  </w:num>
  <w:num w:numId="9" w16cid:durableId="1498228448">
    <w:abstractNumId w:val="4"/>
  </w:num>
  <w:num w:numId="10" w16cid:durableId="375349049">
    <w:abstractNumId w:val="4"/>
  </w:num>
  <w:num w:numId="11" w16cid:durableId="928778296">
    <w:abstractNumId w:val="8"/>
  </w:num>
  <w:num w:numId="12" w16cid:durableId="1681010707">
    <w:abstractNumId w:val="8"/>
  </w:num>
  <w:num w:numId="13" w16cid:durableId="1060983282">
    <w:abstractNumId w:val="3"/>
  </w:num>
  <w:num w:numId="14" w16cid:durableId="432363577">
    <w:abstractNumId w:val="3"/>
  </w:num>
  <w:num w:numId="15" w16cid:durableId="2104107132">
    <w:abstractNumId w:val="2"/>
  </w:num>
  <w:num w:numId="16" w16cid:durableId="1219128884">
    <w:abstractNumId w:val="2"/>
  </w:num>
  <w:num w:numId="17" w16cid:durableId="170802887">
    <w:abstractNumId w:val="1"/>
  </w:num>
  <w:num w:numId="18" w16cid:durableId="1229077957">
    <w:abstractNumId w:val="1"/>
  </w:num>
  <w:num w:numId="19" w16cid:durableId="1497527362">
    <w:abstractNumId w:val="0"/>
  </w:num>
  <w:num w:numId="20" w16cid:durableId="2001078461">
    <w:abstractNumId w:val="0"/>
  </w:num>
  <w:num w:numId="21" w16cid:durableId="1152407157">
    <w:abstractNumId w:val="9"/>
  </w:num>
  <w:num w:numId="22" w16cid:durableId="867254016">
    <w:abstractNumId w:val="7"/>
  </w:num>
  <w:num w:numId="23" w16cid:durableId="421990505">
    <w:abstractNumId w:val="6"/>
  </w:num>
  <w:num w:numId="24" w16cid:durableId="1665426794">
    <w:abstractNumId w:val="5"/>
  </w:num>
  <w:num w:numId="25" w16cid:durableId="353581239">
    <w:abstractNumId w:val="4"/>
  </w:num>
  <w:num w:numId="26" w16cid:durableId="1112700753">
    <w:abstractNumId w:val="8"/>
  </w:num>
  <w:num w:numId="27" w16cid:durableId="1880969187">
    <w:abstractNumId w:val="3"/>
  </w:num>
  <w:num w:numId="28" w16cid:durableId="605425608">
    <w:abstractNumId w:val="2"/>
  </w:num>
  <w:num w:numId="29" w16cid:durableId="322658841">
    <w:abstractNumId w:val="1"/>
  </w:num>
  <w:num w:numId="30" w16cid:durableId="1830824609">
    <w:abstractNumId w:val="0"/>
  </w:num>
  <w:num w:numId="31" w16cid:durableId="704864512">
    <w:abstractNumId w:val="9"/>
  </w:num>
  <w:num w:numId="32" w16cid:durableId="802119091">
    <w:abstractNumId w:val="7"/>
  </w:num>
  <w:num w:numId="33" w16cid:durableId="289753488">
    <w:abstractNumId w:val="6"/>
  </w:num>
  <w:num w:numId="34" w16cid:durableId="1279800500">
    <w:abstractNumId w:val="5"/>
  </w:num>
  <w:num w:numId="35" w16cid:durableId="420680180">
    <w:abstractNumId w:val="4"/>
  </w:num>
  <w:num w:numId="36" w16cid:durableId="1072235926">
    <w:abstractNumId w:val="8"/>
  </w:num>
  <w:num w:numId="37" w16cid:durableId="1276474490">
    <w:abstractNumId w:val="3"/>
  </w:num>
  <w:num w:numId="38" w16cid:durableId="2107849678">
    <w:abstractNumId w:val="2"/>
  </w:num>
  <w:num w:numId="39" w16cid:durableId="1652783513">
    <w:abstractNumId w:val="1"/>
  </w:num>
  <w:num w:numId="40" w16cid:durableId="379598872">
    <w:abstractNumId w:val="0"/>
  </w:num>
  <w:num w:numId="41" w16cid:durableId="457795458">
    <w:abstractNumId w:val="10"/>
  </w:num>
  <w:num w:numId="42" w16cid:durableId="1862475502">
    <w:abstractNumId w:val="10"/>
  </w:num>
  <w:num w:numId="43" w16cid:durableId="218054738">
    <w:abstractNumId w:val="10"/>
  </w:num>
  <w:num w:numId="44" w16cid:durableId="1742947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988"/>
    <w:rsid w:val="00002272"/>
    <w:rsid w:val="0004798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AC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82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F13"/>
    <w:rsid w:val="006631B6"/>
    <w:rsid w:val="0067060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B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A4A"/>
    <w:rsid w:val="00F5134D"/>
    <w:rsid w:val="00F74202"/>
    <w:rsid w:val="00F85A81"/>
    <w:rsid w:val="00F87713"/>
    <w:rsid w:val="00FB4360"/>
    <w:rsid w:val="00FD0C70"/>
  </w:rsids>
  <w:docVars>
    <w:docVar w:name="dvdocse" w:val="B10-0292/2026"/>
    <w:docVar w:name="dvlangue" w:val="LV"/>
    <w:docVar w:name="dvnumam" w:val="0"/>
    <w:docVar w:name="dvpe" w:val="783.349"/>
    <w:docVar w:name="dvtitre" w:val="Eiropas Parlamenta 2026. gada XX. XXX  rezolūcija par politieslodzītajiem Nikaragvā – Carlos Brenes, Salvadora del Socorro Martínez Aburto un Brooklyn Rivera lietas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EEA127"/>
  <w15:chartTrackingRefBased/>
  <w15:docId w15:val="{328E9A3A-9888-4483-9897-D299541E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34F13"/>
    <w:rPr>
      <w:b/>
    </w:rPr>
  </w:style>
  <w:style w:type="paragraph" w:customStyle="1" w:styleId="NormalHanging12a">
    <w:name w:val="NormalHanging12a"/>
    <w:basedOn w:val="Normal"/>
    <w:link w:val="NormalHanging12aChar"/>
    <w:rsid w:val="00634F1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34F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34F13"/>
    <w:rPr>
      <w:sz w:val="24"/>
      <w:lang w:val="lv-LV"/>
    </w:rPr>
  </w:style>
  <w:style w:type="character" w:customStyle="1" w:styleId="EPCommaChar">
    <w:name w:val="EPComma Char"/>
    <w:basedOn w:val="DefaultParagraphFont"/>
    <w:link w:val="EPComma"/>
    <w:rsid w:val="00634F13"/>
    <w:rPr>
      <w:sz w:val="24"/>
      <w:lang w:val="lv-LV"/>
    </w:rPr>
  </w:style>
  <w:style w:type="paragraph" w:styleId="Revision">
    <w:name w:val="Revision"/>
    <w:hidden/>
    <w:uiPriority w:val="99"/>
    <w:semiHidden/>
    <w:rsid w:val="00F85A81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2026-06-18T10:33:00Z</dcterms:created>
  <dcterms:modified xsi:type="dcterms:W3CDTF">2026-06-18T10:33:00Z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B10-0292/2026</vt:lpwstr>
  </property>
  <property fmtid="{D5CDD505-2E9C-101B-9397-08002B2CF9AE}" pid="4" name="&lt;Type&gt;">
    <vt:lpwstr>RR</vt:lpwstr>
  </property>
</Properties>
</file>