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7E9115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020D6" w:rsidP="0010095E" w14:paraId="00BB2B5D" w14:textId="71FCF899">
            <w:pPr>
              <w:pStyle w:val="EPName"/>
            </w:pPr>
            <w:r w:rsidRPr="00C020D6">
              <w:t>Parlament Europejski</w:t>
            </w:r>
          </w:p>
          <w:p w:rsidR="00751A4A" w:rsidRPr="00C020D6" w:rsidP="005F1B17" w14:paraId="277B3A7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20D6">
              <w:t>2024</w:t>
            </w:r>
            <w:r w:rsidRPr="00C020D6" w:rsidR="00817416">
              <w:t>-202</w:t>
            </w:r>
            <w:r w:rsidRPr="00C020D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020D6" w:rsidP="0010095E" w14:paraId="3D7EE377" w14:textId="77777777">
            <w:pPr>
              <w:pStyle w:val="EPLogo"/>
            </w:pPr>
            <w:r w:rsidRPr="00C020D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20D6" w:rsidP="004C5D52" w14:paraId="534B8602" w14:textId="77777777">
      <w:pPr>
        <w:pStyle w:val="LineTop"/>
      </w:pPr>
    </w:p>
    <w:p w:rsidR="00680577" w:rsidRPr="00C020D6" w:rsidP="00680577" w14:paraId="1360CC2D" w14:textId="13346EC6">
      <w:pPr>
        <w:pStyle w:val="EPBodyTA1"/>
      </w:pPr>
      <w:r w:rsidRPr="00C020D6">
        <w:t>TEKSTY PRZYJĘTE</w:t>
      </w:r>
    </w:p>
    <w:p w:rsidR="00D058B8" w:rsidRPr="00C020D6" w:rsidP="00D058B8" w14:paraId="03859ED6" w14:textId="77777777">
      <w:pPr>
        <w:pStyle w:val="LineBottom"/>
      </w:pPr>
    </w:p>
    <w:p w:rsidR="0025299D" w:rsidRPr="00C020D6" w:rsidP="0025299D" w14:paraId="10EE7297" w14:textId="43DAF5C7">
      <w:pPr>
        <w:pStyle w:val="ATHeading1"/>
      </w:pPr>
      <w:bookmarkStart w:id="0" w:name="TANumber"/>
      <w:r w:rsidRPr="00C020D6">
        <w:t>P10_TA(2026)0</w:t>
      </w:r>
      <w:bookmarkEnd w:id="0"/>
      <w:r w:rsidR="006E67DE">
        <w:t>223</w:t>
      </w:r>
    </w:p>
    <w:p w:rsidR="0025299D" w:rsidRPr="00C020D6" w:rsidP="0025299D" w14:paraId="0AE15CD0" w14:textId="77777777">
      <w:pPr>
        <w:pStyle w:val="ATHeading2"/>
      </w:pPr>
      <w:bookmarkStart w:id="1" w:name="title"/>
      <w:r w:rsidRPr="00C020D6">
        <w:t xml:space="preserve">Więźniowie polityczni w Nikaragui – przypadki Carlosa </w:t>
      </w:r>
      <w:r w:rsidRPr="00C020D6">
        <w:t>Brenesa</w:t>
      </w:r>
      <w:r w:rsidRPr="00C020D6">
        <w:t xml:space="preserve">, Salvadory del </w:t>
      </w:r>
      <w:r w:rsidRPr="00C020D6">
        <w:t>Socorro</w:t>
      </w:r>
      <w:r w:rsidRPr="00C020D6">
        <w:t xml:space="preserve"> </w:t>
      </w:r>
      <w:r w:rsidRPr="00C020D6">
        <w:t>Martínez</w:t>
      </w:r>
      <w:r w:rsidRPr="00C020D6">
        <w:t xml:space="preserve"> </w:t>
      </w:r>
      <w:r w:rsidRPr="00C020D6">
        <w:t>Aburto</w:t>
      </w:r>
      <w:r w:rsidRPr="00C020D6">
        <w:t xml:space="preserve"> i </w:t>
      </w:r>
      <w:r w:rsidRPr="00C020D6">
        <w:t>Brooklyna</w:t>
      </w:r>
      <w:r w:rsidRPr="00C020D6">
        <w:t xml:space="preserve"> Rivery</w:t>
      </w:r>
      <w:bookmarkEnd w:id="1"/>
    </w:p>
    <w:p w:rsidR="0025299D" w:rsidRPr="00C020D6" w:rsidP="0025299D" w14:paraId="4F61935A" w14:textId="13CFD419">
      <w:pPr>
        <w:rPr>
          <w:i/>
          <w:vanish/>
        </w:rPr>
      </w:pPr>
      <w:r>
        <w:rPr>
          <w:i/>
        </w:rPr>
        <w:fldChar w:fldCharType="begin"/>
      </w:r>
      <w:r w:rsidRPr="00C020D6">
        <w:rPr>
          <w:i/>
        </w:rPr>
        <w:instrText xml:space="preserve"> TC"(</w:instrText>
      </w:r>
      <w:bookmarkStart w:id="2" w:name="DocNumber"/>
      <w:r w:rsidRPr="004E4A84" w:rsidR="00A45444">
        <w:rPr>
          <w:i/>
        </w:rPr>
        <w:instrText>B10-0292</w:instrText>
      </w:r>
      <w:r w:rsidR="00A45444">
        <w:rPr>
          <w:i/>
        </w:rPr>
        <w:instrText>, 0293, 0314, 0315 oraz 0317</w:instrText>
      </w:r>
      <w:r w:rsidRPr="004E4A84" w:rsidR="00A45444">
        <w:rPr>
          <w:i/>
        </w:rPr>
        <w:instrText>/2026</w:instrText>
      </w:r>
      <w:bookmarkEnd w:id="2"/>
      <w:r w:rsidRPr="00C020D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25299D" w:rsidRPr="00C020D6" w:rsidP="0025299D" w14:paraId="74510BB9" w14:textId="77777777">
      <w:pPr>
        <w:rPr>
          <w:vanish/>
        </w:rPr>
      </w:pPr>
      <w:bookmarkStart w:id="3" w:name="PE"/>
      <w:r w:rsidRPr="00C020D6">
        <w:rPr>
          <w:vanish/>
        </w:rPr>
        <w:t>PE783.349</w:t>
      </w:r>
      <w:bookmarkEnd w:id="3"/>
    </w:p>
    <w:p w:rsidR="0025299D" w:rsidRPr="00C020D6" w:rsidP="0025299D" w14:paraId="074BD384" w14:textId="20656B26">
      <w:pPr>
        <w:pStyle w:val="ATHeading3"/>
      </w:pPr>
      <w:bookmarkStart w:id="4" w:name="Sujet"/>
      <w:r w:rsidRPr="00C020D6">
        <w:t xml:space="preserve">Rezolucja Parlamentu Europejskiego z dnia </w:t>
      </w:r>
      <w:r w:rsidR="00A45444">
        <w:t>18 czerwca</w:t>
      </w:r>
      <w:r w:rsidRPr="00C020D6">
        <w:t xml:space="preserve"> 2026 r. w sprawie więźniów politycznych w Nikaragui – przypadki Carlosa </w:t>
      </w:r>
      <w:r w:rsidRPr="00C020D6">
        <w:t>Brenesa</w:t>
      </w:r>
      <w:r w:rsidRPr="00C020D6">
        <w:t xml:space="preserve">, Salvadory del </w:t>
      </w:r>
      <w:r w:rsidRPr="00C020D6">
        <w:t>Socorro</w:t>
      </w:r>
      <w:r w:rsidRPr="00C020D6">
        <w:t xml:space="preserve"> </w:t>
      </w:r>
      <w:r w:rsidRPr="00C020D6">
        <w:t>Martínez</w:t>
      </w:r>
      <w:r w:rsidRPr="00C020D6">
        <w:t xml:space="preserve"> </w:t>
      </w:r>
      <w:r w:rsidRPr="00C020D6">
        <w:t>Aburto</w:t>
      </w:r>
      <w:r w:rsidRPr="00C020D6">
        <w:t xml:space="preserve"> i </w:t>
      </w:r>
      <w:r w:rsidRPr="00C020D6">
        <w:t>Brooklyna</w:t>
      </w:r>
      <w:r w:rsidRPr="00C020D6">
        <w:t xml:space="preserve"> Rivery</w:t>
      </w:r>
      <w:bookmarkEnd w:id="4"/>
      <w:r w:rsidRPr="00C020D6">
        <w:t xml:space="preserve"> </w:t>
      </w:r>
      <w:bookmarkStart w:id="5" w:name="References"/>
      <w:r w:rsidRPr="00C020D6">
        <w:t>(2026/2765(RSP))</w:t>
      </w:r>
      <w:bookmarkEnd w:id="5"/>
    </w:p>
    <w:p w:rsidR="001E0337" w:rsidRPr="00C020D6" w:rsidP="001E0337" w14:paraId="3C876993" w14:textId="77777777">
      <w:pPr>
        <w:pStyle w:val="EPComma"/>
      </w:pPr>
      <w:bookmarkStart w:id="6" w:name="TextBodyBegin"/>
      <w:bookmarkEnd w:id="6"/>
      <w:r w:rsidRPr="00C020D6">
        <w:rPr>
          <w:i/>
        </w:rPr>
        <w:t>Parlament Europejski</w:t>
      </w:r>
      <w:r w:rsidRPr="00C020D6">
        <w:t>,</w:t>
      </w:r>
    </w:p>
    <w:p w:rsidR="001E0337" w:rsidRPr="00C020D6" w:rsidP="001E0337" w14:paraId="31EA0040" w14:textId="77777777">
      <w:pPr>
        <w:pStyle w:val="NormalHanging12a"/>
      </w:pPr>
      <w:r w:rsidRPr="00C020D6">
        <w:t>–</w:t>
      </w:r>
      <w:r w:rsidRPr="00C020D6">
        <w:tab/>
        <w:t>uwzględniając art. 150 ust. 5 i art. 136 ust. 4 Regulaminu,</w:t>
      </w:r>
    </w:p>
    <w:p w:rsidR="001E0337" w:rsidRPr="00C020D6" w:rsidP="001E0337" w14:paraId="7918548A" w14:textId="77777777">
      <w:pPr>
        <w:pStyle w:val="NormalHanging12a"/>
      </w:pPr>
      <w:r w:rsidRPr="00C020D6">
        <w:t>A.</w:t>
      </w:r>
      <w:r w:rsidRPr="00C020D6">
        <w:tab/>
        <w:t xml:space="preserve">mając na uwadze, że od 2018 r. reżim Ortegi i Murillo </w:t>
      </w:r>
      <w:r w:rsidRPr="00C020D6">
        <w:t>likwiduje</w:t>
      </w:r>
      <w:r w:rsidRPr="00C020D6">
        <w:t xml:space="preserve"> instytucje demokratyczne i rządy prawa, reforma konstytucyjna zniosła pluralizm polityczny, a jednocześnie dochodzi do prześladowań przeciwników politycznych, dziennikarzy, duchownych, przywódców ludów tubylczych, obrońców praw człowieka i społeczeństwa obywatelskiego;</w:t>
      </w:r>
    </w:p>
    <w:p w:rsidR="001E0337" w:rsidRPr="00C020D6" w:rsidP="001E0337" w14:paraId="3570224D" w14:textId="77777777">
      <w:pPr>
        <w:pStyle w:val="NormalHanging12a"/>
      </w:pPr>
      <w:r w:rsidRPr="00C020D6">
        <w:t>B.</w:t>
      </w:r>
      <w:r w:rsidRPr="00C020D6">
        <w:tab/>
        <w:t>mając na uwadze, że grupa ekspertów ds. praw człowieka w Nikaragui stwierdziła, iż trwające od 2018 r. naruszenia tych praw mogą stanowić zbrodnie przeciwko ludzkości; mając na uwadze, że przestrzeń społeczeństwa obywatelskiego jest faktycznie zamknięta – zlikwidowano ponad 5600 organizacji pozarządowych i 80 % organizacji społeczeństwa obywatelskiego, a setki tysięcy osób siłą wygnano;</w:t>
      </w:r>
    </w:p>
    <w:p w:rsidR="001E0337" w:rsidRPr="00C020D6" w:rsidP="001E0337" w14:paraId="29E0BAAB" w14:textId="77777777">
      <w:pPr>
        <w:pStyle w:val="NormalHanging12a"/>
      </w:pPr>
      <w:r w:rsidRPr="00C020D6">
        <w:t>C.</w:t>
      </w:r>
      <w:r w:rsidRPr="00C020D6">
        <w:tab/>
        <w:t>mając na uwadze, że organizacje praw człowieka dokumentują arbitralne aresztowania, zatrzymania bez prawa kontaktu i wymuszone zaginięcia; mając na uwadze, że od sierpnia 2025 r. ONZ odnotowała trzy przypadki śmierci w areszcie związane z nieodpowiednimi warunkami i brakiem opieki medycznej;</w:t>
      </w:r>
    </w:p>
    <w:p w:rsidR="001E0337" w:rsidRPr="00C020D6" w:rsidP="001E0337" w14:paraId="2D65EBAB" w14:textId="77777777">
      <w:pPr>
        <w:pStyle w:val="NormalHanging12a"/>
      </w:pPr>
      <w:r w:rsidRPr="00C020D6">
        <w:t>D.</w:t>
      </w:r>
      <w:r w:rsidRPr="00C020D6">
        <w:tab/>
        <w:t xml:space="preserve">mając na uwadze, że Carlosa </w:t>
      </w:r>
      <w:r w:rsidRPr="00C020D6">
        <w:t>Brenesa</w:t>
      </w:r>
      <w:r w:rsidRPr="00C020D6">
        <w:t xml:space="preserve">, zatrzymanego w 2018 r. za protest obywatelski i torturowanego, oraz </w:t>
      </w:r>
      <w:r w:rsidRPr="00C020D6">
        <w:t>Salvadorę</w:t>
      </w:r>
      <w:r w:rsidRPr="00C020D6">
        <w:t xml:space="preserve"> </w:t>
      </w:r>
      <w:r w:rsidRPr="00C020D6">
        <w:t>Martínez</w:t>
      </w:r>
      <w:r w:rsidRPr="00C020D6">
        <w:t xml:space="preserve"> ponownie uwięziono w sierpniu 2025 r., przetrzymywano bez prawa kontaktu i skazano bez rzetelnego procesu sądowego na 15 lat za „zdradę”; mając na uwadze, że C. </w:t>
      </w:r>
      <w:r w:rsidRPr="00C020D6">
        <w:t>Brenes</w:t>
      </w:r>
      <w:r w:rsidRPr="00C020D6">
        <w:t xml:space="preserve"> choruje na cukrzycę i odmówiono mu dostępu do leków;</w:t>
      </w:r>
    </w:p>
    <w:p w:rsidR="001E0337" w:rsidRPr="00C020D6" w:rsidP="001E0337" w14:paraId="3A0EC5C7" w14:textId="77777777">
      <w:pPr>
        <w:pStyle w:val="NormalHanging12a"/>
        <w:rPr>
          <w:bCs/>
        </w:rPr>
      </w:pPr>
      <w:r w:rsidRPr="00C020D6">
        <w:t>E.</w:t>
      </w:r>
      <w:r w:rsidRPr="00C020D6">
        <w:tab/>
        <w:t xml:space="preserve">mając na uwadze, że Brooklyn Rivera, przywódca ludu tubylczego </w:t>
      </w:r>
      <w:r w:rsidRPr="00C020D6">
        <w:t>Miskitu</w:t>
      </w:r>
      <w:r w:rsidRPr="00C020D6">
        <w:t xml:space="preserve"> i przewodniczący rozwiązanej partii </w:t>
      </w:r>
      <w:r w:rsidRPr="00C020D6">
        <w:t>Yatama</w:t>
      </w:r>
      <w:r w:rsidRPr="00C020D6">
        <w:t xml:space="preserve">, został zatrzymany we wrześniu 2023 r., zaginął pod przymusem na ponad 32 miesiące i zmarł w areszcie 30 maja 2026 r.; mając </w:t>
      </w:r>
      <w:r w:rsidRPr="00C020D6">
        <w:t>na uwadze, że władze odmówiły wydania jego ciała, a krewni starający się o jego szczątki zaginęli;</w:t>
      </w:r>
    </w:p>
    <w:p w:rsidR="001E0337" w:rsidRPr="00C020D6" w:rsidP="001E0337" w14:paraId="63C64825" w14:textId="77777777">
      <w:pPr>
        <w:pStyle w:val="NormalHanging12a"/>
      </w:pPr>
      <w:r w:rsidRPr="00C020D6">
        <w:t>1.</w:t>
      </w:r>
      <w:r w:rsidRPr="00C020D6">
        <w:tab/>
        <w:t>zdecydowanie potępia systematyczne represje, arbitralne zatrzymania, wymuszone zaginięcia, fikcyjne procesy, wygnania, denacjonalizację, konfiskaty i zbrodnie przeciwko ludzkości reżimu Ortegi i Murillo;</w:t>
      </w:r>
    </w:p>
    <w:p w:rsidR="001E0337" w:rsidRPr="00C020D6" w:rsidP="001E0337" w14:paraId="48CAA003" w14:textId="77777777">
      <w:pPr>
        <w:pStyle w:val="NormalHanging12a"/>
      </w:pPr>
      <w:r w:rsidRPr="00C020D6">
        <w:t>2.</w:t>
      </w:r>
      <w:r w:rsidRPr="00C020D6">
        <w:tab/>
        <w:t xml:space="preserve">domaga się natychmiastowego i bezwarunkowego uwolnienia C. </w:t>
      </w:r>
      <w:r w:rsidRPr="00C020D6">
        <w:t>Brenesa</w:t>
      </w:r>
      <w:r w:rsidRPr="00C020D6">
        <w:t xml:space="preserve">, S. </w:t>
      </w:r>
      <w:r w:rsidRPr="00C020D6">
        <w:t>Martínez</w:t>
      </w:r>
      <w:r w:rsidRPr="00C020D6">
        <w:t xml:space="preserve"> i wszystkich więźniów politycznych, uchylenia motywowanych politycznie wyroków skazujących, poinformowania o losie i miejscu pobytu więźniów oraz natychmiastowego potwierdzenia, że pozostają oni przy życiu;</w:t>
      </w:r>
    </w:p>
    <w:p w:rsidR="001E0337" w:rsidRPr="00C020D6" w:rsidP="001E0337" w14:paraId="20697480" w14:textId="77777777">
      <w:pPr>
        <w:pStyle w:val="NormalHanging12a"/>
      </w:pPr>
      <w:r w:rsidRPr="00C020D6">
        <w:t>3.</w:t>
      </w:r>
      <w:r w:rsidRPr="00C020D6">
        <w:tab/>
        <w:t>wzywa władze do zapewnienia wszystkim zatrzymanym dostępu do rodzin i prawników oraz do opieki medycznej i wprowadzenia nadzoru międzynarodowego, zgodnie z regułami Nelsona Mandeli; wzywa mechanizmy ONZ na rzecz praw człowieka do odzyskania dostępu do obiektów więziennych;</w:t>
      </w:r>
    </w:p>
    <w:p w:rsidR="001E0337" w:rsidRPr="00C020D6" w:rsidP="001E0337" w14:paraId="08A70B13" w14:textId="77777777">
      <w:pPr>
        <w:pStyle w:val="NormalHanging12a"/>
      </w:pPr>
      <w:r w:rsidRPr="00C020D6">
        <w:t>4.</w:t>
      </w:r>
      <w:r w:rsidRPr="00C020D6">
        <w:tab/>
        <w:t xml:space="preserve">apeluje o szybkie przeprowadzenie śledztwa w sprawie śmierci </w:t>
      </w:r>
      <w:r w:rsidRPr="00C020D6">
        <w:t>Brooklyna</w:t>
      </w:r>
      <w:r w:rsidRPr="00C020D6">
        <w:t xml:space="preserve"> Rivery, zwrot jego szczątków, uwolnienie zaginionych krewnych i pociągnięcie winnych do odpowiedzialności;</w:t>
      </w:r>
    </w:p>
    <w:p w:rsidR="001E0337" w:rsidRPr="00C020D6" w:rsidP="001E0337" w14:paraId="0B6090B4" w14:textId="77777777">
      <w:pPr>
        <w:pStyle w:val="NormalHanging12a"/>
      </w:pPr>
      <w:r w:rsidRPr="00C020D6">
        <w:t>5.</w:t>
      </w:r>
      <w:r w:rsidRPr="00C020D6">
        <w:tab/>
        <w:t>potępia prześladowanie kościołów chrześcijańskich, ludów tubylczych, społeczeństwa obywatelskiego, przeciwników politycznych i ich krewnych; apeluje o przywrócenie wszystkich arbitralnie rozwiązanych organizacji oraz o poszanowanie wolności religii i przekonań;</w:t>
      </w:r>
    </w:p>
    <w:p w:rsidR="001E0337" w:rsidRPr="00C020D6" w:rsidP="001E0337" w14:paraId="129BF0BB" w14:textId="77777777">
      <w:pPr>
        <w:pStyle w:val="NormalHanging12a"/>
      </w:pPr>
      <w:r w:rsidRPr="00C020D6">
        <w:t>6.</w:t>
      </w:r>
      <w:r w:rsidRPr="00C020D6">
        <w:tab/>
        <w:t>apeluje o wspieranie podmiotów demokratycznych i społeczeństwa obywatelskiego w Nikaragui i na uchodźstwie; wzywa UE do dopilnowania, aby reżimu</w:t>
      </w:r>
      <w:r w:rsidRPr="00C020D6">
        <w:rPr>
          <w:b/>
          <w:bCs/>
        </w:rPr>
        <w:t xml:space="preserve"> </w:t>
      </w:r>
      <w:r w:rsidRPr="00C020D6">
        <w:t>nie wzmacniały żadne fundusze unijne ani wielostronne, oraz do rozszerzenia ukierunkowanych sankcji wobec sprawców, w tym Daniela Ortegi i jego najbliższego otoczenia;</w:t>
      </w:r>
    </w:p>
    <w:p w:rsidR="001E0337" w:rsidRPr="00C020D6" w:rsidP="001E0337" w14:paraId="036EF746" w14:textId="77777777">
      <w:pPr>
        <w:pStyle w:val="NormalHanging12a"/>
      </w:pPr>
      <w:r w:rsidRPr="00C020D6">
        <w:t>7.</w:t>
      </w:r>
      <w:r w:rsidRPr="00C020D6">
        <w:tab/>
        <w:t xml:space="preserve">apeluje o wykonanie wyroku </w:t>
      </w:r>
      <w:r w:rsidRPr="00C020D6">
        <w:t>MTPCz</w:t>
      </w:r>
      <w:r w:rsidRPr="00C020D6">
        <w:t xml:space="preserve">; popiera rozliczenie winnych, w tym poprzez jurysdykcję uniwersalną i skierowanie sprawy do Międzynarodowego Trybunału Karnego; przypomina swoje stanowisko w sprawie ekstradycji </w:t>
      </w:r>
      <w:r w:rsidRPr="00C020D6">
        <w:t>Alessia</w:t>
      </w:r>
      <w:r w:rsidRPr="00C020D6">
        <w:t xml:space="preserve"> </w:t>
      </w:r>
      <w:r w:rsidRPr="00C020D6">
        <w:t>Casimirriego</w:t>
      </w:r>
      <w:r w:rsidRPr="00C020D6">
        <w:t>;</w:t>
      </w:r>
    </w:p>
    <w:p w:rsidR="001E0337" w:rsidRPr="00C020D6" w:rsidP="001E0337" w14:paraId="5310FAE4" w14:textId="77777777">
      <w:pPr>
        <w:pStyle w:val="NormalHanging12a"/>
      </w:pPr>
      <w:r w:rsidRPr="00C020D6">
        <w:t>8.</w:t>
      </w:r>
      <w:r w:rsidRPr="00C020D6">
        <w:tab/>
        <w:t>wzywa Radę i Komisję do uruchomienia klauzuli demokratycznej i zawieszenia stosowania układu o stowarzyszeniu wobec Nikaragui tak długo, jak represje trwają; podkreśla, że Parlament nie będzie współpracował z przedstawicielami reżimu w nowo utworzonej Komisji Parlamentarnej Stowarzyszenia;</w:t>
      </w:r>
    </w:p>
    <w:p w:rsidR="00C020D6" w:rsidRPr="00C020D6" w:rsidP="00C020D6" w14:paraId="4D75DB16" w14:textId="7F09015E">
      <w:pPr>
        <w:pStyle w:val="NormalHanging12a"/>
      </w:pPr>
      <w:r w:rsidRPr="00C020D6">
        <w:t>9.</w:t>
      </w:r>
      <w:r w:rsidRPr="00C020D6">
        <w:tab/>
        <w:t>zobowiązuje swoją przewodniczącą do przekazania niniejszej rezolucji Radzie, Komisji, wiceprzewodniczącej / wysokiej przedstawicielce, państwom członkowskim, ONZ, Organizacji Państw Amerykańskich i władzom Nikaragui.</w:t>
      </w:r>
    </w:p>
    <w:p w:rsidR="00E365E1" w:rsidRPr="00C020D6" w:rsidP="0025299D" w14:paraId="6C97E517" w14:textId="5CB2B1F0"/>
    <w:sectPr w:rsidSect="00C020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20D6" w14:paraId="5A754A4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20D6" w14:paraId="1DEF65EA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20D6" w14:paraId="5F0AC772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20D6" w14:paraId="1C7DD1D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20D6" w14:paraId="5630408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20D6" w14:paraId="2D01BD3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2279788">
    <w:abstractNumId w:val="9"/>
  </w:num>
  <w:num w:numId="2" w16cid:durableId="161358314">
    <w:abstractNumId w:val="9"/>
  </w:num>
  <w:num w:numId="3" w16cid:durableId="788625744">
    <w:abstractNumId w:val="7"/>
  </w:num>
  <w:num w:numId="4" w16cid:durableId="800271042">
    <w:abstractNumId w:val="7"/>
  </w:num>
  <w:num w:numId="5" w16cid:durableId="1103460205">
    <w:abstractNumId w:val="6"/>
  </w:num>
  <w:num w:numId="6" w16cid:durableId="951396659">
    <w:abstractNumId w:val="6"/>
  </w:num>
  <w:num w:numId="7" w16cid:durableId="1695109249">
    <w:abstractNumId w:val="5"/>
  </w:num>
  <w:num w:numId="8" w16cid:durableId="697775778">
    <w:abstractNumId w:val="5"/>
  </w:num>
  <w:num w:numId="9" w16cid:durableId="1394084567">
    <w:abstractNumId w:val="4"/>
  </w:num>
  <w:num w:numId="10" w16cid:durableId="6030007">
    <w:abstractNumId w:val="4"/>
  </w:num>
  <w:num w:numId="11" w16cid:durableId="676268995">
    <w:abstractNumId w:val="8"/>
  </w:num>
  <w:num w:numId="12" w16cid:durableId="1510292977">
    <w:abstractNumId w:val="8"/>
  </w:num>
  <w:num w:numId="13" w16cid:durableId="1623877381">
    <w:abstractNumId w:val="3"/>
  </w:num>
  <w:num w:numId="14" w16cid:durableId="392777383">
    <w:abstractNumId w:val="3"/>
  </w:num>
  <w:num w:numId="15" w16cid:durableId="1433627058">
    <w:abstractNumId w:val="2"/>
  </w:num>
  <w:num w:numId="16" w16cid:durableId="121119340">
    <w:abstractNumId w:val="2"/>
  </w:num>
  <w:num w:numId="17" w16cid:durableId="67848917">
    <w:abstractNumId w:val="1"/>
  </w:num>
  <w:num w:numId="18" w16cid:durableId="1856846961">
    <w:abstractNumId w:val="1"/>
  </w:num>
  <w:num w:numId="19" w16cid:durableId="129445954">
    <w:abstractNumId w:val="0"/>
  </w:num>
  <w:num w:numId="20" w16cid:durableId="2083871981">
    <w:abstractNumId w:val="0"/>
  </w:num>
  <w:num w:numId="21" w16cid:durableId="1961649224">
    <w:abstractNumId w:val="9"/>
  </w:num>
  <w:num w:numId="22" w16cid:durableId="1004434466">
    <w:abstractNumId w:val="7"/>
  </w:num>
  <w:num w:numId="23" w16cid:durableId="1707871161">
    <w:abstractNumId w:val="6"/>
  </w:num>
  <w:num w:numId="24" w16cid:durableId="1358458643">
    <w:abstractNumId w:val="5"/>
  </w:num>
  <w:num w:numId="25" w16cid:durableId="1285574560">
    <w:abstractNumId w:val="4"/>
  </w:num>
  <w:num w:numId="26" w16cid:durableId="795099198">
    <w:abstractNumId w:val="8"/>
  </w:num>
  <w:num w:numId="27" w16cid:durableId="1733579102">
    <w:abstractNumId w:val="3"/>
  </w:num>
  <w:num w:numId="28" w16cid:durableId="113209791">
    <w:abstractNumId w:val="2"/>
  </w:num>
  <w:num w:numId="29" w16cid:durableId="854879796">
    <w:abstractNumId w:val="1"/>
  </w:num>
  <w:num w:numId="30" w16cid:durableId="1383362676">
    <w:abstractNumId w:val="0"/>
  </w:num>
  <w:num w:numId="31" w16cid:durableId="1062098389">
    <w:abstractNumId w:val="9"/>
  </w:num>
  <w:num w:numId="32" w16cid:durableId="843134415">
    <w:abstractNumId w:val="7"/>
  </w:num>
  <w:num w:numId="33" w16cid:durableId="1178157508">
    <w:abstractNumId w:val="6"/>
  </w:num>
  <w:num w:numId="34" w16cid:durableId="1788430067">
    <w:abstractNumId w:val="5"/>
  </w:num>
  <w:num w:numId="35" w16cid:durableId="1269268433">
    <w:abstractNumId w:val="4"/>
  </w:num>
  <w:num w:numId="36" w16cid:durableId="391854822">
    <w:abstractNumId w:val="8"/>
  </w:num>
  <w:num w:numId="37" w16cid:durableId="1026174501">
    <w:abstractNumId w:val="3"/>
  </w:num>
  <w:num w:numId="38" w16cid:durableId="1902787882">
    <w:abstractNumId w:val="2"/>
  </w:num>
  <w:num w:numId="39" w16cid:durableId="818612156">
    <w:abstractNumId w:val="1"/>
  </w:num>
  <w:num w:numId="40" w16cid:durableId="951397563">
    <w:abstractNumId w:val="0"/>
  </w:num>
  <w:num w:numId="41" w16cid:durableId="166558492">
    <w:abstractNumId w:val="10"/>
  </w:num>
  <w:num w:numId="42" w16cid:durableId="624392397">
    <w:abstractNumId w:val="10"/>
  </w:num>
  <w:num w:numId="43" w16cid:durableId="480585716">
    <w:abstractNumId w:val="10"/>
  </w:num>
  <w:num w:numId="44" w16cid:durableId="10311500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doNotDisplayPageBoundaries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99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0337"/>
    <w:rsid w:val="001F32AE"/>
    <w:rsid w:val="0025299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4A84"/>
    <w:rsid w:val="0050519A"/>
    <w:rsid w:val="005072A1"/>
    <w:rsid w:val="00514517"/>
    <w:rsid w:val="00533916"/>
    <w:rsid w:val="00545827"/>
    <w:rsid w:val="00560270"/>
    <w:rsid w:val="005C2568"/>
    <w:rsid w:val="005F1B17"/>
    <w:rsid w:val="006037C0"/>
    <w:rsid w:val="006631B6"/>
    <w:rsid w:val="00680577"/>
    <w:rsid w:val="006E67D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6C01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5444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0D6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AEE"/>
    <w:rsid w:val="00FB4360"/>
    <w:rsid w:val="00FD0C70"/>
  </w:rsids>
  <w:docVars>
    <w:docVar w:name="dvdocse" w:val="B10-0292/2026"/>
    <w:docVar w:name="dvlangue" w:val="PL"/>
    <w:docVar w:name="dvnumam" w:val="0"/>
    <w:docVar w:name="dvpe" w:val="783.349"/>
    <w:docVar w:name="dvtitre" w:val="Rezolucja Parlamentu Europejskiego z dnia  2026 r. w sprawie więźniów politycznych w Nikaragui – przypadki Carlosa Brenesa, Salvadory del Socorro Martínez Aburto i Brooklyna Rivery(2026/2765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640BCC6"/>
  <w15:chartTrackingRefBased/>
  <w15:docId w15:val="{E9430E14-25A8-486C-937A-A7512DFED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E033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E033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E0337"/>
    <w:rPr>
      <w:sz w:val="24"/>
      <w:lang w:val="pl-PL"/>
    </w:rPr>
  </w:style>
  <w:style w:type="character" w:customStyle="1" w:styleId="EPCommaChar">
    <w:name w:val="EPComma Char"/>
    <w:basedOn w:val="DefaultParagraphFont"/>
    <w:link w:val="EPComma"/>
    <w:rsid w:val="001E0337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2026-06-18T13:34:00Z</dcterms:created>
  <dcterms:modified xsi:type="dcterms:W3CDTF">2026-06-18T13:34:00Z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B10-0292/2026</vt:lpwstr>
  </property>
  <property fmtid="{D5CDD505-2E9C-101B-9397-08002B2CF9AE}" pid="4" name="&lt;Type&gt;">
    <vt:lpwstr>RR</vt:lpwstr>
  </property>
</Properties>
</file>