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0ACC0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4C0B" w:rsidP="0010095E" w14:paraId="40E80B0A" w14:textId="77777777">
            <w:pPr>
              <w:pStyle w:val="EPName"/>
            </w:pPr>
            <w:r w:rsidRPr="00EE4C0B">
              <w:t xml:space="preserve">Parlamento </w:t>
            </w:r>
            <w:r w:rsidRPr="00EE4C0B">
              <w:t>Europeu</w:t>
            </w:r>
          </w:p>
          <w:p w:rsidR="00751A4A" w:rsidRPr="00EE4C0B" w:rsidP="005F1B17" w14:paraId="20FC682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C0B">
              <w:t>2024</w:t>
            </w:r>
            <w:r w:rsidRPr="00EE4C0B" w:rsidR="00817416">
              <w:t>-202</w:t>
            </w:r>
            <w:r w:rsidRPr="00EE4C0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4C0B" w:rsidP="0010095E" w14:paraId="0E33B09A" w14:textId="77777777">
            <w:pPr>
              <w:pStyle w:val="EPLogo"/>
            </w:pPr>
            <w:r w:rsidRPr="00EE4C0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4C0B" w:rsidP="004C5D52" w14:paraId="6941F857" w14:textId="77777777">
      <w:pPr>
        <w:pStyle w:val="LineTop"/>
      </w:pPr>
    </w:p>
    <w:p w:rsidR="00680577" w:rsidRPr="00EE4C0B" w:rsidP="00680577" w14:paraId="22E10CAE" w14:textId="77777777">
      <w:pPr>
        <w:pStyle w:val="EPBodyTA1"/>
      </w:pPr>
      <w:r w:rsidRPr="00EE4C0B">
        <w:t>TEXTOS APROVADOS</w:t>
      </w:r>
    </w:p>
    <w:p w:rsidR="00D058B8" w:rsidRPr="00EE4C0B" w:rsidP="00D058B8" w14:paraId="2EB03858" w14:textId="77777777">
      <w:pPr>
        <w:pStyle w:val="LineBottom"/>
      </w:pPr>
    </w:p>
    <w:p w:rsidR="00605563" w:rsidRPr="00EE4C0B" w:rsidP="00605563" w14:paraId="396E463C" w14:textId="23501870">
      <w:pPr>
        <w:pStyle w:val="ATHeading1"/>
      </w:pPr>
      <w:bookmarkStart w:id="0" w:name="TANumber"/>
      <w:r w:rsidRPr="00EE4C0B">
        <w:t>P10_TA(2026)0</w:t>
      </w:r>
      <w:r w:rsidR="005C7909">
        <w:t>223</w:t>
      </w:r>
      <w:bookmarkEnd w:id="0"/>
    </w:p>
    <w:p w:rsidR="00605563" w:rsidRPr="00EE4C0B" w:rsidP="00605563" w14:paraId="56894376" w14:textId="77777777">
      <w:pPr>
        <w:pStyle w:val="ATHeading2"/>
      </w:pPr>
      <w:bookmarkStart w:id="1" w:name="title"/>
      <w:r w:rsidRPr="00EE4C0B">
        <w:t xml:space="preserve">Os presos políticos na Nicarágua – os casos de Carlos </w:t>
      </w:r>
      <w:r w:rsidRPr="00EE4C0B">
        <w:t>Brenes</w:t>
      </w:r>
      <w:r w:rsidRPr="00EE4C0B">
        <w:t xml:space="preserve">, Salvadora </w:t>
      </w:r>
      <w:r w:rsidRPr="00EE4C0B">
        <w:t>del</w:t>
      </w:r>
      <w:r w:rsidRPr="00EE4C0B">
        <w:t xml:space="preserve"> Socorro </w:t>
      </w:r>
      <w:r w:rsidRPr="00EE4C0B">
        <w:t>Martínez</w:t>
      </w:r>
      <w:r w:rsidRPr="00EE4C0B">
        <w:t xml:space="preserve"> </w:t>
      </w:r>
      <w:r w:rsidRPr="00EE4C0B">
        <w:t>Aburto</w:t>
      </w:r>
      <w:r w:rsidRPr="00EE4C0B">
        <w:t xml:space="preserve"> e Brooklyn Rivera</w:t>
      </w:r>
      <w:bookmarkEnd w:id="1"/>
    </w:p>
    <w:p w:rsidR="00605563" w:rsidRPr="00EE4C0B" w:rsidP="00605563" w14:paraId="6AEDF3A3" w14:textId="77777777">
      <w:pPr>
        <w:rPr>
          <w:i/>
          <w:vanish/>
        </w:rPr>
      </w:pPr>
      <w:r>
        <w:rPr>
          <w:i/>
        </w:rPr>
        <w:fldChar w:fldCharType="begin"/>
      </w:r>
      <w:r w:rsidRPr="00EE4C0B">
        <w:rPr>
          <w:i/>
        </w:rPr>
        <w:instrText xml:space="preserve"> TC"(</w:instrText>
      </w:r>
      <w:bookmarkStart w:id="2" w:name="DocNumber"/>
      <w:r w:rsidRPr="00EE4C0B">
        <w:rPr>
          <w:i/>
        </w:rPr>
        <w:instrText>B10-0292, 0293, 0314, 0315 e 0317/2026</w:instrText>
      </w:r>
      <w:bookmarkEnd w:id="2"/>
      <w:r w:rsidRPr="00EE4C0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05563" w:rsidRPr="00EE4C0B" w:rsidP="00605563" w14:paraId="45A89206" w14:textId="77777777">
      <w:pPr>
        <w:rPr>
          <w:vanish/>
        </w:rPr>
      </w:pPr>
      <w:bookmarkStart w:id="3" w:name="PE"/>
      <w:r w:rsidRPr="00EE4C0B">
        <w:rPr>
          <w:vanish/>
        </w:rPr>
        <w:t>PE783.349</w:t>
      </w:r>
      <w:bookmarkEnd w:id="3"/>
    </w:p>
    <w:p w:rsidR="00605563" w:rsidRPr="00EE4C0B" w:rsidP="00605563" w14:paraId="0F125813" w14:textId="2CFD7B98">
      <w:pPr>
        <w:pStyle w:val="ATHeading3"/>
      </w:pPr>
      <w:bookmarkStart w:id="4" w:name="Sujet"/>
      <w:r w:rsidRPr="00EE4C0B">
        <w:t xml:space="preserve">Resolução do Parlamento Europeu, de </w:t>
      </w:r>
      <w:r w:rsidR="00EE4C0B">
        <w:t>18</w:t>
      </w:r>
      <w:r w:rsidRPr="00EE4C0B">
        <w:t xml:space="preserve"> de </w:t>
      </w:r>
      <w:r w:rsidR="00EE4C0B">
        <w:t>junho</w:t>
      </w:r>
      <w:r w:rsidRPr="00EE4C0B">
        <w:t xml:space="preserve"> de 2026, sobre os presos políticos na Nicarágua </w:t>
      </w:r>
      <w:r w:rsidR="00F0668B">
        <w:t>–</w:t>
      </w:r>
      <w:r w:rsidRPr="00EE4C0B">
        <w:t xml:space="preserve"> os casos de Carlos </w:t>
      </w:r>
      <w:r w:rsidRPr="00EE4C0B">
        <w:t>Brenes</w:t>
      </w:r>
      <w:r w:rsidRPr="00EE4C0B">
        <w:t>, Salvadora </w:t>
      </w:r>
      <w:r w:rsidRPr="00EE4C0B">
        <w:t>del</w:t>
      </w:r>
      <w:r w:rsidRPr="00EE4C0B">
        <w:t xml:space="preserve"> Socorro </w:t>
      </w:r>
      <w:r w:rsidRPr="00EE4C0B">
        <w:t>Martínez</w:t>
      </w:r>
      <w:r w:rsidRPr="00EE4C0B">
        <w:t xml:space="preserve"> </w:t>
      </w:r>
      <w:r w:rsidRPr="00EE4C0B">
        <w:t>Aburto</w:t>
      </w:r>
      <w:r w:rsidRPr="00EE4C0B">
        <w:t xml:space="preserve"> e Brooklyn Rivera</w:t>
      </w:r>
      <w:bookmarkEnd w:id="4"/>
      <w:r w:rsidRPr="00EE4C0B">
        <w:t xml:space="preserve"> </w:t>
      </w:r>
      <w:bookmarkStart w:id="5" w:name="References"/>
      <w:r w:rsidRPr="00EE4C0B">
        <w:t>(2026/2765(RSP))</w:t>
      </w:r>
      <w:bookmarkEnd w:id="5"/>
    </w:p>
    <w:p w:rsidR="00B51877" w:rsidRPr="00EE4C0B" w:rsidP="00B51877" w14:paraId="48AF0FFD" w14:textId="77777777">
      <w:pPr>
        <w:pStyle w:val="EPComma"/>
      </w:pPr>
      <w:bookmarkStart w:id="6" w:name="TextBodyBegin"/>
      <w:bookmarkEnd w:id="6"/>
      <w:r w:rsidRPr="00EE4C0B">
        <w:rPr>
          <w:i/>
          <w:iCs/>
        </w:rPr>
        <w:t>O Parlamento Europeu</w:t>
      </w:r>
      <w:r w:rsidRPr="00EE4C0B">
        <w:t>,</w:t>
      </w:r>
    </w:p>
    <w:p w:rsidR="00B51877" w:rsidRPr="00EE4C0B" w:rsidP="00B51877" w14:paraId="7F052C2E" w14:textId="77777777">
      <w:pPr>
        <w:pStyle w:val="NormalHanging12a"/>
      </w:pPr>
      <w:r w:rsidRPr="00EE4C0B">
        <w:t>–</w:t>
      </w:r>
      <w:r w:rsidRPr="00EE4C0B">
        <w:tab/>
        <w:t>Tendo em conta o artigo 150.º, n.º 5, e o artigo 136.º, n.º 4, do seu Regimento,</w:t>
      </w:r>
    </w:p>
    <w:p w:rsidR="00B51877" w:rsidRPr="00EE4C0B" w:rsidP="00B51877" w14:paraId="047CE7A9" w14:textId="77777777">
      <w:pPr>
        <w:pStyle w:val="NormalHanging12a"/>
      </w:pPr>
      <w:r w:rsidRPr="00EE4C0B">
        <w:t>A.</w:t>
      </w:r>
      <w:r w:rsidRPr="00EE4C0B">
        <w:tab/>
        <w:t>Considerando que, desde 2018, o regime de Ortega</w:t>
      </w:r>
      <w:r w:rsidRPr="00EE4C0B">
        <w:noBreakHyphen/>
        <w:t>Murillo tem vindo a desmantelar instituições democráticas e o Estado de direito através de uma reforma constitucional que aboliu o pluralismo político e, ao mesmo tempo, tem perseguido opositores, jornalistas, membros do clero, dirigentes indígenas, defensores dos direitos humanos e a sociedade civil;</w:t>
      </w:r>
    </w:p>
    <w:p w:rsidR="00B51877" w:rsidRPr="00EE4C0B" w:rsidP="00B51877" w14:paraId="46CFF71D" w14:textId="57266F81">
      <w:pPr>
        <w:pStyle w:val="NormalHanging12a"/>
      </w:pPr>
      <w:r w:rsidRPr="00EE4C0B">
        <w:t>B.</w:t>
      </w:r>
      <w:r w:rsidRPr="00EE4C0B">
        <w:tab/>
        <w:t>Considerando que o Grupo de Peritos em Direitos Humanos sobre a Nicarágua concluiu que as violações cometidas desde 2018 podem constituir crimes contra a humanidade</w:t>
      </w:r>
      <w:r w:rsidR="008E494A">
        <w:t>; considerando que</w:t>
      </w:r>
      <w:r w:rsidRPr="00EE4C0B">
        <w:t xml:space="preserve"> o espaço cívico está efetivamente encerrado, porquanto mais de 5 600 organizações não governamentais e 80 % das organizações da sociedade civil foram encerradas, e centenas de milhares de pessoas foram forçadas a exilar</w:t>
      </w:r>
      <w:r w:rsidRPr="00EE4C0B">
        <w:noBreakHyphen/>
        <w:t>se;</w:t>
      </w:r>
    </w:p>
    <w:p w:rsidR="00B51877" w:rsidRPr="00EE4C0B" w:rsidP="00B51877" w14:paraId="334800A2" w14:textId="789081B3">
      <w:pPr>
        <w:pStyle w:val="NormalHanging12a"/>
      </w:pPr>
      <w:r w:rsidRPr="00EE4C0B">
        <w:t>C.</w:t>
      </w:r>
      <w:r w:rsidRPr="00EE4C0B">
        <w:tab/>
        <w:t>Considerando que as organizações de defesa dos direitos humanos documentam casos de detenções arbitrárias, detenções em regime de incomunicabilidade e desaparecimentos forçados</w:t>
      </w:r>
      <w:r w:rsidR="008E494A">
        <w:t>; considerando que</w:t>
      </w:r>
      <w:r w:rsidRPr="00EE4C0B">
        <w:t>, desde agosto de 2025, as Nações Unidas registaram três mortes em situação de detenção relacionadas com condições e cuidados médicos inadequados;</w:t>
      </w:r>
    </w:p>
    <w:p w:rsidR="00B51877" w:rsidRPr="00EE4C0B" w:rsidP="00B51877" w14:paraId="6C4D0C4F" w14:textId="5ACCA810">
      <w:pPr>
        <w:pStyle w:val="NormalHanging12a"/>
      </w:pPr>
      <w:r w:rsidRPr="00EE4C0B">
        <w:t>D.</w:t>
      </w:r>
      <w:r w:rsidRPr="00EE4C0B">
        <w:tab/>
        <w:t xml:space="preserve">Considerando que Carlos </w:t>
      </w:r>
      <w:r w:rsidRPr="00EE4C0B">
        <w:t>Brenes</w:t>
      </w:r>
      <w:r w:rsidRPr="00EE4C0B">
        <w:t xml:space="preserve">, detido em 2018 por ter participado em protestos civis e ulteriormente torturado, e Salvadora </w:t>
      </w:r>
      <w:r w:rsidRPr="00EE4C0B">
        <w:t>Martínez</w:t>
      </w:r>
      <w:r w:rsidRPr="00EE4C0B">
        <w:t xml:space="preserve"> foram novamente detidos em agosto de 2025, mantidos em regime de incomunicabilidade e condenados sem garantias processuais a 15 anos de prisão por «traição»</w:t>
      </w:r>
      <w:r w:rsidR="008E494A">
        <w:t>; considerando que</w:t>
      </w:r>
      <w:r w:rsidRPr="00EE4C0B">
        <w:t xml:space="preserve"> Carlos </w:t>
      </w:r>
      <w:r w:rsidRPr="00EE4C0B">
        <w:t>Brenes</w:t>
      </w:r>
      <w:r w:rsidRPr="00EE4C0B">
        <w:t xml:space="preserve"> é diabético e que lhe foi negada medicação;</w:t>
      </w:r>
    </w:p>
    <w:p w:rsidR="00B51877" w:rsidRPr="00EE4C0B" w:rsidP="00B51877" w14:paraId="62DE1B26" w14:textId="78584759">
      <w:pPr>
        <w:pStyle w:val="NormalHanging12a"/>
        <w:rPr>
          <w:bCs/>
        </w:rPr>
      </w:pPr>
      <w:r w:rsidRPr="00EE4C0B">
        <w:t>E.</w:t>
      </w:r>
      <w:r w:rsidRPr="00EE4C0B">
        <w:tab/>
        <w:t xml:space="preserve">Considerando que Brooklyn Rivera, dirigente indígena </w:t>
      </w:r>
      <w:r w:rsidRPr="00EE4C0B">
        <w:t>miskitu</w:t>
      </w:r>
      <w:r w:rsidRPr="00EE4C0B">
        <w:t xml:space="preserve"> e presidente do partido YATAMA, entretanto dissolvido, foi detido em setembro de 2023, esteve em situação </w:t>
      </w:r>
      <w:r w:rsidRPr="00EE4C0B">
        <w:t>de desaparecimento forçado durante mais de 32 meses e morreu enquanto estava detido em 30 de maio de 2026</w:t>
      </w:r>
      <w:r w:rsidR="008E494A">
        <w:t>; considerando que</w:t>
      </w:r>
      <w:r w:rsidRPr="00EE4C0B">
        <w:t xml:space="preserve"> as autoridades se recusaram a entregar o seu corpo, e que alguns familiares que procuravam os seus restos mortais desapareceram;</w:t>
      </w:r>
    </w:p>
    <w:p w:rsidR="00B51877" w:rsidRPr="00EE4C0B" w:rsidP="00B51877" w14:paraId="7DC462BC" w14:textId="77777777">
      <w:pPr>
        <w:pStyle w:val="NormalHanging12a"/>
      </w:pPr>
      <w:r w:rsidRPr="00EE4C0B">
        <w:t>1.</w:t>
      </w:r>
      <w:r w:rsidRPr="00EE4C0B">
        <w:tab/>
        <w:t>Condena energicamente a repressão sistemática do regime de Ortega</w:t>
      </w:r>
      <w:r w:rsidRPr="00EE4C0B">
        <w:noBreakHyphen/>
        <w:t>Murillo, as detenções arbitrárias, os desaparecimentos forçados, os julgamentos de fachada, o exílio, a desnacionalização, os confiscos e os crimes contra a humanidade;</w:t>
      </w:r>
    </w:p>
    <w:p w:rsidR="00B51877" w:rsidRPr="00EE4C0B" w:rsidP="00B51877" w14:paraId="720CAFA5" w14:textId="77777777">
      <w:pPr>
        <w:pStyle w:val="NormalHanging12a"/>
      </w:pPr>
      <w:r w:rsidRPr="00EE4C0B">
        <w:t>2.</w:t>
      </w:r>
      <w:r w:rsidRPr="00EE4C0B">
        <w:tab/>
        <w:t xml:space="preserve">Exige a libertação imediata e incondicional de Carlos </w:t>
      </w:r>
      <w:r w:rsidRPr="00EE4C0B">
        <w:t>Brenes</w:t>
      </w:r>
      <w:r w:rsidRPr="00EE4C0B">
        <w:t xml:space="preserve">, de Salvadora </w:t>
      </w:r>
      <w:r w:rsidRPr="00EE4C0B">
        <w:t>Martínez</w:t>
      </w:r>
      <w:r w:rsidRPr="00EE4C0B">
        <w:t xml:space="preserve"> e de todos os presos políticos, a revogação das condenações por motivos políticos, e a obtenção de informações sobre o seu destino e paradeiro e de provas de vida imediatas;</w:t>
      </w:r>
    </w:p>
    <w:p w:rsidR="00B51877" w:rsidRPr="00EE4C0B" w:rsidP="00B51877" w14:paraId="6BBB35C4" w14:textId="77777777">
      <w:pPr>
        <w:pStyle w:val="NormalHanging12a"/>
      </w:pPr>
      <w:r w:rsidRPr="00EE4C0B">
        <w:t>3.</w:t>
      </w:r>
      <w:r w:rsidRPr="00EE4C0B">
        <w:tab/>
        <w:t>Exorta as autoridades a concederem a todos os detidos acesso à família e a advogados, cuidados médicos e acompanhamento internacional, em conformidade com as Regras Nelson Mandela; pede que os mecanismos de direitos humanos das Nações Unidas recuperem acesso aos centros de detenção;</w:t>
      </w:r>
    </w:p>
    <w:p w:rsidR="00B51877" w:rsidRPr="00EE4C0B" w:rsidP="00B51877" w14:paraId="080A7E8B" w14:textId="77777777">
      <w:pPr>
        <w:pStyle w:val="NormalHanging12a"/>
      </w:pPr>
      <w:r w:rsidRPr="00EE4C0B">
        <w:t>4.</w:t>
      </w:r>
      <w:r w:rsidRPr="00EE4C0B">
        <w:tab/>
        <w:t>Reclama a realização, com celeridade, de uma investigação sobre a morte de Brooklyn Rivera, a entrega dos seus restos mortais, a libertação dos seus familiares desaparecidos e a responsabilização dos culpados;</w:t>
      </w:r>
    </w:p>
    <w:p w:rsidR="00B51877" w:rsidRPr="00EE4C0B" w:rsidP="00B51877" w14:paraId="15A541FC" w14:textId="77777777">
      <w:pPr>
        <w:pStyle w:val="NormalHanging12a"/>
      </w:pPr>
      <w:r w:rsidRPr="00EE4C0B">
        <w:t>5.</w:t>
      </w:r>
      <w:r w:rsidRPr="00EE4C0B">
        <w:tab/>
        <w:t>Condena a perseguição de igrejas cristãs, de povos indígenas, da sociedade civil e dos opositores e respetivos familiares; advoga que se restabeleçam todas as organizações que foram arbitrariamente dissolvidas e que se respeite a liberdade de religião e de crença;</w:t>
      </w:r>
    </w:p>
    <w:p w:rsidR="00B51877" w:rsidRPr="00EE4C0B" w:rsidP="00B51877" w14:paraId="7FE12FD1" w14:textId="77777777">
      <w:pPr>
        <w:pStyle w:val="NormalHanging12a"/>
      </w:pPr>
      <w:r w:rsidRPr="00EE4C0B">
        <w:t>6.</w:t>
      </w:r>
      <w:r w:rsidRPr="00EE4C0B">
        <w:tab/>
        <w:t>Pede que se apoiem os intervenientes democráticos e a sociedade civil na Nicarágua e no exílio; solicita à UE que vele por que nenhum fundo da UE ou fundo multilateral contribua para o reforço do regime e que alargue as sanções específicas contra os responsáveis, entre eles Daniel Ortega e o seu círculo mais próximo;</w:t>
      </w:r>
    </w:p>
    <w:p w:rsidR="00B51877" w:rsidRPr="00EE4C0B" w:rsidP="00B51877" w14:paraId="7CF46BDE" w14:textId="77777777">
      <w:pPr>
        <w:pStyle w:val="NormalHanging12a"/>
      </w:pPr>
      <w:r w:rsidRPr="00EE4C0B">
        <w:t>7.</w:t>
      </w:r>
      <w:r w:rsidRPr="00EE4C0B">
        <w:tab/>
        <w:t xml:space="preserve">Exorta ao cumprimento do acórdão do Tribunal Interamericano de Direitos Humanos; defende a prestação pública de contas, nomeadamente através da jurisdição universal e do encaminhamento para o Tribunal Penal Internacional; relembra a sua posição relativamente à extradição de </w:t>
      </w:r>
      <w:r w:rsidRPr="00EE4C0B">
        <w:t>Alessio</w:t>
      </w:r>
      <w:r w:rsidRPr="00EE4C0B">
        <w:t xml:space="preserve"> </w:t>
      </w:r>
      <w:r w:rsidRPr="00EE4C0B">
        <w:t>Casimirri</w:t>
      </w:r>
      <w:r w:rsidRPr="00EE4C0B">
        <w:t>;</w:t>
      </w:r>
    </w:p>
    <w:p w:rsidR="00B51877" w:rsidRPr="00EE4C0B" w:rsidP="00B51877" w14:paraId="47DB2918" w14:textId="77777777">
      <w:pPr>
        <w:pStyle w:val="NormalHanging12a"/>
      </w:pPr>
      <w:r w:rsidRPr="00EE4C0B">
        <w:t>8.</w:t>
      </w:r>
      <w:r w:rsidRPr="00EE4C0B">
        <w:tab/>
        <w:t>Insta o Conselho e a Comissão a acionarem a cláusula democrática e a suspenderem a aplicação do Acordo de Associação relacionado com a Nicarágua enquanto a repressão persistir; frisa que o Parlamento não colaborará com representantes do regime no âmbito da recém-criada Comissão Parlamentar de Associação;</w:t>
      </w:r>
    </w:p>
    <w:p w:rsidR="00E365E1" w:rsidRPr="00EE4C0B" w:rsidP="005C7909" w14:paraId="17F66DCB" w14:textId="49402D90">
      <w:pPr>
        <w:pStyle w:val="NormalHanging12a"/>
      </w:pPr>
      <w:r w:rsidRPr="00EE4C0B">
        <w:t>9.</w:t>
      </w:r>
      <w:r w:rsidRPr="00EE4C0B">
        <w:tab/>
        <w:t>Encarrega a sua Presidente de transmitir a presente resolução ao Conselho, à Comissão, à VP/AR, aos Estados-Membros, às Nações Unidas, à Organização dos Estados Americanos e às autoridades nicaraguenses.</w:t>
      </w:r>
    </w:p>
    <w:sectPr w:rsidSect="00585A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0128A1E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1CCD3BC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07A07DF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469436A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547CA38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5A21" w14:paraId="59996DD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5364661">
    <w:abstractNumId w:val="9"/>
  </w:num>
  <w:num w:numId="2" w16cid:durableId="492138390">
    <w:abstractNumId w:val="9"/>
  </w:num>
  <w:num w:numId="3" w16cid:durableId="1970696408">
    <w:abstractNumId w:val="7"/>
  </w:num>
  <w:num w:numId="4" w16cid:durableId="1218275983">
    <w:abstractNumId w:val="7"/>
  </w:num>
  <w:num w:numId="5" w16cid:durableId="1512991162">
    <w:abstractNumId w:val="6"/>
  </w:num>
  <w:num w:numId="6" w16cid:durableId="2050840947">
    <w:abstractNumId w:val="6"/>
  </w:num>
  <w:num w:numId="7" w16cid:durableId="2020424805">
    <w:abstractNumId w:val="5"/>
  </w:num>
  <w:num w:numId="8" w16cid:durableId="960846249">
    <w:abstractNumId w:val="5"/>
  </w:num>
  <w:num w:numId="9" w16cid:durableId="1656379043">
    <w:abstractNumId w:val="4"/>
  </w:num>
  <w:num w:numId="10" w16cid:durableId="1431319983">
    <w:abstractNumId w:val="4"/>
  </w:num>
  <w:num w:numId="11" w16cid:durableId="1016926439">
    <w:abstractNumId w:val="8"/>
  </w:num>
  <w:num w:numId="12" w16cid:durableId="2054427217">
    <w:abstractNumId w:val="8"/>
  </w:num>
  <w:num w:numId="13" w16cid:durableId="53823745">
    <w:abstractNumId w:val="3"/>
  </w:num>
  <w:num w:numId="14" w16cid:durableId="1437365701">
    <w:abstractNumId w:val="3"/>
  </w:num>
  <w:num w:numId="15" w16cid:durableId="1661737711">
    <w:abstractNumId w:val="2"/>
  </w:num>
  <w:num w:numId="16" w16cid:durableId="1374767567">
    <w:abstractNumId w:val="2"/>
  </w:num>
  <w:num w:numId="17" w16cid:durableId="2130858782">
    <w:abstractNumId w:val="1"/>
  </w:num>
  <w:num w:numId="18" w16cid:durableId="1165894711">
    <w:abstractNumId w:val="1"/>
  </w:num>
  <w:num w:numId="19" w16cid:durableId="262500100">
    <w:abstractNumId w:val="0"/>
  </w:num>
  <w:num w:numId="20" w16cid:durableId="1743988355">
    <w:abstractNumId w:val="0"/>
  </w:num>
  <w:num w:numId="21" w16cid:durableId="503472394">
    <w:abstractNumId w:val="9"/>
  </w:num>
  <w:num w:numId="22" w16cid:durableId="1557281046">
    <w:abstractNumId w:val="7"/>
  </w:num>
  <w:num w:numId="23" w16cid:durableId="1412776316">
    <w:abstractNumId w:val="6"/>
  </w:num>
  <w:num w:numId="24" w16cid:durableId="109130884">
    <w:abstractNumId w:val="5"/>
  </w:num>
  <w:num w:numId="25" w16cid:durableId="390858299">
    <w:abstractNumId w:val="4"/>
  </w:num>
  <w:num w:numId="26" w16cid:durableId="60911621">
    <w:abstractNumId w:val="8"/>
  </w:num>
  <w:num w:numId="27" w16cid:durableId="2144420199">
    <w:abstractNumId w:val="3"/>
  </w:num>
  <w:num w:numId="28" w16cid:durableId="1384796519">
    <w:abstractNumId w:val="2"/>
  </w:num>
  <w:num w:numId="29" w16cid:durableId="1537618951">
    <w:abstractNumId w:val="1"/>
  </w:num>
  <w:num w:numId="30" w16cid:durableId="443156624">
    <w:abstractNumId w:val="0"/>
  </w:num>
  <w:num w:numId="31" w16cid:durableId="1485658563">
    <w:abstractNumId w:val="9"/>
  </w:num>
  <w:num w:numId="32" w16cid:durableId="1913158065">
    <w:abstractNumId w:val="7"/>
  </w:num>
  <w:num w:numId="33" w16cid:durableId="1265728922">
    <w:abstractNumId w:val="6"/>
  </w:num>
  <w:num w:numId="34" w16cid:durableId="230191944">
    <w:abstractNumId w:val="5"/>
  </w:num>
  <w:num w:numId="35" w16cid:durableId="90662366">
    <w:abstractNumId w:val="4"/>
  </w:num>
  <w:num w:numId="36" w16cid:durableId="2116290570">
    <w:abstractNumId w:val="8"/>
  </w:num>
  <w:num w:numId="37" w16cid:durableId="932280779">
    <w:abstractNumId w:val="3"/>
  </w:num>
  <w:num w:numId="38" w16cid:durableId="2015110938">
    <w:abstractNumId w:val="2"/>
  </w:num>
  <w:num w:numId="39" w16cid:durableId="1964383538">
    <w:abstractNumId w:val="1"/>
  </w:num>
  <w:num w:numId="40" w16cid:durableId="615336103">
    <w:abstractNumId w:val="0"/>
  </w:num>
  <w:num w:numId="41" w16cid:durableId="1790275010">
    <w:abstractNumId w:val="10"/>
  </w:num>
  <w:num w:numId="42" w16cid:durableId="641349401">
    <w:abstractNumId w:val="10"/>
  </w:num>
  <w:num w:numId="43" w16cid:durableId="1667006397">
    <w:abstractNumId w:val="10"/>
  </w:num>
  <w:num w:numId="44" w16cid:durableId="515271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63"/>
    <w:rsid w:val="00002272"/>
    <w:rsid w:val="00064002"/>
    <w:rsid w:val="000677B9"/>
    <w:rsid w:val="000831BA"/>
    <w:rsid w:val="000A42CC"/>
    <w:rsid w:val="000B6E8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64F"/>
    <w:rsid w:val="00585A21"/>
    <w:rsid w:val="005C2568"/>
    <w:rsid w:val="005C7909"/>
    <w:rsid w:val="005F1B17"/>
    <w:rsid w:val="006037C0"/>
    <w:rsid w:val="006055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94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87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C0B"/>
    <w:rsid w:val="00F04346"/>
    <w:rsid w:val="00F0668B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, 0293, 0314, 0315 e 0317/2026"/>
    <w:docVar w:name="dvlangue" w:val="PT"/>
    <w:docVar w:name="dvnumam" w:val="0"/>
    <w:docVar w:name="dvpe" w:val="783.349"/>
    <w:docVar w:name="dvtitre" w:val="Resolução do Parlamento Europeu, de ... de ... de 2026,&#13;_x000a_ sobre os presos políticos na Nicarágua — os casos de Carlos Brenes, Salvadora del Socorro Martínez Aburto e Brooklyn Rivera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DBA0D9"/>
  <w15:chartTrackingRefBased/>
  <w15:docId w15:val="{6807AF2B-6981-49A5-9E92-95C414D6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5187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5187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51877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B51877"/>
    <w:rPr>
      <w:sz w:val="24"/>
      <w:lang w:val="pt-PT"/>
    </w:rPr>
  </w:style>
  <w:style w:type="paragraph" w:styleId="Revision">
    <w:name w:val="Revision"/>
    <w:hidden/>
    <w:uiPriority w:val="99"/>
    <w:semiHidden/>
    <w:rsid w:val="00EE4C0B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2026-06-18T10:43:00Z</dcterms:created>
  <dcterms:modified xsi:type="dcterms:W3CDTF">2026-06-18T10:43:00Z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B10-0292, 0293, 0314, 0315 e 0317/2026</vt:lpwstr>
  </property>
  <property fmtid="{D5CDD505-2E9C-101B-9397-08002B2CF9AE}" pid="4" name="&lt;Type&gt;">
    <vt:lpwstr>RR</vt:lpwstr>
  </property>
</Properties>
</file>