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F030DD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32D2C" w:rsidP="0010095E" w14:paraId="2727C6CD" w14:textId="4B609DCD">
            <w:pPr>
              <w:pStyle w:val="EPName"/>
            </w:pPr>
            <w:r w:rsidRPr="00A32D2C">
              <w:t>Evropský parlament</w:t>
            </w:r>
          </w:p>
          <w:p w:rsidR="00751A4A" w:rsidRPr="00A32D2C" w:rsidP="005F1B17" w14:paraId="3C025C9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2D2C">
              <w:t>2024</w:t>
            </w:r>
            <w:r w:rsidRPr="00A32D2C" w:rsidR="00817416">
              <w:t>-202</w:t>
            </w:r>
            <w:r w:rsidRPr="00A32D2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32D2C" w:rsidP="0010095E" w14:paraId="41A62C6C" w14:textId="77777777">
            <w:pPr>
              <w:pStyle w:val="EPLogo"/>
            </w:pPr>
            <w:r w:rsidRPr="00A32D2C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32D2C" w:rsidP="004C5D52" w14:paraId="5336CC71" w14:textId="77777777">
      <w:pPr>
        <w:pStyle w:val="LineTop"/>
      </w:pPr>
    </w:p>
    <w:p w:rsidR="00680577" w:rsidRPr="00A32D2C" w:rsidP="00680577" w14:paraId="784DF4FF" w14:textId="16F88243">
      <w:pPr>
        <w:pStyle w:val="EPBodyTA1"/>
      </w:pPr>
      <w:r w:rsidRPr="00A32D2C">
        <w:t>PŘIJATÉ TEXTY</w:t>
      </w:r>
    </w:p>
    <w:p w:rsidR="00D058B8" w:rsidRPr="00A32D2C" w:rsidP="00D058B8" w14:paraId="61BCD4B1" w14:textId="77777777">
      <w:pPr>
        <w:pStyle w:val="LineBottom"/>
      </w:pPr>
    </w:p>
    <w:p w:rsidR="00BF50DF" w:rsidRPr="00354C90" w:rsidP="00BF50DF" w14:paraId="43DC28C4" w14:textId="2BC62133">
      <w:pPr>
        <w:pStyle w:val="ATHeading1"/>
      </w:pPr>
      <w:bookmarkStart w:id="0" w:name="TANumber"/>
      <w:r w:rsidRPr="00354C90">
        <w:t>P10_TA(2026)0</w:t>
      </w:r>
      <w:r w:rsidR="00714F4F">
        <w:t>224</w:t>
      </w:r>
      <w:bookmarkEnd w:id="0"/>
    </w:p>
    <w:p w:rsidR="00BF50DF" w:rsidRPr="00354C90" w:rsidP="00BF50DF" w14:paraId="2DFED02A" w14:textId="77777777">
      <w:pPr>
        <w:pStyle w:val="ATHeading2"/>
      </w:pPr>
      <w:bookmarkStart w:id="1" w:name="title"/>
      <w:r w:rsidRPr="00354C90">
        <w:t xml:space="preserve">Zhoršující se situace politických vězňů v Bělorusku, zejména případ </w:t>
      </w:r>
      <w:r w:rsidRPr="00354C90">
        <w:t>Aljaksandry</w:t>
      </w:r>
      <w:r w:rsidRPr="00354C90">
        <w:t xml:space="preserve"> </w:t>
      </w:r>
      <w:r w:rsidRPr="00354C90">
        <w:t>Pulinovičové</w:t>
      </w:r>
      <w:bookmarkEnd w:id="1"/>
    </w:p>
    <w:p w:rsidR="00BF50DF" w:rsidRPr="00A32D2C" w:rsidP="00BF50DF" w14:paraId="1F2F0B4E" w14:textId="61C19B0F">
      <w:pPr>
        <w:rPr>
          <w:i/>
          <w:vanish/>
        </w:rPr>
      </w:pPr>
      <w:r>
        <w:rPr>
          <w:i/>
        </w:rPr>
        <w:fldChar w:fldCharType="begin"/>
      </w:r>
      <w:r w:rsidRPr="00A32D2C">
        <w:rPr>
          <w:i/>
        </w:rPr>
        <w:instrText xml:space="preserve"> TC"(</w:instrText>
      </w:r>
      <w:bookmarkStart w:id="2" w:name="DocNumber"/>
      <w:r w:rsidRPr="00A32D2C">
        <w:rPr>
          <w:i/>
        </w:rPr>
        <w:instrText>B10-0294</w:instrText>
      </w:r>
      <w:r w:rsidR="00F45996">
        <w:rPr>
          <w:i/>
        </w:rPr>
        <w:instrText>, 0324, 0325, 0326, 0327 a 0328</w:instrText>
      </w:r>
      <w:r w:rsidRPr="00A32D2C">
        <w:rPr>
          <w:i/>
        </w:rPr>
        <w:instrText>/2026</w:instrText>
      </w:r>
      <w:bookmarkEnd w:id="2"/>
      <w:r w:rsidRPr="00A32D2C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F50DF" w:rsidRPr="00A32D2C" w:rsidP="00BF50DF" w14:paraId="539775BA" w14:textId="77777777">
      <w:pPr>
        <w:rPr>
          <w:vanish/>
        </w:rPr>
      </w:pPr>
      <w:bookmarkStart w:id="3" w:name="PE"/>
      <w:r w:rsidRPr="00A32D2C">
        <w:rPr>
          <w:vanish/>
        </w:rPr>
        <w:t>PE783.351</w:t>
      </w:r>
      <w:bookmarkEnd w:id="3"/>
    </w:p>
    <w:p w:rsidR="00BF50DF" w:rsidRPr="00354C90" w:rsidP="00BF50DF" w14:paraId="18E7C54F" w14:textId="77777777">
      <w:pPr>
        <w:pStyle w:val="ATHeading3"/>
      </w:pPr>
      <w:bookmarkStart w:id="4" w:name="Sujet"/>
      <w:r w:rsidRPr="00354C90">
        <w:t xml:space="preserve">Usnesení Evropského parlamentu ze dne 18. června 2026 o zhoršující se situaci politických vězňů v Bělorusku, zejména o případu </w:t>
      </w:r>
      <w:r w:rsidRPr="00354C90">
        <w:t>Aljaksandry</w:t>
      </w:r>
      <w:r w:rsidRPr="00354C90">
        <w:t xml:space="preserve"> </w:t>
      </w:r>
      <w:r w:rsidRPr="00354C90">
        <w:t>Pulinovičové</w:t>
      </w:r>
      <w:bookmarkEnd w:id="4"/>
      <w:r w:rsidRPr="00354C90">
        <w:t xml:space="preserve"> </w:t>
      </w:r>
      <w:bookmarkStart w:id="5" w:name="References"/>
      <w:r w:rsidRPr="00354C90">
        <w:t>(2026/2766(RSP))</w:t>
      </w:r>
      <w:bookmarkEnd w:id="5"/>
    </w:p>
    <w:p w:rsidR="00155E52" w:rsidRPr="00A32D2C" w:rsidP="00155E52" w14:paraId="64E8C145" w14:textId="77777777">
      <w:pPr>
        <w:pStyle w:val="EPComma"/>
      </w:pPr>
      <w:bookmarkStart w:id="6" w:name="TextBodyBegin"/>
      <w:bookmarkEnd w:id="6"/>
      <w:r w:rsidRPr="00A32D2C">
        <w:rPr>
          <w:i/>
        </w:rPr>
        <w:t>Evropský parlament</w:t>
      </w:r>
      <w:r w:rsidRPr="00A32D2C">
        <w:t>,</w:t>
      </w:r>
    </w:p>
    <w:p w:rsidR="00155E52" w:rsidRPr="00A32D2C" w:rsidP="00A32D2C" w14:paraId="504B6EB9" w14:textId="77777777">
      <w:pPr>
        <w:pStyle w:val="NormalHanging12a"/>
      </w:pPr>
      <w:r w:rsidRPr="00A32D2C">
        <w:t>–</w:t>
      </w:r>
      <w:r w:rsidRPr="00A32D2C">
        <w:tab/>
        <w:t>s ohledem na svá předchozí usnesení o Bělorusku,</w:t>
      </w:r>
    </w:p>
    <w:p w:rsidR="00155E52" w:rsidRPr="00A32D2C" w:rsidP="00A32D2C" w14:paraId="78E3964E" w14:textId="77777777">
      <w:pPr>
        <w:pStyle w:val="NormalHanging12a"/>
      </w:pPr>
      <w:r w:rsidRPr="00A32D2C">
        <w:t>–</w:t>
      </w:r>
      <w:r w:rsidRPr="00A32D2C">
        <w:tab/>
        <w:t>s ohledem na čl. 150 odst. 5 a čl. 136 odst. 4 jednacího řádu,</w:t>
      </w:r>
    </w:p>
    <w:p w:rsidR="00155E52" w:rsidRPr="00A32D2C" w:rsidP="00A32D2C" w14:paraId="4E0A2C24" w14:textId="77777777">
      <w:pPr>
        <w:pStyle w:val="NormalHanging12a"/>
      </w:pPr>
      <w:r w:rsidRPr="00A32D2C">
        <w:t>A.</w:t>
      </w:r>
      <w:r w:rsidRPr="00A32D2C">
        <w:tab/>
        <w:t xml:space="preserve">vzhledem k tomu, že v lednu 2024 byla v souvislosti s případem skupiny „Černí slavíci“, který se týkal graffiti kritizujících ruskou útočnou válku proti Ukrajině, zadržena 16letá </w:t>
      </w:r>
      <w:r w:rsidRPr="00A32D2C">
        <w:t>Aljaksandra</w:t>
      </w:r>
      <w:r w:rsidRPr="00A32D2C">
        <w:t xml:space="preserve"> </w:t>
      </w:r>
      <w:r w:rsidRPr="00A32D2C">
        <w:t>Pulinovičová</w:t>
      </w:r>
      <w:r w:rsidRPr="00A32D2C">
        <w:t>, která byla umístěna do trestní cely bez možnosti právní obhajoby a podpory rodičů; vzhledem k tomu, že byla v rámci uzavřeného řízení odsouzena k více než deseti letům odnětí svobody a následně zařazena na „seznam teroristů“;</w:t>
      </w:r>
    </w:p>
    <w:p w:rsidR="00155E52" w:rsidRPr="00A32D2C" w:rsidP="00A32D2C" w14:paraId="774C3A04" w14:textId="77777777">
      <w:pPr>
        <w:pStyle w:val="NormalHanging12a"/>
      </w:pPr>
      <w:r w:rsidRPr="00A32D2C">
        <w:t>B.</w:t>
      </w:r>
      <w:r w:rsidRPr="00A32D2C">
        <w:tab/>
        <w:t xml:space="preserve">vzhledem k tomu, že případ </w:t>
      </w:r>
      <w:r w:rsidRPr="00A32D2C">
        <w:t>Pulinovičové</w:t>
      </w:r>
      <w:r w:rsidRPr="00A32D2C">
        <w:t xml:space="preserve"> ukazuje, že běloruské orgány využívají protiteroristické zákony ke kriminalizaci mládeže z politických důvodů;</w:t>
      </w:r>
    </w:p>
    <w:p w:rsidR="00155E52" w:rsidP="00A32D2C" w14:paraId="425A9C98" w14:textId="77777777">
      <w:pPr>
        <w:pStyle w:val="NormalHanging12a"/>
      </w:pPr>
      <w:r w:rsidRPr="00A32D2C">
        <w:t>C.</w:t>
      </w:r>
      <w:r w:rsidRPr="00A32D2C">
        <w:tab/>
        <w:t xml:space="preserve">vzhledem k tomu, že </w:t>
      </w:r>
      <w:r w:rsidRPr="00A32D2C">
        <w:t>Lukašenkův</w:t>
      </w:r>
      <w:r w:rsidRPr="00A32D2C">
        <w:t xml:space="preserve"> režim systematicky utlačuje politické oponenty, obránce lidských práv, novináře, odboráře, studenty, národnostní menšiny a občany, kteří uplatňují svá základní práva; vzhledem k tomu, že svévolně zadržováno za nelidských podmínek je stále 853 politických vězňů;</w:t>
      </w:r>
    </w:p>
    <w:p w:rsidR="00A42FE0" w:rsidRPr="00A32D2C" w:rsidP="00A42FE0" w14:paraId="47700770" w14:textId="51D1402D">
      <w:pPr>
        <w:pStyle w:val="NormalHanging12a"/>
      </w:pPr>
      <w:r>
        <w:t>D.</w:t>
      </w:r>
      <w:r>
        <w:tab/>
      </w:r>
      <w:r w:rsidRPr="00144487">
        <w:t xml:space="preserve">vzhledem k tomu, že případy </w:t>
      </w:r>
      <w:r w:rsidRPr="00EF3583" w:rsidR="003B6C2F">
        <w:t>Dzjanіse</w:t>
      </w:r>
      <w:r w:rsidRPr="00EF3583" w:rsidR="003B6C2F">
        <w:t xml:space="preserve"> </w:t>
      </w:r>
      <w:r w:rsidRPr="00EF3583" w:rsidR="003B6C2F">
        <w:t>Ivašyna</w:t>
      </w:r>
      <w:r w:rsidRPr="00EF3583" w:rsidR="003B6C2F">
        <w:t xml:space="preserve">, Pavla </w:t>
      </w:r>
      <w:r w:rsidRPr="00EF3583" w:rsidR="003B6C2F">
        <w:t>Belavuse</w:t>
      </w:r>
      <w:r w:rsidRPr="00EF3583" w:rsidR="003B6C2F">
        <w:t xml:space="preserve">, </w:t>
      </w:r>
      <w:r w:rsidRPr="00EF3583" w:rsidR="003B6C2F">
        <w:t>I</w:t>
      </w:r>
      <w:r w:rsidR="00516F92">
        <w:t>h</w:t>
      </w:r>
      <w:r w:rsidRPr="00EF3583" w:rsidR="003B6C2F">
        <w:t>ara</w:t>
      </w:r>
      <w:r w:rsidRPr="00EF3583" w:rsidR="003B6C2F">
        <w:t xml:space="preserve"> </w:t>
      </w:r>
      <w:r w:rsidRPr="00EF3583" w:rsidR="003B6C2F">
        <w:t>Alineviče</w:t>
      </w:r>
      <w:r w:rsidRPr="00EF3583" w:rsidR="003B6C2F">
        <w:t xml:space="preserve">, </w:t>
      </w:r>
      <w:r w:rsidRPr="00EF3583" w:rsidR="003B6C2F">
        <w:t>Volgy</w:t>
      </w:r>
      <w:r w:rsidRPr="003B6C2F" w:rsidR="003B6C2F">
        <w:t xml:space="preserve"> </w:t>
      </w:r>
      <w:r w:rsidRPr="003B6C2F" w:rsidR="003B6C2F">
        <w:t>Majoravové</w:t>
      </w:r>
      <w:r w:rsidRPr="003B6C2F" w:rsidR="003B6C2F">
        <w:t xml:space="preserve">, Aleny </w:t>
      </w:r>
      <w:r w:rsidRPr="003B6C2F" w:rsidR="003B6C2F">
        <w:t>Lazarčykové</w:t>
      </w:r>
      <w:r w:rsidRPr="003B6C2F" w:rsidR="003B6C2F">
        <w:t xml:space="preserve">, </w:t>
      </w:r>
      <w:r w:rsidRPr="003B6C2F" w:rsidR="003B6C2F">
        <w:t>Aljaksandra</w:t>
      </w:r>
      <w:r w:rsidRPr="003B6C2F" w:rsidR="003B6C2F">
        <w:t xml:space="preserve"> </w:t>
      </w:r>
      <w:r w:rsidRPr="003B6C2F" w:rsidR="003B6C2F">
        <w:t>Franckeviče</w:t>
      </w:r>
      <w:r w:rsidRPr="003B6C2F" w:rsidR="003B6C2F">
        <w:t xml:space="preserve">, </w:t>
      </w:r>
      <w:r w:rsidRPr="003B6C2F" w:rsidR="003B6C2F">
        <w:t>Viktara</w:t>
      </w:r>
      <w:r w:rsidRPr="003B6C2F" w:rsidR="003B6C2F">
        <w:t xml:space="preserve"> </w:t>
      </w:r>
      <w:r w:rsidRPr="003B6C2F" w:rsidR="003B6C2F">
        <w:t>Sněhura</w:t>
      </w:r>
      <w:r w:rsidRPr="003B6C2F" w:rsidR="003B6C2F">
        <w:t xml:space="preserve">, Eduarda </w:t>
      </w:r>
      <w:r w:rsidRPr="003B6C2F" w:rsidR="003B6C2F">
        <w:t>Babaryky</w:t>
      </w:r>
      <w:r w:rsidRPr="003B6C2F" w:rsidR="003B6C2F">
        <w:t xml:space="preserve">, </w:t>
      </w:r>
      <w:r w:rsidRPr="003B6C2F" w:rsidR="003B6C2F">
        <w:t>Mikalaje</w:t>
      </w:r>
      <w:r w:rsidRPr="003B6C2F" w:rsidR="003B6C2F">
        <w:t xml:space="preserve"> </w:t>
      </w:r>
      <w:r w:rsidRPr="003B6C2F" w:rsidR="003B6C2F">
        <w:t>Autuchoviče</w:t>
      </w:r>
      <w:r w:rsidRPr="003B6C2F" w:rsidR="003B6C2F">
        <w:t xml:space="preserve">, </w:t>
      </w:r>
      <w:r w:rsidRPr="003B6C2F" w:rsidR="003B6C2F">
        <w:t>Uladzimira</w:t>
      </w:r>
      <w:r w:rsidRPr="003B6C2F" w:rsidR="003B6C2F">
        <w:t xml:space="preserve"> </w:t>
      </w:r>
      <w:r w:rsidRPr="003B6C2F" w:rsidR="003B6C2F">
        <w:t>Hundara</w:t>
      </w:r>
      <w:r w:rsidRPr="003B6C2F" w:rsidR="003B6C2F">
        <w:t xml:space="preserve">, </w:t>
      </w:r>
      <w:r w:rsidR="00EF3583">
        <w:t xml:space="preserve">Iryny </w:t>
      </w:r>
      <w:r w:rsidRPr="003B6C2F" w:rsidR="003B6C2F">
        <w:t>Melcherové</w:t>
      </w:r>
      <w:r w:rsidRPr="003B6C2F" w:rsidR="003B6C2F">
        <w:t xml:space="preserve">, členů rodin </w:t>
      </w:r>
      <w:r w:rsidRPr="003B6C2F" w:rsidR="003B6C2F">
        <w:t>Rezanovičových</w:t>
      </w:r>
      <w:r w:rsidRPr="003B6C2F" w:rsidR="003B6C2F">
        <w:t xml:space="preserve"> a </w:t>
      </w:r>
      <w:r w:rsidRPr="003B6C2F" w:rsidR="003B6C2F">
        <w:t>Karsakouových</w:t>
      </w:r>
      <w:r w:rsidRPr="003B6C2F" w:rsidR="003B6C2F">
        <w:t xml:space="preserve">, </w:t>
      </w:r>
      <w:r w:rsidRPr="003B6C2F" w:rsidR="003B6C2F">
        <w:t>Stěpana</w:t>
      </w:r>
      <w:r w:rsidRPr="003B6C2F" w:rsidR="003B6C2F">
        <w:t xml:space="preserve"> </w:t>
      </w:r>
      <w:r w:rsidRPr="003B6C2F" w:rsidR="003B6C2F">
        <w:t>Latypova</w:t>
      </w:r>
      <w:r w:rsidRPr="003B6C2F" w:rsidR="003B6C2F">
        <w:t xml:space="preserve">, </w:t>
      </w:r>
      <w:r w:rsidRPr="003B6C2F" w:rsidR="003B6C2F">
        <w:t>Vjačaslaua</w:t>
      </w:r>
      <w:r w:rsidRPr="003B6C2F" w:rsidR="003B6C2F">
        <w:t xml:space="preserve"> </w:t>
      </w:r>
      <w:r w:rsidRPr="003B6C2F" w:rsidR="003B6C2F">
        <w:t>Arešky</w:t>
      </w:r>
      <w:r w:rsidRPr="00144487">
        <w:t xml:space="preserve"> a mnoha dalších ilustrují vážné zhoršení zdravotního stavu a </w:t>
      </w:r>
      <w:r>
        <w:t>devastující</w:t>
      </w:r>
      <w:r w:rsidRPr="00144487">
        <w:t xml:space="preserve"> důsledky nelidských vazebních podmínek, dlouhodobé izolace a odepření odpovídající lékařské péče;</w:t>
      </w:r>
    </w:p>
    <w:p w:rsidR="00A42FE0" w:rsidP="00A32D2C" w14:paraId="7D8AEB22" w14:textId="77777777">
      <w:pPr>
        <w:pStyle w:val="NormalHanging12a"/>
      </w:pPr>
    </w:p>
    <w:p w:rsidR="00E27897" w:rsidP="00A32D2C" w14:paraId="1321B9F8" w14:textId="77777777">
      <w:pPr>
        <w:pStyle w:val="NormalHanging12a"/>
      </w:pPr>
      <w:r>
        <w:t>E</w:t>
      </w:r>
      <w:r w:rsidRPr="006976BC" w:rsidR="006976BC">
        <w:t>.</w:t>
      </w:r>
      <w:r w:rsidRPr="006976BC" w:rsidR="006976BC">
        <w:tab/>
        <w:t xml:space="preserve">vzhledem k tomu, že článek 411 běloruského trestního zákoníku se systematicky používá proti politickým vězňům ke svévolnému prodlužování jejich vazby na základě vykonstruovaných disciplinárních přestupků, čímž se vytváří mechanismus časově </w:t>
      </w:r>
      <w:r w:rsidRPr="006976BC" w:rsidR="006976BC">
        <w:t>neomezeného zadržování a nátlaku; vzhledem k tomu, že od roku 2020 bylo na základě tohoto ustanovení odsouzeno více než 80 politických vězňů, v některých případech opakovaně; vzhledem k tomu, že článek 411 se používá k vydírání zadržovaných osob, nutí je k tomu, aby žádaly režim o milost, účastnily se propagandistické činnosti nebo spolupracovaly s běloruskými orgány, a stal se nástrojem psychického mučení a politických represí</w:t>
      </w:r>
      <w:r w:rsidR="006976BC">
        <w:t>;</w:t>
      </w:r>
    </w:p>
    <w:p w:rsidR="00155E52" w:rsidRPr="00A32D2C" w:rsidP="00A32D2C" w14:paraId="293657D9" w14:textId="66CE4B0A">
      <w:pPr>
        <w:pStyle w:val="NormalHanging12a"/>
      </w:pPr>
      <w:r w:rsidRPr="00A32D2C">
        <w:t>1.</w:t>
      </w:r>
      <w:r w:rsidRPr="00A32D2C">
        <w:tab/>
        <w:t xml:space="preserve">požaduje okamžité bezpodmínečné propuštění </w:t>
      </w:r>
      <w:r w:rsidRPr="00A32D2C">
        <w:t>Pulinovičové</w:t>
      </w:r>
      <w:r w:rsidRPr="00A32D2C">
        <w:t xml:space="preserve"> a všech politických vězňů, jejich úplnou rehabilitaci a navrácení všech jejich práv; znovu vyjadřuje svou neochvějnou solidaritu se všemi politickými vězni a jejich rodinami;</w:t>
      </w:r>
    </w:p>
    <w:p w:rsidR="00155E52" w:rsidRPr="00A32D2C" w:rsidP="00A32D2C" w14:paraId="24D4F780" w14:textId="77777777">
      <w:pPr>
        <w:pStyle w:val="NormalHanging12a"/>
      </w:pPr>
      <w:r w:rsidRPr="00A32D2C">
        <w:t>2.</w:t>
      </w:r>
      <w:r w:rsidRPr="00A32D2C">
        <w:tab/>
        <w:t>naléhavě vyzývá běloruské orgány, aby ukončily všechny formy špatného zacházení s politickými vězni, zadržování v izolaci, odpírání lékařské péče a přístupu k právnímu zástupci a k rodině a nucené práce a aby prošetřily případy úmrtí ve vazbě a údajného mučení;</w:t>
      </w:r>
    </w:p>
    <w:p w:rsidR="00155E52" w:rsidP="00A32D2C" w14:paraId="1927B0E9" w14:textId="77777777">
      <w:pPr>
        <w:pStyle w:val="NormalHanging12a"/>
      </w:pPr>
      <w:r w:rsidRPr="00A32D2C">
        <w:t>3.</w:t>
      </w:r>
      <w:r w:rsidRPr="00A32D2C">
        <w:tab/>
        <w:t xml:space="preserve">důrazně odsuzuje politicky motivované stíhání Bělorusů, zejména věznění nezletilých, jako je </w:t>
      </w:r>
      <w:r w:rsidRPr="00A32D2C">
        <w:t>Pulinovičová</w:t>
      </w:r>
      <w:r w:rsidRPr="00A32D2C">
        <w:t>; odsuzuje zneužívání zákonů proti terorismu a extremismu ke kriminalizaci protiválečného vystupování, odporu mládeže a projevů solidarity s Ukrajinou a k potlačování pokojného nesouhlasu, odsuzuje mj. závažná obvinění vznášená proti mladým lidem ve snaze je zastrašit; vyzývá ke zrušení seznamů teroristů a extremistů; naléhavě vyzývá běloruské orgány, aby dodržovaly ustanovení Úmluvy OSN o právech dítěte;</w:t>
      </w:r>
    </w:p>
    <w:p w:rsidR="00FF63E6" w:rsidRPr="00A32D2C" w:rsidP="00A32D2C" w14:paraId="6B2B20AC" w14:textId="2BBDF9EC">
      <w:pPr>
        <w:pStyle w:val="NormalHanging12a"/>
      </w:pPr>
      <w:r>
        <w:t>4</w:t>
      </w:r>
      <w:r w:rsidRPr="00FF63E6">
        <w:t>.</w:t>
      </w:r>
      <w:r w:rsidRPr="00FF63E6">
        <w:tab/>
        <w:t>odsuzuje systematické zneužívání článku 411 běloruského trestního zákoníku jako nástroje k politickému pronásledování a svévolnému prodlužování trestu; vyzývá k jeho okamžitému zrušení; požaduje propuštění a plnou právní rehabilitaci všech osob odsouzených podle tohoto ustanovení; vyjadřuje hluboké znepokojení nad přibližně 50</w:t>
      </w:r>
      <w:r w:rsidRPr="00A32D2C">
        <w:t> </w:t>
      </w:r>
      <w:r w:rsidRPr="00FF63E6">
        <w:t>politickými vězni, kteří zůstávají uvězněni podle článku 411 a jejichž život a zdraví jsou v důsledku dlouhodobého zadržování, samovazby a dalších forem nelidského a ponižujícího zacházení vážně ohroženy;</w:t>
      </w:r>
    </w:p>
    <w:p w:rsidR="00155E52" w:rsidRPr="00A32D2C" w:rsidP="00A32D2C" w14:paraId="22BA9218" w14:textId="59F0FF46">
      <w:pPr>
        <w:pStyle w:val="NormalHanging12a"/>
      </w:pPr>
      <w:r>
        <w:t>5</w:t>
      </w:r>
      <w:r w:rsidRPr="00A32D2C">
        <w:t>.</w:t>
      </w:r>
      <w:r w:rsidRPr="00A32D2C">
        <w:tab/>
        <w:t>oceňuje snahu USA o propuštění politických vězňů; zdůrazňuje však, že propouštění vězňů je motivováno starostí běloruského režimu o přežití jeho hospodářství a není doprovázeno politickou transformací ani reformou, která by byla důvodem k normalizaci vztahů; trvá na tom, že podmínkou politického dialogu a hospodářské spolupráce je i nadále propuštění všech politických vězňů a ukončení represí; požaduje ukončení násilných deportací propuštěných politických vězňů a represí vůči jejich rodinným příslušníkům;</w:t>
      </w:r>
    </w:p>
    <w:p w:rsidR="00155E52" w:rsidRPr="00A32D2C" w:rsidP="00A32D2C" w14:paraId="6A836614" w14:textId="0D7E0968">
      <w:pPr>
        <w:pStyle w:val="NormalHanging12a"/>
      </w:pPr>
      <w:r>
        <w:t>6</w:t>
      </w:r>
      <w:r w:rsidRPr="00A32D2C">
        <w:t>.</w:t>
      </w:r>
      <w:r w:rsidRPr="00A32D2C">
        <w:tab/>
        <w:t>naléhavě žádá EU, její členské státy a mezinárodní partnery, aby zintenzivnily své úsilí o propuštění všech politických vězňů, mj. tím, že si předvolají velvyslance běloruského režimu, aby zjistily, v jakých podmínkách a kde se vězni nacházejí, a že budou sledovat případy politických vězňů a vydávat humanitární víza, a aby jim poskytly podporu při resocializaci, ale i praktickou a finanční podporu;</w:t>
      </w:r>
    </w:p>
    <w:p w:rsidR="00155E52" w:rsidRPr="00A32D2C" w:rsidP="00A32D2C" w14:paraId="4DEFF26B" w14:textId="373BA09E">
      <w:pPr>
        <w:pStyle w:val="NormalHanging12a"/>
      </w:pPr>
      <w:r>
        <w:t>7</w:t>
      </w:r>
      <w:r w:rsidRPr="00A32D2C">
        <w:t>.</w:t>
      </w:r>
      <w:r w:rsidRPr="00A32D2C">
        <w:tab/>
        <w:t>vyzývá Radu, aby rozšířila a zpřísnila cílené sankce vůči všem osobám a subjektům, které nesou odpovědnost za politicky motivované stíhání, represe a mučení, a aby je důsledně prosazovala;</w:t>
      </w:r>
    </w:p>
    <w:p w:rsidR="00155E52" w:rsidRPr="00A32D2C" w:rsidP="00A32D2C" w14:paraId="0933D4F5" w14:textId="058D8BF8">
      <w:pPr>
        <w:pStyle w:val="NormalHanging12a"/>
      </w:pPr>
      <w:r>
        <w:t>8</w:t>
      </w:r>
      <w:r w:rsidRPr="00A32D2C">
        <w:t>.</w:t>
      </w:r>
      <w:r w:rsidRPr="00A32D2C">
        <w:tab/>
        <w:t xml:space="preserve">vyzývá EU a její členské státy, aby podpořily dokumentování trestných činů, jichž se </w:t>
      </w:r>
      <w:r w:rsidRPr="00A32D2C">
        <w:t xml:space="preserve">dopouští </w:t>
      </w:r>
      <w:r w:rsidRPr="00A32D2C">
        <w:t>Lukašenkův</w:t>
      </w:r>
      <w:r w:rsidRPr="00A32D2C">
        <w:t xml:space="preserve"> režim, mj. na úrovni OSN, a aby na základě mezinárodních mechanismů, mj. na základě podání Litvy k Mezinárodnímu trestnímu soudu a vlastních řízení založených na </w:t>
      </w:r>
      <w:r w:rsidRPr="00A32D2C">
        <w:t>extrateritoriální</w:t>
      </w:r>
      <w:r w:rsidRPr="00A32D2C">
        <w:t xml:space="preserve"> a všeobecné jurisdikci, zajistily, že se pachatelé budou za své činy zodpovídat;</w:t>
      </w:r>
    </w:p>
    <w:p w:rsidR="008670D1" w:rsidRPr="00A32D2C" w:rsidP="00A32D2C" w14:paraId="247D6591" w14:textId="223F4FE9">
      <w:pPr>
        <w:pStyle w:val="NormalHanging12a"/>
      </w:pPr>
      <w:r>
        <w:t>9</w:t>
      </w:r>
      <w:r w:rsidRPr="00A32D2C" w:rsidR="00155E52">
        <w:t>.</w:t>
      </w:r>
      <w:r w:rsidRPr="00A32D2C" w:rsidR="00155E52">
        <w:tab/>
        <w:t>pověřuje svou předsedkyni, aby předala toto usnesení místopředsedkyni Komise, vysoké představitelce, Radě, Komisi, vysokému komisaři OSN pro lidská práva a fakticky vládnoucím orgánům Běloruska.</w:t>
      </w:r>
    </w:p>
    <w:p w:rsidR="00E365E1" w:rsidRPr="00A32D2C" w:rsidP="00A32D2C" w14:paraId="526BCBF0" w14:textId="7F78FB73">
      <w:pPr>
        <w:spacing w:after="240"/>
        <w:ind w:left="567" w:hanging="567"/>
      </w:pPr>
    </w:p>
    <w:sectPr w:rsidSect="008670D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70D1" w14:paraId="3BE923E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70D1" w14:paraId="59AE7602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70D1" w14:paraId="69D4AAA7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70D1" w14:paraId="3029CCF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70D1" w14:paraId="378B912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670D1" w14:paraId="248BF60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00150984">
    <w:abstractNumId w:val="9"/>
  </w:num>
  <w:num w:numId="2" w16cid:durableId="273635483">
    <w:abstractNumId w:val="9"/>
  </w:num>
  <w:num w:numId="3" w16cid:durableId="2016375194">
    <w:abstractNumId w:val="7"/>
  </w:num>
  <w:num w:numId="4" w16cid:durableId="1938171974">
    <w:abstractNumId w:val="7"/>
  </w:num>
  <w:num w:numId="5" w16cid:durableId="111562795">
    <w:abstractNumId w:val="6"/>
  </w:num>
  <w:num w:numId="6" w16cid:durableId="619846591">
    <w:abstractNumId w:val="6"/>
  </w:num>
  <w:num w:numId="7" w16cid:durableId="1692997928">
    <w:abstractNumId w:val="5"/>
  </w:num>
  <w:num w:numId="8" w16cid:durableId="122311449">
    <w:abstractNumId w:val="5"/>
  </w:num>
  <w:num w:numId="9" w16cid:durableId="1370182351">
    <w:abstractNumId w:val="4"/>
  </w:num>
  <w:num w:numId="10" w16cid:durableId="268004020">
    <w:abstractNumId w:val="4"/>
  </w:num>
  <w:num w:numId="11" w16cid:durableId="603997315">
    <w:abstractNumId w:val="8"/>
  </w:num>
  <w:num w:numId="12" w16cid:durableId="231156566">
    <w:abstractNumId w:val="8"/>
  </w:num>
  <w:num w:numId="13" w16cid:durableId="908921632">
    <w:abstractNumId w:val="3"/>
  </w:num>
  <w:num w:numId="14" w16cid:durableId="899024696">
    <w:abstractNumId w:val="3"/>
  </w:num>
  <w:num w:numId="15" w16cid:durableId="1490294966">
    <w:abstractNumId w:val="2"/>
  </w:num>
  <w:num w:numId="16" w16cid:durableId="30421267">
    <w:abstractNumId w:val="2"/>
  </w:num>
  <w:num w:numId="17" w16cid:durableId="4987152">
    <w:abstractNumId w:val="1"/>
  </w:num>
  <w:num w:numId="18" w16cid:durableId="921378312">
    <w:abstractNumId w:val="1"/>
  </w:num>
  <w:num w:numId="19" w16cid:durableId="1052077576">
    <w:abstractNumId w:val="0"/>
  </w:num>
  <w:num w:numId="20" w16cid:durableId="245651208">
    <w:abstractNumId w:val="0"/>
  </w:num>
  <w:num w:numId="21" w16cid:durableId="1433283213">
    <w:abstractNumId w:val="9"/>
  </w:num>
  <w:num w:numId="22" w16cid:durableId="1838034330">
    <w:abstractNumId w:val="7"/>
  </w:num>
  <w:num w:numId="23" w16cid:durableId="2098406755">
    <w:abstractNumId w:val="6"/>
  </w:num>
  <w:num w:numId="24" w16cid:durableId="1801267441">
    <w:abstractNumId w:val="5"/>
  </w:num>
  <w:num w:numId="25" w16cid:durableId="604117303">
    <w:abstractNumId w:val="4"/>
  </w:num>
  <w:num w:numId="26" w16cid:durableId="1214195721">
    <w:abstractNumId w:val="8"/>
  </w:num>
  <w:num w:numId="27" w16cid:durableId="852185082">
    <w:abstractNumId w:val="3"/>
  </w:num>
  <w:num w:numId="28" w16cid:durableId="1887137234">
    <w:abstractNumId w:val="2"/>
  </w:num>
  <w:num w:numId="29" w16cid:durableId="2131894644">
    <w:abstractNumId w:val="1"/>
  </w:num>
  <w:num w:numId="30" w16cid:durableId="598568486">
    <w:abstractNumId w:val="0"/>
  </w:num>
  <w:num w:numId="31" w16cid:durableId="580409010">
    <w:abstractNumId w:val="9"/>
  </w:num>
  <w:num w:numId="32" w16cid:durableId="1902326790">
    <w:abstractNumId w:val="7"/>
  </w:num>
  <w:num w:numId="33" w16cid:durableId="1063480682">
    <w:abstractNumId w:val="6"/>
  </w:num>
  <w:num w:numId="34" w16cid:durableId="1035010452">
    <w:abstractNumId w:val="5"/>
  </w:num>
  <w:num w:numId="35" w16cid:durableId="1521771273">
    <w:abstractNumId w:val="4"/>
  </w:num>
  <w:num w:numId="36" w16cid:durableId="663047666">
    <w:abstractNumId w:val="8"/>
  </w:num>
  <w:num w:numId="37" w16cid:durableId="869799703">
    <w:abstractNumId w:val="3"/>
  </w:num>
  <w:num w:numId="38" w16cid:durableId="402987759">
    <w:abstractNumId w:val="2"/>
  </w:num>
  <w:num w:numId="39" w16cid:durableId="2064019618">
    <w:abstractNumId w:val="1"/>
  </w:num>
  <w:num w:numId="40" w16cid:durableId="1385637895">
    <w:abstractNumId w:val="0"/>
  </w:num>
  <w:num w:numId="41" w16cid:durableId="1670674451">
    <w:abstractNumId w:val="10"/>
  </w:num>
  <w:num w:numId="42" w16cid:durableId="626005298">
    <w:abstractNumId w:val="10"/>
  </w:num>
  <w:num w:numId="43" w16cid:durableId="1685932278">
    <w:abstractNumId w:val="10"/>
  </w:num>
  <w:num w:numId="44" w16cid:durableId="2307001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0DF"/>
    <w:rsid w:val="00002272"/>
    <w:rsid w:val="00064002"/>
    <w:rsid w:val="000677B9"/>
    <w:rsid w:val="000831BA"/>
    <w:rsid w:val="000A42CC"/>
    <w:rsid w:val="000E7DD9"/>
    <w:rsid w:val="0010095E"/>
    <w:rsid w:val="00125B37"/>
    <w:rsid w:val="00144487"/>
    <w:rsid w:val="00155E52"/>
    <w:rsid w:val="00187494"/>
    <w:rsid w:val="001F32AE"/>
    <w:rsid w:val="002767FF"/>
    <w:rsid w:val="002946B3"/>
    <w:rsid w:val="002B18FE"/>
    <w:rsid w:val="002B5493"/>
    <w:rsid w:val="00312994"/>
    <w:rsid w:val="00343214"/>
    <w:rsid w:val="00354C90"/>
    <w:rsid w:val="00361C00"/>
    <w:rsid w:val="00395FA1"/>
    <w:rsid w:val="003B6C2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F92"/>
    <w:rsid w:val="00543145"/>
    <w:rsid w:val="00545827"/>
    <w:rsid w:val="00560270"/>
    <w:rsid w:val="005C2568"/>
    <w:rsid w:val="005F1B17"/>
    <w:rsid w:val="006037C0"/>
    <w:rsid w:val="006631B6"/>
    <w:rsid w:val="00680577"/>
    <w:rsid w:val="006976BC"/>
    <w:rsid w:val="006F74FA"/>
    <w:rsid w:val="00714F4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0D1"/>
    <w:rsid w:val="00881A7B"/>
    <w:rsid w:val="008840E5"/>
    <w:rsid w:val="00887B3E"/>
    <w:rsid w:val="008A45AE"/>
    <w:rsid w:val="008B4E35"/>
    <w:rsid w:val="008C2AC6"/>
    <w:rsid w:val="00930C23"/>
    <w:rsid w:val="0093193B"/>
    <w:rsid w:val="009509D8"/>
    <w:rsid w:val="00950B64"/>
    <w:rsid w:val="009556CF"/>
    <w:rsid w:val="00981893"/>
    <w:rsid w:val="009C0AEE"/>
    <w:rsid w:val="009C2BD4"/>
    <w:rsid w:val="00A1687D"/>
    <w:rsid w:val="00A32D2C"/>
    <w:rsid w:val="00A42FE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0DF"/>
    <w:rsid w:val="00BF64A8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02AC"/>
    <w:rsid w:val="00E27897"/>
    <w:rsid w:val="00E365E1"/>
    <w:rsid w:val="00E820A4"/>
    <w:rsid w:val="00EB006A"/>
    <w:rsid w:val="00EB4772"/>
    <w:rsid w:val="00ED169E"/>
    <w:rsid w:val="00ED4235"/>
    <w:rsid w:val="00EF3583"/>
    <w:rsid w:val="00F04346"/>
    <w:rsid w:val="00F075DC"/>
    <w:rsid w:val="00F149E9"/>
    <w:rsid w:val="00F45996"/>
    <w:rsid w:val="00F5134D"/>
    <w:rsid w:val="00F74202"/>
    <w:rsid w:val="00F87713"/>
    <w:rsid w:val="00FB4360"/>
    <w:rsid w:val="00FD0C70"/>
    <w:rsid w:val="00FF63E6"/>
  </w:rsids>
  <w:docVars>
    <w:docVar w:name="dvdocse" w:val="B10-0294/2026"/>
    <w:docVar w:name="dvlangue" w:val="CS"/>
    <w:docVar w:name="dvnumam" w:val="0"/>
    <w:docVar w:name="dvpe" w:val="783.351"/>
    <w:docVar w:name="dvtitre" w:val="Usnesení Evropského parlamentu ze dne 18. června 2026 o zhoršující se situaci politických vězňů v Bělorusku, zejména o případu Aljaksandry Pulinovičové(2026/2766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08ACB72"/>
  <w15:chartTrackingRefBased/>
  <w15:docId w15:val="{4E8A65D2-938E-43BB-A480-FC2730D2E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55E52"/>
    <w:pPr>
      <w:spacing w:after="240"/>
      <w:ind w:left="567" w:hanging="567"/>
    </w:pPr>
  </w:style>
  <w:style w:type="paragraph" w:customStyle="1" w:styleId="EPComma">
    <w:name w:val="EPComma"/>
    <w:basedOn w:val="Normal"/>
    <w:rsid w:val="00155E5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55E52"/>
    <w:rPr>
      <w:sz w:val="24"/>
      <w:lang w:val="cs-CZ"/>
    </w:rPr>
  </w:style>
  <w:style w:type="paragraph" w:styleId="Revision">
    <w:name w:val="Revision"/>
    <w:hidden/>
    <w:uiPriority w:val="99"/>
    <w:semiHidden/>
    <w:rsid w:val="00A32D2C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788</Words>
  <Characters>5045</Characters>
  <Application>Microsoft Office Word</Application>
  <DocSecurity>0</DocSecurity>
  <Lines>114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2026-07-15T15:10:00Z</dcterms:created>
  <dcterms:modified xsi:type="dcterms:W3CDTF">2026-07-15T15:10:00Z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P10_TA(2026)0224_</vt:lpwstr>
  </property>
  <property fmtid="{D5CDD505-2E9C-101B-9397-08002B2CF9AE}" pid="4" name="&lt;Type&gt;">
    <vt:lpwstr>RR</vt:lpwstr>
  </property>
</Properties>
</file>