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697D76C0" w14:textId="77777777" w:rsidTr="0010095E">
        <w:tblPrEx>
          <w:tblW w:w="9072" w:type="dxa"/>
          <w:tblLook w:val="01E0"/>
        </w:tblPrEx>
        <w:trPr>
          <w:trHeight w:hRule="exact" w:val="1418"/>
        </w:trPr>
        <w:tc>
          <w:tcPr>
            <w:tcW w:w="6804" w:type="dxa"/>
            <w:shd w:val="clear" w:color="auto" w:fill="auto"/>
            <w:vAlign w:val="center"/>
          </w:tcPr>
          <w:p w:rsidR="00751A4A" w:rsidRPr="004D28F0" w:rsidP="0010095E" w14:paraId="7453C9F1" w14:textId="77777777">
            <w:pPr>
              <w:pStyle w:val="EPName"/>
            </w:pPr>
            <w:r w:rsidRPr="004D28F0">
              <w:t>Europa-Parlamentet</w:t>
            </w:r>
          </w:p>
          <w:p w:rsidR="00751A4A" w:rsidRPr="004D28F0" w:rsidP="005F1B17" w14:paraId="4D772899" w14:textId="77777777">
            <w:pPr>
              <w:pStyle w:val="EPTerm"/>
              <w:rPr>
                <w:rStyle w:val="HideTWBExt"/>
                <w:noProof w:val="0"/>
                <w:vanish w:val="0"/>
                <w:color w:val="auto"/>
              </w:rPr>
            </w:pPr>
            <w:r w:rsidRPr="004D28F0">
              <w:t>2024</w:t>
            </w:r>
            <w:r w:rsidRPr="004D28F0" w:rsidR="00817416">
              <w:t>-202</w:t>
            </w:r>
            <w:r w:rsidRPr="004D28F0">
              <w:t>9</w:t>
            </w:r>
          </w:p>
        </w:tc>
        <w:tc>
          <w:tcPr>
            <w:tcW w:w="2268" w:type="dxa"/>
            <w:shd w:val="clear" w:color="auto" w:fill="auto"/>
          </w:tcPr>
          <w:p w:rsidR="00751A4A" w:rsidRPr="004D28F0" w:rsidP="0010095E" w14:paraId="6F5D4DC5" w14:textId="77777777">
            <w:pPr>
              <w:pStyle w:val="EPLogo"/>
            </w:pPr>
            <w:r w:rsidRPr="004D28F0">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4D28F0" w:rsidP="004C5D52" w14:paraId="0D418B14" w14:textId="77777777">
      <w:pPr>
        <w:pStyle w:val="LineTop"/>
      </w:pPr>
    </w:p>
    <w:p w:rsidR="00680577" w:rsidRPr="004D28F0" w:rsidP="00680577" w14:paraId="26814440" w14:textId="77777777">
      <w:pPr>
        <w:pStyle w:val="EPBodyTA1"/>
      </w:pPr>
      <w:r w:rsidRPr="004D28F0">
        <w:t>VEDTAGNE TEKSTER</w:t>
      </w:r>
    </w:p>
    <w:p w:rsidR="00D058B8" w:rsidRPr="004D28F0" w:rsidP="00D058B8" w14:paraId="482417C0" w14:textId="77777777">
      <w:pPr>
        <w:pStyle w:val="LineBottom"/>
      </w:pPr>
    </w:p>
    <w:p w:rsidR="00CD0FAD" w:rsidRPr="004D28F0" w:rsidP="00CD0FAD" w14:paraId="2BB00C0D" w14:textId="161E9B3E">
      <w:pPr>
        <w:pStyle w:val="ATHeading1"/>
      </w:pPr>
      <w:bookmarkStart w:id="0" w:name="TANumber"/>
      <w:r w:rsidRPr="004D28F0">
        <w:t>P10_</w:t>
      </w:r>
      <w:r w:rsidRPr="004D28F0">
        <w:t>TA(</w:t>
      </w:r>
      <w:r w:rsidRPr="004D28F0">
        <w:t>2026)0</w:t>
      </w:r>
      <w:bookmarkEnd w:id="0"/>
      <w:r w:rsidR="00516291">
        <w:t>224</w:t>
      </w:r>
    </w:p>
    <w:p w:rsidR="00CD0FAD" w:rsidRPr="00DF172E" w:rsidP="00CD0FAD" w14:paraId="1BCB0666" w14:textId="3BA75591">
      <w:pPr>
        <w:pStyle w:val="ATHeading2"/>
      </w:pPr>
      <w:r w:rsidRPr="000A6230">
        <w:rPr>
          <w:bCs/>
        </w:rPr>
        <w:t xml:space="preserve">Den forværrede situation for politiske fanger i Belarus, navnlig sagen om </w:t>
      </w:r>
      <w:r w:rsidRPr="000A6230">
        <w:rPr>
          <w:bCs/>
        </w:rPr>
        <w:t>Aljaksandra</w:t>
      </w:r>
      <w:r w:rsidRPr="000A6230">
        <w:rPr>
          <w:bCs/>
        </w:rPr>
        <w:t xml:space="preserve"> Pul</w:t>
      </w:r>
      <w:r w:rsidRPr="00DF172E">
        <w:rPr>
          <w:bCs/>
          <w:lang w:val="en-GB"/>
        </w:rPr>
        <w:t>і</w:t>
      </w:r>
      <w:r w:rsidRPr="000A6230">
        <w:rPr>
          <w:bCs/>
        </w:rPr>
        <w:t>nov</w:t>
      </w:r>
      <w:r w:rsidRPr="00DF172E">
        <w:rPr>
          <w:bCs/>
          <w:lang w:val="en-GB"/>
        </w:rPr>
        <w:t>і</w:t>
      </w:r>
      <w:r w:rsidRPr="000A6230">
        <w:rPr>
          <w:bCs/>
        </w:rPr>
        <w:t>tj</w:t>
      </w:r>
    </w:p>
    <w:p w:rsidR="00CD0FAD" w:rsidRPr="004D28F0" w:rsidP="00CD0FAD" w14:paraId="56C128F5" w14:textId="1D786F7D">
      <w:pPr>
        <w:rPr>
          <w:i/>
          <w:vanish/>
        </w:rPr>
      </w:pPr>
      <w:r>
        <w:rPr>
          <w:i/>
        </w:rPr>
        <w:fldChar w:fldCharType="begin"/>
      </w:r>
      <w:r w:rsidRPr="004D28F0">
        <w:rPr>
          <w:i/>
        </w:rPr>
        <w:instrText xml:space="preserve"> TC"(</w:instrText>
      </w:r>
      <w:bookmarkStart w:id="1" w:name="DocNumber"/>
      <w:r w:rsidRPr="004D28F0">
        <w:rPr>
          <w:i/>
        </w:rPr>
        <w:instrText>B10-0294</w:instrText>
      </w:r>
      <w:r w:rsidR="00E70EF9">
        <w:rPr>
          <w:i/>
        </w:rPr>
        <w:instrText>, 0324, 0325, 0326, 0327 og 0328</w:instrText>
      </w:r>
      <w:r w:rsidRPr="004D28F0">
        <w:rPr>
          <w:i/>
        </w:rPr>
        <w:instrText>/2026</w:instrText>
      </w:r>
      <w:bookmarkEnd w:id="1"/>
      <w:r w:rsidRPr="004D28F0">
        <w:rPr>
          <w:i/>
        </w:rPr>
        <w:instrText xml:space="preserve">)"\l3 \n&gt; \* MERGEFORMAT </w:instrText>
      </w:r>
      <w:r>
        <w:rPr>
          <w:i/>
        </w:rPr>
        <w:fldChar w:fldCharType="end"/>
      </w:r>
    </w:p>
    <w:p w:rsidR="00CD0FAD" w:rsidRPr="004D28F0" w:rsidP="00CD0FAD" w14:paraId="4B4D17CB" w14:textId="77777777">
      <w:pPr>
        <w:rPr>
          <w:vanish/>
        </w:rPr>
      </w:pPr>
      <w:bookmarkStart w:id="2" w:name="PE"/>
      <w:r w:rsidRPr="004D28F0">
        <w:rPr>
          <w:vanish/>
        </w:rPr>
        <w:t>PE783.351</w:t>
      </w:r>
      <w:bookmarkEnd w:id="2"/>
    </w:p>
    <w:p w:rsidR="00CD0FAD" w:rsidRPr="004D28F0" w:rsidP="00CD0FAD" w14:paraId="6796A9F3" w14:textId="0BA23B99">
      <w:pPr>
        <w:pStyle w:val="ATHeading3"/>
      </w:pPr>
      <w:bookmarkStart w:id="3" w:name="Sujet"/>
      <w:r w:rsidRPr="004D28F0">
        <w:t xml:space="preserve">Europa-Parlamentets beslutning af </w:t>
      </w:r>
      <w:r w:rsidR="00DF172E">
        <w:t>18. juni</w:t>
      </w:r>
      <w:r w:rsidRPr="004D28F0">
        <w:t xml:space="preserve"> 2026 om den forværrede situation for politiske fanger i Belarus, navnlig sagen om </w:t>
      </w:r>
      <w:r w:rsidRPr="004D28F0">
        <w:t>Aljaksandra</w:t>
      </w:r>
      <w:r w:rsidRPr="004D28F0">
        <w:t xml:space="preserve"> </w:t>
      </w:r>
      <w:r w:rsidRPr="004D28F0">
        <w:t>Pulіnovіtj</w:t>
      </w:r>
      <w:bookmarkEnd w:id="3"/>
      <w:r w:rsidRPr="004D28F0">
        <w:t xml:space="preserve"> </w:t>
      </w:r>
      <w:bookmarkStart w:id="4" w:name="References"/>
      <w:r w:rsidRPr="004D28F0">
        <w:t>(2026/2766(RSP))</w:t>
      </w:r>
      <w:bookmarkEnd w:id="4"/>
    </w:p>
    <w:p w:rsidR="00396A2E" w:rsidRPr="004D28F0" w:rsidP="00396A2E" w14:paraId="7C875993" w14:textId="77777777">
      <w:pPr>
        <w:pStyle w:val="EPComma"/>
      </w:pPr>
      <w:bookmarkStart w:id="5" w:name="TextBodyBegin"/>
      <w:bookmarkEnd w:id="5"/>
      <w:r w:rsidRPr="004D28F0">
        <w:rPr>
          <w:i/>
          <w:iCs/>
        </w:rPr>
        <w:t>Europa-Parlamentet,</w:t>
      </w:r>
    </w:p>
    <w:p w:rsidR="00396A2E" w:rsidRPr="004D28F0" w:rsidP="00396A2E" w14:paraId="6F846239" w14:textId="77777777">
      <w:pPr>
        <w:pStyle w:val="NormalHanging12a"/>
      </w:pPr>
      <w:r w:rsidRPr="004D28F0">
        <w:t>–</w:t>
      </w:r>
      <w:r w:rsidRPr="004D28F0">
        <w:tab/>
        <w:t>der henviser til sine tidligere beslutninger om Belarus,</w:t>
      </w:r>
    </w:p>
    <w:p w:rsidR="00396A2E" w:rsidRPr="004D28F0" w:rsidP="00396A2E" w14:paraId="44B90E6E" w14:textId="77777777">
      <w:pPr>
        <w:pStyle w:val="NormalHanging12a"/>
      </w:pPr>
      <w:r w:rsidRPr="004D28F0">
        <w:t>–</w:t>
      </w:r>
      <w:r w:rsidRPr="004D28F0">
        <w:tab/>
        <w:t>der henviser til forretningsordenens artikel 150, stk. 5, og artikel 136, stk. 4,</w:t>
      </w:r>
    </w:p>
    <w:p w:rsidR="00396A2E" w:rsidRPr="004D28F0" w:rsidP="00396A2E" w14:paraId="0A6B7731" w14:textId="77777777">
      <w:pPr>
        <w:pStyle w:val="NormalHanging12a"/>
      </w:pPr>
      <w:r w:rsidRPr="004D28F0">
        <w:t>A.</w:t>
      </w:r>
      <w:r w:rsidRPr="004D28F0">
        <w:tab/>
        <w:t xml:space="preserve">der henviser til, at den 16-årige </w:t>
      </w:r>
      <w:r w:rsidRPr="004D28F0">
        <w:t>Aljaksandra</w:t>
      </w:r>
      <w:r w:rsidRPr="004D28F0">
        <w:t xml:space="preserve"> </w:t>
      </w:r>
      <w:r w:rsidRPr="004D28F0">
        <w:t>Pulinovitj</w:t>
      </w:r>
      <w:r w:rsidRPr="004D28F0">
        <w:t xml:space="preserve"> i januar 2024 blev tilbageholdt i sagen om "de sorte nattergale", der drejede sig om graffiti vendt mod Ruslands angrebskrig mod Ukraine, anbragt i en straffecelle og nægtet juridisk forsvar og støtte fra sine forældre; der henviser til, at hun blev idømt over ti års fængsel i en sag, som foregik for lukkede døre, og derefter opført på en "terroristliste";</w:t>
      </w:r>
    </w:p>
    <w:p w:rsidR="00396A2E" w:rsidRPr="004D28F0" w:rsidP="00396A2E" w14:paraId="57C8557C" w14:textId="77777777">
      <w:pPr>
        <w:pStyle w:val="NormalHanging12a"/>
      </w:pPr>
      <w:r w:rsidRPr="004D28F0">
        <w:t>B.</w:t>
      </w:r>
      <w:r w:rsidRPr="004D28F0">
        <w:tab/>
        <w:t xml:space="preserve">der henviser til, at </w:t>
      </w:r>
      <w:r w:rsidRPr="004D28F0">
        <w:t>Pulinovitjs</w:t>
      </w:r>
      <w:r w:rsidRPr="004D28F0">
        <w:t xml:space="preserve"> sag er et vidnesbyrd om de </w:t>
      </w:r>
      <w:r w:rsidRPr="004D28F0">
        <w:t>belarusiske</w:t>
      </w:r>
      <w:r w:rsidRPr="004D28F0">
        <w:t xml:space="preserve"> myndigheders anvendelse af </w:t>
      </w:r>
      <w:r w:rsidRPr="004D28F0">
        <w:t>antiterrorlovgivningen</w:t>
      </w:r>
      <w:r w:rsidRPr="004D28F0">
        <w:t xml:space="preserve"> til at kriminalisere unge af politiske grunde;</w:t>
      </w:r>
    </w:p>
    <w:p w:rsidR="00396A2E" w:rsidP="00396A2E" w14:paraId="3B846936" w14:textId="01212197">
      <w:pPr>
        <w:pStyle w:val="NormalHanging12a"/>
      </w:pPr>
      <w:r w:rsidRPr="004D28F0">
        <w:t>C.</w:t>
      </w:r>
      <w:r w:rsidRPr="004D28F0">
        <w:tab/>
        <w:t xml:space="preserve">der henviser til, at </w:t>
      </w:r>
      <w:r w:rsidRPr="004D28F0">
        <w:t>Lukasjenkaregimet</w:t>
      </w:r>
      <w:r w:rsidRPr="004D28F0">
        <w:t xml:space="preserve"> systematisk undertrykker politiske modstandere, menneskerettighedsforkæmpere, journalister, fagforeningsfolk, studerende, nationale mindretal og borgere, der udøver deres grundlæggende frihedsrettigheder; der henviser til, at 853 politiske fanger fortsat er vilkårligt tilbageholdt under inhumane forhold;</w:t>
      </w:r>
    </w:p>
    <w:p w:rsidR="00516291" w:rsidP="00396A2E" w14:paraId="5C5D8B01" w14:textId="0EF55133">
      <w:pPr>
        <w:pStyle w:val="NormalHanging12a"/>
      </w:pPr>
      <w:r>
        <w:t>D.</w:t>
      </w:r>
      <w:r>
        <w:tab/>
      </w:r>
      <w:r w:rsidRPr="00516291">
        <w:t xml:space="preserve">der henviser til, at sagerne om </w:t>
      </w:r>
      <w:r w:rsidRPr="00516291">
        <w:t>Dzianis</w:t>
      </w:r>
      <w:r w:rsidRPr="00516291">
        <w:t xml:space="preserve"> </w:t>
      </w:r>
      <w:r w:rsidRPr="00516291">
        <w:t>Ivashyn</w:t>
      </w:r>
      <w:r w:rsidRPr="00516291">
        <w:t xml:space="preserve">, Pavel </w:t>
      </w:r>
      <w:r w:rsidRPr="00516291">
        <w:t>Belavus</w:t>
      </w:r>
      <w:r w:rsidRPr="00516291">
        <w:t xml:space="preserve">, </w:t>
      </w:r>
      <w:r w:rsidRPr="00516291">
        <w:t>Ihar</w:t>
      </w:r>
      <w:r w:rsidRPr="00516291">
        <w:t xml:space="preserve"> </w:t>
      </w:r>
      <w:r w:rsidRPr="00516291">
        <w:t>Alinevich</w:t>
      </w:r>
      <w:r w:rsidRPr="00516291">
        <w:t xml:space="preserve">, </w:t>
      </w:r>
      <w:r w:rsidRPr="00516291">
        <w:t>Volha</w:t>
      </w:r>
      <w:r w:rsidRPr="00516291">
        <w:t xml:space="preserve"> </w:t>
      </w:r>
      <w:r w:rsidRPr="00516291">
        <w:t>Mayorava</w:t>
      </w:r>
      <w:r w:rsidRPr="00516291">
        <w:t xml:space="preserve">, Alena </w:t>
      </w:r>
      <w:r w:rsidRPr="00516291">
        <w:t>Lazarchyk</w:t>
      </w:r>
      <w:r w:rsidRPr="00516291">
        <w:t xml:space="preserve">, </w:t>
      </w:r>
      <w:r w:rsidRPr="00516291">
        <w:t>Aliaksandr</w:t>
      </w:r>
      <w:r w:rsidRPr="00516291">
        <w:t xml:space="preserve"> </w:t>
      </w:r>
      <w:r w:rsidRPr="00516291">
        <w:t>Frantskevich</w:t>
      </w:r>
      <w:r w:rsidRPr="00516291">
        <w:t xml:space="preserve">, </w:t>
      </w:r>
      <w:r w:rsidRPr="00516291">
        <w:t>Viktar</w:t>
      </w:r>
      <w:r w:rsidRPr="00516291">
        <w:t xml:space="preserve"> </w:t>
      </w:r>
      <w:r w:rsidRPr="00516291">
        <w:t>Snehur</w:t>
      </w:r>
      <w:r w:rsidRPr="00516291">
        <w:t xml:space="preserve">, Eduard </w:t>
      </w:r>
      <w:r w:rsidRPr="00516291">
        <w:t>Babaryka</w:t>
      </w:r>
      <w:r w:rsidRPr="00516291">
        <w:t xml:space="preserve">, </w:t>
      </w:r>
      <w:r w:rsidRPr="00516291">
        <w:t>Mikalai</w:t>
      </w:r>
      <w:r w:rsidRPr="00516291">
        <w:t xml:space="preserve"> </w:t>
      </w:r>
      <w:r w:rsidRPr="00516291">
        <w:t>Autukhovich</w:t>
      </w:r>
      <w:r w:rsidRPr="00516291">
        <w:t xml:space="preserve">, </w:t>
      </w:r>
      <w:r w:rsidRPr="00516291">
        <w:t>Uladzimir</w:t>
      </w:r>
      <w:r w:rsidRPr="00516291">
        <w:t xml:space="preserve"> </w:t>
      </w:r>
      <w:r w:rsidRPr="00516291">
        <w:t>Hundar</w:t>
      </w:r>
      <w:r w:rsidRPr="00516291">
        <w:t xml:space="preserve">, Iryna </w:t>
      </w:r>
      <w:r w:rsidRPr="00516291">
        <w:t>Melkher</w:t>
      </w:r>
      <w:r w:rsidRPr="00516291">
        <w:t xml:space="preserve">, medlemmer af familierne </w:t>
      </w:r>
      <w:r w:rsidRPr="00516291">
        <w:t>Rezanovich</w:t>
      </w:r>
      <w:r w:rsidRPr="00516291">
        <w:t xml:space="preserve"> og </w:t>
      </w:r>
      <w:r w:rsidRPr="00516291">
        <w:t>Karsakou</w:t>
      </w:r>
      <w:r w:rsidRPr="00516291">
        <w:t xml:space="preserve">, </w:t>
      </w:r>
      <w:r w:rsidRPr="00516291">
        <w:t>Stsiapan</w:t>
      </w:r>
      <w:r w:rsidRPr="00516291">
        <w:t xml:space="preserve"> </w:t>
      </w:r>
      <w:r w:rsidRPr="00516291">
        <w:t>Latypau</w:t>
      </w:r>
      <w:r w:rsidRPr="00516291">
        <w:t xml:space="preserve">, </w:t>
      </w:r>
      <w:r w:rsidRPr="00516291">
        <w:t>Viachaslau</w:t>
      </w:r>
      <w:r w:rsidRPr="00516291">
        <w:t xml:space="preserve"> </w:t>
      </w:r>
      <w:r w:rsidRPr="00516291">
        <w:t>Areshka</w:t>
      </w:r>
      <w:r w:rsidRPr="00516291">
        <w:t xml:space="preserve"> og mange andre illustrerer den alvorlige forværring af sundheden og de ødelæggende konsekvenser af umenneskelige tilbageholdelsesforhold, langvarig isolation og nægtelse af passende lægebehandling</w:t>
      </w:r>
      <w:r>
        <w:t>;</w:t>
      </w:r>
    </w:p>
    <w:p w:rsidR="00516291" w:rsidRPr="004D28F0" w:rsidP="00396A2E" w14:paraId="3FB15C68" w14:textId="411FF17D">
      <w:pPr>
        <w:pStyle w:val="NormalHanging12a"/>
      </w:pPr>
      <w:r>
        <w:t>E.</w:t>
      </w:r>
      <w:r>
        <w:tab/>
      </w:r>
      <w:r w:rsidRPr="00AC2B1A" w:rsidR="00AC2B1A">
        <w:t xml:space="preserve">der henviser til, at artikel 411 i den </w:t>
      </w:r>
      <w:r w:rsidRPr="00AC2B1A" w:rsidR="00AC2B1A">
        <w:t>belarusiske</w:t>
      </w:r>
      <w:r w:rsidRPr="00AC2B1A" w:rsidR="00AC2B1A">
        <w:t xml:space="preserve"> straffelov systematisk er blevet anvendt mod politiske fanger til vilkårligt at forlænge deres fængsling på grundlag af opdigtede disciplinære overtrædelser, hvilket har skabt en mekanisme for tidsubegrænset </w:t>
      </w:r>
      <w:r w:rsidRPr="00AC2B1A" w:rsidR="00AC2B1A">
        <w:t>tilbageholdelse og tvang; der henviser til, at mere end 80 politiske fanger er blevet dømt i henhold til denne artikel siden 2020, nogle af dem gentagne gange; der henviser til, at artikel 411 anvendes til at afpresse tilbageholdte, tvinge dem til at søge benådning fra regimet, deltage i propagandanumre eller samarbejde med myndighederne og er blevet et instrument til psykologisk tortur og politisk undertrykkelse;</w:t>
      </w:r>
    </w:p>
    <w:p w:rsidR="00396A2E" w:rsidRPr="004D28F0" w:rsidP="00396A2E" w14:paraId="61C51D6C" w14:textId="77777777">
      <w:pPr>
        <w:pStyle w:val="NormalHanging12a"/>
      </w:pPr>
      <w:r w:rsidRPr="004D28F0">
        <w:t>1.</w:t>
      </w:r>
      <w:r w:rsidRPr="004D28F0">
        <w:tab/>
        <w:t xml:space="preserve">kræver øjeblikkelig og betingelsesløs løsladelse af </w:t>
      </w:r>
      <w:r w:rsidRPr="004D28F0">
        <w:t>Pulinovitj</w:t>
      </w:r>
      <w:r w:rsidRPr="004D28F0">
        <w:t xml:space="preserve"> og alle politiske fanger, deres fulde rehabilitering og fuld genoprettelse af deres rettigheder; gentager sin ufravigelige solidaritet med alle politiske fanger og deres familier;</w:t>
      </w:r>
    </w:p>
    <w:p w:rsidR="00396A2E" w:rsidRPr="004D28F0" w:rsidP="00396A2E" w14:paraId="6206AC26" w14:textId="77777777">
      <w:pPr>
        <w:pStyle w:val="NormalHanging12a"/>
      </w:pPr>
      <w:r w:rsidRPr="004D28F0">
        <w:t>2.</w:t>
      </w:r>
      <w:r w:rsidRPr="004D28F0">
        <w:tab/>
        <w:t>opfordrer indtrængende myndighederne til at sætte en stopper for alle former for mishandling af politiske fanger, tilbageholdelse i isolation, nægtelse af lægebehandling og adgang til advokater og familie samt tvangsarbejde og til at undersøge dødsfald under varetægtsfængsling og påstande om tortur;</w:t>
      </w:r>
    </w:p>
    <w:p w:rsidR="00396A2E" w:rsidP="00396A2E" w14:paraId="35070792" w14:textId="77777777">
      <w:pPr>
        <w:pStyle w:val="NormalHanging12a"/>
      </w:pPr>
      <w:r w:rsidRPr="004D28F0">
        <w:t>3.</w:t>
      </w:r>
      <w:r w:rsidRPr="004D28F0">
        <w:tab/>
        <w:t xml:space="preserve">fordømmer på det kraftigste den politisk motiverede retsforfølgning af </w:t>
      </w:r>
      <w:r w:rsidRPr="004D28F0">
        <w:t>belarusere</w:t>
      </w:r>
      <w:r w:rsidRPr="004D28F0">
        <w:t xml:space="preserve">, navnlig fængslingen af mindreårige som </w:t>
      </w:r>
      <w:r w:rsidRPr="004D28F0">
        <w:t>Pulinovitj</w:t>
      </w:r>
      <w:r w:rsidRPr="004D28F0">
        <w:t xml:space="preserve">; fordømmer misbruget af antiterror- og </w:t>
      </w:r>
      <w:r w:rsidRPr="004D28F0">
        <w:t>antiekstremismelovgivningen</w:t>
      </w:r>
      <w:r w:rsidRPr="004D28F0">
        <w:t xml:space="preserve"> til at kriminalisere </w:t>
      </w:r>
      <w:r w:rsidRPr="004D28F0">
        <w:t>antikrigsholdninger</w:t>
      </w:r>
      <w:r w:rsidRPr="004D28F0">
        <w:t xml:space="preserve">, uenighed blandt unge og solidaritet med Ukraine og til at undertrykke fredelige protester, herunder ved at rejse alvorlige anklager mod unge for at intimidere dem; opfordrer til at afskaffe listerne over terrorister og ekstremister; opfordrer indtrængende de </w:t>
      </w:r>
      <w:r w:rsidRPr="004D28F0">
        <w:t>belarusiske</w:t>
      </w:r>
      <w:r w:rsidRPr="004D28F0">
        <w:t xml:space="preserve"> myndigheder til at overholde FN's konvention om barnets rettigheder;</w:t>
      </w:r>
    </w:p>
    <w:p w:rsidR="00AC2B1A" w:rsidRPr="004D28F0" w:rsidP="00396A2E" w14:paraId="69E09392" w14:textId="42CA257E">
      <w:pPr>
        <w:pStyle w:val="NormalHanging12a"/>
      </w:pPr>
      <w:r>
        <w:t>4.</w:t>
      </w:r>
      <w:r>
        <w:tab/>
      </w:r>
      <w:r w:rsidRPr="00AC2B1A">
        <w:t xml:space="preserve">fordømmer det systematiske misbrug af artikel 411 i den </w:t>
      </w:r>
      <w:r w:rsidRPr="00AC2B1A">
        <w:t>belarusiske</w:t>
      </w:r>
      <w:r w:rsidRPr="00AC2B1A">
        <w:t xml:space="preserve"> straffelov som et redskab til politisk forfølgelse og vilkårlig strafforlængelse; opfordrer til, at artiklen straks ophæves; kræver løsladelse og fuld juridisk rehabilitering af alle personer, der er dømt i henhold til denne bestemmelse; udtrykker dyb bekymring over de ca. 50 politiske fanger, der fortsat er fængslet i henhold til artikel 411, og hvis liv og helbred er i alvorlig fare som følge af langvarig tilbageholdelse, isolationsfængsling og andre former for umenneskelig og nedværdigende behandling;</w:t>
      </w:r>
    </w:p>
    <w:p w:rsidR="00396A2E" w:rsidRPr="004D28F0" w:rsidP="00396A2E" w14:paraId="69BA36BE" w14:textId="1AF3320B">
      <w:pPr>
        <w:pStyle w:val="NormalHanging12a"/>
      </w:pPr>
      <w:r>
        <w:t>5</w:t>
      </w:r>
      <w:r w:rsidRPr="004D28F0">
        <w:t>.</w:t>
      </w:r>
      <w:r w:rsidRPr="004D28F0">
        <w:tab/>
        <w:t>anerkender USA's bestræbelser på at sikre løsladelse af politiske fanger; understreger imidlertid, at fangeløsladelser udspringer af regimets bekymring for sin økonomiske overlevelse og ikke ledsages af politiske forandringer eller reformer, der kan retfærdiggøre en normalisering af forbindelserne; insisterer på, at løsladelse af alle politiske fanger og opgør med undertrykkelsen fortsat er forudsætninger for politisk dialog og økonomisk samarbejde; kræver, at tvungen deportation af løsladte politiske fanger og undertrykkelse af deres pårørende ophører;</w:t>
      </w:r>
    </w:p>
    <w:p w:rsidR="00396A2E" w:rsidRPr="004D28F0" w:rsidP="00396A2E" w14:paraId="27D2F489" w14:textId="7ED38E8F">
      <w:pPr>
        <w:pStyle w:val="NormalHanging12a"/>
      </w:pPr>
      <w:r>
        <w:t>6</w:t>
      </w:r>
      <w:r w:rsidRPr="004D28F0">
        <w:t>.</w:t>
      </w:r>
      <w:r w:rsidRPr="004D28F0">
        <w:tab/>
        <w:t>opfordrer indtrængende EU, dets medlemsstater og internationale partnere til at intensivere bestræbelserne på at sikre løsladelse af alle politiske fanger, herunder indkaldelse af regimets ambassadører for at fastslå, hvordan fangerne har det, og hvor de befinder sig, overvågning af politiske fangers sager og udstedelse af humanitære visa, og til at sørge for rehabilitering og praktisk og økonomisk støtte;</w:t>
      </w:r>
    </w:p>
    <w:p w:rsidR="00396A2E" w:rsidRPr="004D28F0" w:rsidP="00396A2E" w14:paraId="62FBF99E" w14:textId="1510F77E">
      <w:pPr>
        <w:pStyle w:val="NormalHanging12a"/>
      </w:pPr>
      <w:r>
        <w:t>7</w:t>
      </w:r>
      <w:r w:rsidRPr="004D28F0">
        <w:t>.</w:t>
      </w:r>
      <w:r w:rsidRPr="004D28F0">
        <w:tab/>
        <w:t>opfordrer Rådet til at udvide, skærpe og strengt håndhæve målrettede sanktioner mod alle personer og enheder, der er ansvarlige for politisk motiveret forfølgelse, undertrykkelse og tortur;</w:t>
      </w:r>
    </w:p>
    <w:p w:rsidR="00396A2E" w:rsidRPr="004D28F0" w:rsidP="00396A2E" w14:paraId="77A41808" w14:textId="46F353D8">
      <w:pPr>
        <w:pStyle w:val="NormalHanging12a"/>
      </w:pPr>
      <w:r>
        <w:t>8</w:t>
      </w:r>
      <w:r w:rsidRPr="004D28F0">
        <w:t>.</w:t>
      </w:r>
      <w:r w:rsidRPr="004D28F0">
        <w:tab/>
        <w:t xml:space="preserve">opfordrer EU og dets medlemsstater til at støtte dokumentationen af forbrydelser begået af </w:t>
      </w:r>
      <w:r w:rsidRPr="004D28F0">
        <w:t>Lukasjenkaregimet</w:t>
      </w:r>
      <w:r w:rsidRPr="004D28F0">
        <w:t xml:space="preserve">, herunder på FN-plan, og til yderligere </w:t>
      </w:r>
      <w:r w:rsidRPr="004D28F0">
        <w:t>ansvarliggørelse</w:t>
      </w:r>
      <w:r w:rsidRPr="004D28F0">
        <w:t xml:space="preserve"> gennem </w:t>
      </w:r>
      <w:r w:rsidRPr="004D28F0">
        <w:t>internationale mekanismer, herunder den sag, som Litauen har indbragt for Den Internationale Straffedomstol (ICC), og efterforskninger og nationale søgsmål baseret på ekstraterritorial og universel jurisdiktion;</w:t>
      </w:r>
    </w:p>
    <w:p w:rsidR="00E365E1" w:rsidRPr="004D28F0" w:rsidP="00355810" w14:paraId="0978B7E1" w14:textId="7FE472B6">
      <w:pPr>
        <w:pStyle w:val="NormalHanging12a"/>
      </w:pPr>
      <w:r>
        <w:t>9</w:t>
      </w:r>
      <w:r w:rsidRPr="004D28F0" w:rsidR="00396A2E">
        <w:t>.</w:t>
      </w:r>
      <w:r w:rsidRPr="004D28F0" w:rsidR="00396A2E">
        <w:tab/>
        <w:t>pålægger sin formand at sende denne beslutning til den højtstående repræsentant og næstformand, Rådet, Kommissionen, FN's højkommissær for menneskerettigheder og Belarus' de facto-myndigheder.</w:t>
      </w:r>
    </w:p>
    <w:sectPr w:rsidSect="004D28F0">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D28F0" w14:paraId="4EDA6C5D"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D28F0" w14:paraId="2D8EB5AF"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D28F0" w14:paraId="21070A23"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D28F0" w14:paraId="1286059A"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D28F0" w14:paraId="7D29E912"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D28F0" w14:paraId="714392E0"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65597077">
    <w:abstractNumId w:val="9"/>
  </w:num>
  <w:num w:numId="2" w16cid:durableId="1827698815">
    <w:abstractNumId w:val="9"/>
  </w:num>
  <w:num w:numId="3" w16cid:durableId="2116897576">
    <w:abstractNumId w:val="7"/>
  </w:num>
  <w:num w:numId="4" w16cid:durableId="1863276351">
    <w:abstractNumId w:val="7"/>
  </w:num>
  <w:num w:numId="5" w16cid:durableId="1120101739">
    <w:abstractNumId w:val="6"/>
  </w:num>
  <w:num w:numId="6" w16cid:durableId="500197845">
    <w:abstractNumId w:val="6"/>
  </w:num>
  <w:num w:numId="7" w16cid:durableId="192115911">
    <w:abstractNumId w:val="5"/>
  </w:num>
  <w:num w:numId="8" w16cid:durableId="1080786933">
    <w:abstractNumId w:val="5"/>
  </w:num>
  <w:num w:numId="9" w16cid:durableId="1633946827">
    <w:abstractNumId w:val="4"/>
  </w:num>
  <w:num w:numId="10" w16cid:durableId="1680766548">
    <w:abstractNumId w:val="4"/>
  </w:num>
  <w:num w:numId="11" w16cid:durableId="134493625">
    <w:abstractNumId w:val="8"/>
  </w:num>
  <w:num w:numId="12" w16cid:durableId="426191008">
    <w:abstractNumId w:val="8"/>
  </w:num>
  <w:num w:numId="13" w16cid:durableId="1234705261">
    <w:abstractNumId w:val="3"/>
  </w:num>
  <w:num w:numId="14" w16cid:durableId="1706903840">
    <w:abstractNumId w:val="3"/>
  </w:num>
  <w:num w:numId="15" w16cid:durableId="1046375459">
    <w:abstractNumId w:val="2"/>
  </w:num>
  <w:num w:numId="16" w16cid:durableId="1063062643">
    <w:abstractNumId w:val="2"/>
  </w:num>
  <w:num w:numId="17" w16cid:durableId="1882866453">
    <w:abstractNumId w:val="1"/>
  </w:num>
  <w:num w:numId="18" w16cid:durableId="1657299701">
    <w:abstractNumId w:val="1"/>
  </w:num>
  <w:num w:numId="19" w16cid:durableId="627903888">
    <w:abstractNumId w:val="0"/>
  </w:num>
  <w:num w:numId="20" w16cid:durableId="709063765">
    <w:abstractNumId w:val="0"/>
  </w:num>
  <w:num w:numId="21" w16cid:durableId="1503276587">
    <w:abstractNumId w:val="9"/>
  </w:num>
  <w:num w:numId="22" w16cid:durableId="697900294">
    <w:abstractNumId w:val="7"/>
  </w:num>
  <w:num w:numId="23" w16cid:durableId="1069378071">
    <w:abstractNumId w:val="6"/>
  </w:num>
  <w:num w:numId="24" w16cid:durableId="1567304305">
    <w:abstractNumId w:val="5"/>
  </w:num>
  <w:num w:numId="25" w16cid:durableId="795025920">
    <w:abstractNumId w:val="4"/>
  </w:num>
  <w:num w:numId="26" w16cid:durableId="331298033">
    <w:abstractNumId w:val="8"/>
  </w:num>
  <w:num w:numId="27" w16cid:durableId="1873837714">
    <w:abstractNumId w:val="3"/>
  </w:num>
  <w:num w:numId="28" w16cid:durableId="988556222">
    <w:abstractNumId w:val="2"/>
  </w:num>
  <w:num w:numId="29" w16cid:durableId="801652958">
    <w:abstractNumId w:val="1"/>
  </w:num>
  <w:num w:numId="30" w16cid:durableId="1475638390">
    <w:abstractNumId w:val="0"/>
  </w:num>
  <w:num w:numId="31" w16cid:durableId="1265381266">
    <w:abstractNumId w:val="9"/>
  </w:num>
  <w:num w:numId="32" w16cid:durableId="1608468511">
    <w:abstractNumId w:val="7"/>
  </w:num>
  <w:num w:numId="33" w16cid:durableId="1990744978">
    <w:abstractNumId w:val="6"/>
  </w:num>
  <w:num w:numId="34" w16cid:durableId="70086941">
    <w:abstractNumId w:val="5"/>
  </w:num>
  <w:num w:numId="35" w16cid:durableId="296842237">
    <w:abstractNumId w:val="4"/>
  </w:num>
  <w:num w:numId="36" w16cid:durableId="1617298855">
    <w:abstractNumId w:val="8"/>
  </w:num>
  <w:num w:numId="37" w16cid:durableId="1371683375">
    <w:abstractNumId w:val="3"/>
  </w:num>
  <w:num w:numId="38" w16cid:durableId="1010520503">
    <w:abstractNumId w:val="2"/>
  </w:num>
  <w:num w:numId="39" w16cid:durableId="1721132668">
    <w:abstractNumId w:val="1"/>
  </w:num>
  <w:num w:numId="40" w16cid:durableId="378436738">
    <w:abstractNumId w:val="0"/>
  </w:num>
  <w:num w:numId="41" w16cid:durableId="2046248313">
    <w:abstractNumId w:val="10"/>
  </w:num>
  <w:num w:numId="42" w16cid:durableId="2124230573">
    <w:abstractNumId w:val="10"/>
  </w:num>
  <w:num w:numId="43" w16cid:durableId="1503079454">
    <w:abstractNumId w:val="10"/>
  </w:num>
  <w:num w:numId="44" w16cid:durableId="12389819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0FAD"/>
    <w:rsid w:val="00002272"/>
    <w:rsid w:val="00064002"/>
    <w:rsid w:val="000677B9"/>
    <w:rsid w:val="000831BA"/>
    <w:rsid w:val="000A42CC"/>
    <w:rsid w:val="000A6230"/>
    <w:rsid w:val="000E7DD9"/>
    <w:rsid w:val="0010095E"/>
    <w:rsid w:val="00125B37"/>
    <w:rsid w:val="00187494"/>
    <w:rsid w:val="00194215"/>
    <w:rsid w:val="001F32AE"/>
    <w:rsid w:val="002767FF"/>
    <w:rsid w:val="00293ED2"/>
    <w:rsid w:val="002B18FE"/>
    <w:rsid w:val="002B5493"/>
    <w:rsid w:val="00343214"/>
    <w:rsid w:val="00355810"/>
    <w:rsid w:val="00361C00"/>
    <w:rsid w:val="00395FA1"/>
    <w:rsid w:val="00396A2E"/>
    <w:rsid w:val="003E15D4"/>
    <w:rsid w:val="00411CCE"/>
    <w:rsid w:val="0041666E"/>
    <w:rsid w:val="00421060"/>
    <w:rsid w:val="00471C19"/>
    <w:rsid w:val="004867E3"/>
    <w:rsid w:val="00494A28"/>
    <w:rsid w:val="004C0004"/>
    <w:rsid w:val="004C5D52"/>
    <w:rsid w:val="004D28F0"/>
    <w:rsid w:val="0050519A"/>
    <w:rsid w:val="005072A1"/>
    <w:rsid w:val="00514517"/>
    <w:rsid w:val="00516291"/>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C517C"/>
    <w:rsid w:val="00930C23"/>
    <w:rsid w:val="0093193B"/>
    <w:rsid w:val="009509D8"/>
    <w:rsid w:val="00950B64"/>
    <w:rsid w:val="00981893"/>
    <w:rsid w:val="00A13C95"/>
    <w:rsid w:val="00A1687D"/>
    <w:rsid w:val="00A43E52"/>
    <w:rsid w:val="00A4678D"/>
    <w:rsid w:val="00A778C7"/>
    <w:rsid w:val="00AB441E"/>
    <w:rsid w:val="00AB6293"/>
    <w:rsid w:val="00AC2B1A"/>
    <w:rsid w:val="00AE0928"/>
    <w:rsid w:val="00AF3B82"/>
    <w:rsid w:val="00B12E95"/>
    <w:rsid w:val="00B22876"/>
    <w:rsid w:val="00B558F0"/>
    <w:rsid w:val="00BD48FE"/>
    <w:rsid w:val="00BD7BD8"/>
    <w:rsid w:val="00BE6ADC"/>
    <w:rsid w:val="00C05BFE"/>
    <w:rsid w:val="00C23CD4"/>
    <w:rsid w:val="00C61C0C"/>
    <w:rsid w:val="00C941CB"/>
    <w:rsid w:val="00CC2357"/>
    <w:rsid w:val="00CD0FAD"/>
    <w:rsid w:val="00CF071A"/>
    <w:rsid w:val="00D058B8"/>
    <w:rsid w:val="00D56C11"/>
    <w:rsid w:val="00D834A0"/>
    <w:rsid w:val="00D872DF"/>
    <w:rsid w:val="00D91E21"/>
    <w:rsid w:val="00DA7FCD"/>
    <w:rsid w:val="00DF172E"/>
    <w:rsid w:val="00E365E1"/>
    <w:rsid w:val="00E70EF9"/>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B10-0294/2026"/>
    <w:docVar w:name="dvlangue" w:val="DA"/>
    <w:docVar w:name="dvnumam" w:val="0"/>
    <w:docVar w:name="dvpe" w:val="783.351"/>
    <w:docVar w:name="dvtitre" w:val="Europa-Parlamentets beslutning af xx.xx 2026 om den forværrede situation for politiske fanger i Belarus, navnlig sagen om Aljaksandra Pulіnovіtj(2026/2766(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08AD1E9E"/>
  <w15:chartTrackingRefBased/>
  <w15:docId w15:val="{988F5184-16B2-4D86-90F6-D65942DC00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396A2E"/>
    <w:pPr>
      <w:spacing w:after="240"/>
      <w:ind w:left="567" w:hanging="567"/>
    </w:pPr>
  </w:style>
  <w:style w:type="paragraph" w:customStyle="1" w:styleId="EPComma">
    <w:name w:val="EPComma"/>
    <w:basedOn w:val="Normal"/>
    <w:link w:val="EPCommaChar"/>
    <w:rsid w:val="00396A2E"/>
    <w:pPr>
      <w:spacing w:before="480" w:after="240"/>
    </w:pPr>
  </w:style>
  <w:style w:type="character" w:customStyle="1" w:styleId="NormalHanging12aChar">
    <w:name w:val="NormalHanging12a Char"/>
    <w:basedOn w:val="DefaultParagraphFont"/>
    <w:link w:val="NormalHanging12a"/>
    <w:locked/>
    <w:rsid w:val="00396A2E"/>
    <w:rPr>
      <w:sz w:val="24"/>
      <w:lang w:val="da-DK"/>
    </w:rPr>
  </w:style>
  <w:style w:type="character" w:customStyle="1" w:styleId="EPCommaChar">
    <w:name w:val="EPComma Char"/>
    <w:basedOn w:val="DefaultParagraphFont"/>
    <w:link w:val="EPComma"/>
    <w:rsid w:val="00396A2E"/>
    <w:rPr>
      <w:sz w:val="24"/>
      <w:lang w:val="da-DK"/>
    </w:rPr>
  </w:style>
  <w:style w:type="paragraph" w:styleId="Revision">
    <w:name w:val="Revision"/>
    <w:hidden/>
    <w:uiPriority w:val="99"/>
    <w:semiHidden/>
    <w:rsid w:val="00DF172E"/>
    <w:rPr>
      <w:sz w:val="24"/>
      <w:lang w:val="da-DK"/>
    </w:rPr>
  </w:style>
  <w:style w:type="character" w:styleId="CommentReference">
    <w:name w:val="annotation reference"/>
    <w:basedOn w:val="DefaultParagraphFont"/>
    <w:rsid w:val="00194215"/>
    <w:rPr>
      <w:sz w:val="16"/>
      <w:szCs w:val="16"/>
    </w:rPr>
  </w:style>
  <w:style w:type="paragraph" w:styleId="CommentText">
    <w:name w:val="annotation text"/>
    <w:basedOn w:val="Normal"/>
    <w:link w:val="CommentTextChar"/>
    <w:rsid w:val="00194215"/>
    <w:rPr>
      <w:sz w:val="20"/>
    </w:rPr>
  </w:style>
  <w:style w:type="character" w:customStyle="1" w:styleId="CommentTextChar">
    <w:name w:val="Comment Text Char"/>
    <w:basedOn w:val="DefaultParagraphFont"/>
    <w:link w:val="CommentText"/>
    <w:rsid w:val="00194215"/>
    <w:rPr>
      <w:lang w:val="da-DK"/>
    </w:rPr>
  </w:style>
  <w:style w:type="paragraph" w:styleId="CommentSubject">
    <w:name w:val="annotation subject"/>
    <w:basedOn w:val="CommentText"/>
    <w:next w:val="CommentText"/>
    <w:link w:val="CommentSubjectChar"/>
    <w:rsid w:val="00194215"/>
    <w:rPr>
      <w:b/>
      <w:bCs/>
    </w:rPr>
  </w:style>
  <w:style w:type="character" w:customStyle="1" w:styleId="CommentSubjectChar">
    <w:name w:val="Comment Subject Char"/>
    <w:basedOn w:val="CommentTextChar"/>
    <w:link w:val="CommentSubject"/>
    <w:rsid w:val="00194215"/>
    <w:rPr>
      <w:b/>
      <w:bCs/>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818</Words>
  <Characters>5361</Characters>
  <Application>Microsoft Office Word</Application>
  <DocSecurity>0</DocSecurity>
  <Lines>105</Lines>
  <Paragraphs>40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2026-06-18T13:13:00Z</dcterms:created>
  <dcterms:modified xsi:type="dcterms:W3CDTF">2026-06-18T13:13:00Z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B10-0294/2026</vt:lpwstr>
  </property>
  <property fmtid="{D5CDD505-2E9C-101B-9397-08002B2CF9AE}" pid="4" name="&lt;Type&gt;">
    <vt:lpwstr>RR</vt:lpwstr>
  </property>
</Properties>
</file>