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E3CDE2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279FA" w:rsidP="0010095E" w14:paraId="5D14ECBB" w14:textId="77777777">
            <w:pPr>
              <w:pStyle w:val="EPName"/>
            </w:pPr>
            <w:r w:rsidRPr="00C279FA">
              <w:t>Európai Parlament</w:t>
            </w:r>
          </w:p>
          <w:p w:rsidR="00751A4A" w:rsidRPr="00C279FA" w:rsidP="005F1B17" w14:paraId="06CABAB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79FA">
              <w:t>2024</w:t>
            </w:r>
            <w:r w:rsidRPr="00C279FA" w:rsidR="00817416">
              <w:t>-202</w:t>
            </w:r>
            <w:r w:rsidRPr="00C279F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279FA" w:rsidP="0010095E" w14:paraId="2A69F731" w14:textId="77777777">
            <w:pPr>
              <w:pStyle w:val="EPLogo"/>
            </w:pPr>
            <w:r w:rsidRPr="00C279F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79FA" w:rsidP="004C5D52" w14:paraId="40245A36" w14:textId="77777777">
      <w:pPr>
        <w:pStyle w:val="LineTop"/>
      </w:pPr>
    </w:p>
    <w:p w:rsidR="00680577" w:rsidRPr="00C279FA" w:rsidP="00680577" w14:paraId="4DA598BE" w14:textId="77777777">
      <w:pPr>
        <w:pStyle w:val="EPBodyTA1"/>
      </w:pPr>
      <w:r w:rsidRPr="00C279FA">
        <w:t>ELFOGADOTT SZÖVEGEK</w:t>
      </w:r>
    </w:p>
    <w:p w:rsidR="00D058B8" w:rsidRPr="00C279FA" w:rsidP="00D058B8" w14:paraId="64E183AB" w14:textId="77777777">
      <w:pPr>
        <w:pStyle w:val="LineBottom"/>
      </w:pPr>
    </w:p>
    <w:p w:rsidR="00481BC9" w:rsidRPr="00C279FA" w:rsidP="00481BC9" w14:paraId="3A851E5F" w14:textId="7BC3C223">
      <w:pPr>
        <w:pStyle w:val="ATHeading1"/>
      </w:pPr>
      <w:bookmarkStart w:id="0" w:name="TANumber"/>
      <w:r w:rsidRPr="00C279FA">
        <w:t>P10_</w:t>
      </w:r>
      <w:r w:rsidRPr="00C279FA">
        <w:t>TA(</w:t>
      </w:r>
      <w:r w:rsidRPr="00C279FA">
        <w:t>2026)0</w:t>
      </w:r>
      <w:r w:rsidR="00C279FA">
        <w:t>224</w:t>
      </w:r>
      <w:bookmarkEnd w:id="0"/>
    </w:p>
    <w:p w:rsidR="00481BC9" w:rsidRPr="00C279FA" w:rsidP="00481BC9" w14:paraId="1FEB07E4" w14:textId="77777777">
      <w:pPr>
        <w:pStyle w:val="ATHeading2"/>
      </w:pPr>
      <w:bookmarkStart w:id="1" w:name="title"/>
      <w:r w:rsidRPr="00C279FA">
        <w:t xml:space="preserve">A </w:t>
      </w:r>
      <w:r w:rsidRPr="00C279FA">
        <w:t>belaruszi</w:t>
      </w:r>
      <w:r w:rsidRPr="00C279FA">
        <w:t xml:space="preserve"> politikai foglyok romló helyzete, különösen </w:t>
      </w:r>
      <w:r w:rsidRPr="00C279FA">
        <w:t>Aljakszandra</w:t>
      </w:r>
      <w:r w:rsidRPr="00C279FA">
        <w:t xml:space="preserve"> </w:t>
      </w:r>
      <w:r w:rsidRPr="00C279FA">
        <w:t>Pulinovics</w:t>
      </w:r>
      <w:r w:rsidRPr="00C279FA">
        <w:t xml:space="preserve"> ügye</w:t>
      </w:r>
      <w:bookmarkEnd w:id="1"/>
    </w:p>
    <w:p w:rsidR="00481BC9" w:rsidRPr="00C279FA" w:rsidP="00481BC9" w14:paraId="169A8674" w14:textId="77777777">
      <w:pPr>
        <w:rPr>
          <w:i/>
          <w:vanish/>
        </w:rPr>
      </w:pPr>
      <w:r>
        <w:rPr>
          <w:i/>
        </w:rPr>
        <w:fldChar w:fldCharType="begin"/>
      </w:r>
      <w:r w:rsidRPr="00C279FA">
        <w:rPr>
          <w:i/>
        </w:rPr>
        <w:instrText xml:space="preserve"> TC"(</w:instrText>
      </w:r>
      <w:bookmarkStart w:id="2" w:name="DocNumber"/>
      <w:r w:rsidRPr="00C279FA">
        <w:rPr>
          <w:i/>
        </w:rPr>
        <w:instrText>B10-0294, 0324, 0325, 0326, 0327 és 0328/2026</w:instrText>
      </w:r>
      <w:bookmarkEnd w:id="2"/>
      <w:r w:rsidRPr="00C279F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81BC9" w:rsidRPr="00C279FA" w:rsidP="00481BC9" w14:paraId="4124D4B3" w14:textId="77777777">
      <w:pPr>
        <w:rPr>
          <w:vanish/>
        </w:rPr>
      </w:pPr>
      <w:bookmarkStart w:id="3" w:name="PE"/>
      <w:r w:rsidRPr="00C279FA">
        <w:rPr>
          <w:vanish/>
        </w:rPr>
        <w:t>PE783.351</w:t>
      </w:r>
      <w:bookmarkEnd w:id="3"/>
    </w:p>
    <w:p w:rsidR="00481BC9" w:rsidRPr="00C279FA" w:rsidP="00481BC9" w14:paraId="3D00B896" w14:textId="77777777">
      <w:pPr>
        <w:pStyle w:val="ATHeading3"/>
      </w:pPr>
      <w:bookmarkStart w:id="4" w:name="Sujet"/>
      <w:r w:rsidRPr="00C279FA">
        <w:t xml:space="preserve">Az Európai Parlament 2026. június 18-i állásfoglalása a </w:t>
      </w:r>
      <w:r w:rsidRPr="00C279FA">
        <w:t>belaruszi</w:t>
      </w:r>
      <w:r w:rsidRPr="00C279FA">
        <w:t xml:space="preserve"> politikai foglyok romló helyzetéről, különösen </w:t>
      </w:r>
      <w:r w:rsidRPr="00C279FA">
        <w:t>Aljakszandra</w:t>
      </w:r>
      <w:r w:rsidRPr="00C279FA">
        <w:t xml:space="preserve"> </w:t>
      </w:r>
      <w:r w:rsidRPr="00C279FA">
        <w:t>Pulinovics</w:t>
      </w:r>
      <w:r w:rsidRPr="00C279FA">
        <w:t xml:space="preserve"> ügyéről</w:t>
      </w:r>
      <w:bookmarkEnd w:id="4"/>
      <w:r w:rsidRPr="00C279FA">
        <w:t xml:space="preserve"> </w:t>
      </w:r>
      <w:bookmarkStart w:id="5" w:name="References"/>
      <w:r w:rsidRPr="00C279FA">
        <w:t>(2026/2766(RSP))</w:t>
      </w:r>
      <w:bookmarkEnd w:id="5"/>
    </w:p>
    <w:p w:rsidR="00AF75CD" w:rsidRPr="00C279FA" w:rsidP="00AF75CD" w14:paraId="4C32A0ED" w14:textId="77777777">
      <w:pPr>
        <w:pStyle w:val="EPComma"/>
      </w:pPr>
      <w:bookmarkStart w:id="6" w:name="TextBodyBegin"/>
      <w:bookmarkEnd w:id="6"/>
      <w:r w:rsidRPr="00C279FA">
        <w:rPr>
          <w:i/>
          <w:iCs/>
        </w:rPr>
        <w:t>Az Európai Parlament</w:t>
      </w:r>
      <w:r w:rsidRPr="00C279FA">
        <w:t>,</w:t>
      </w:r>
    </w:p>
    <w:p w:rsidR="00AF75CD" w:rsidRPr="00C279FA" w:rsidP="00ED26C0" w14:paraId="4D547A6A" w14:textId="77777777">
      <w:pPr>
        <w:pStyle w:val="NormalHanging12a"/>
        <w:widowControl/>
      </w:pPr>
      <w:r w:rsidRPr="00C279FA">
        <w:t>–</w:t>
      </w:r>
      <w:r w:rsidRPr="00C279FA">
        <w:tab/>
        <w:t xml:space="preserve">tekintettel a </w:t>
      </w:r>
      <w:r w:rsidRPr="00C279FA">
        <w:t>Belaruszról</w:t>
      </w:r>
      <w:r w:rsidRPr="00C279FA">
        <w:t xml:space="preserve"> szóló korábbi állásfoglalásaira,</w:t>
      </w:r>
    </w:p>
    <w:p w:rsidR="00AF75CD" w:rsidRPr="00C279FA" w:rsidP="00ED26C0" w14:paraId="3CE917F0" w14:textId="77777777">
      <w:pPr>
        <w:pStyle w:val="NormalHanging12a"/>
        <w:widowControl/>
      </w:pPr>
      <w:r w:rsidRPr="00C279FA">
        <w:t>–</w:t>
      </w:r>
      <w:r w:rsidRPr="00C279FA">
        <w:tab/>
        <w:t>tekintettel eljárási szabályzata 150. cikkének (5) bekezdésére és 136. cikkének (4) bekezdésére,</w:t>
      </w:r>
    </w:p>
    <w:p w:rsidR="00AF75CD" w:rsidRPr="00C279FA" w:rsidP="00ED26C0" w14:paraId="55482D73" w14:textId="77777777">
      <w:pPr>
        <w:pStyle w:val="NormalHanging12a"/>
        <w:widowControl/>
      </w:pPr>
      <w:r w:rsidRPr="00C279FA">
        <w:t>A.</w:t>
      </w:r>
      <w:r w:rsidRPr="00C279FA">
        <w:tab/>
        <w:t xml:space="preserve">mivel 2024 januárjában őrizetbe vették a 16 éves </w:t>
      </w:r>
      <w:r w:rsidRPr="00C279FA">
        <w:t>Aljakszandra</w:t>
      </w:r>
      <w:r w:rsidRPr="00C279FA">
        <w:t xml:space="preserve"> </w:t>
      </w:r>
      <w:r w:rsidRPr="00C279FA">
        <w:t>Pulinovicsot</w:t>
      </w:r>
      <w:r w:rsidRPr="00C279FA">
        <w:t xml:space="preserve"> az Oroszország Ukrajna elleni agressziós háborúját ellenző </w:t>
      </w:r>
      <w:r w:rsidRPr="00C279FA">
        <w:t>graffitivel</w:t>
      </w:r>
      <w:r w:rsidRPr="00C279FA">
        <w:t xml:space="preserve"> kapcsolatos „Fekete Fülemülék” ügyben, büntetőcellába helyezték, és megtagadták tőle a jogi védelmet és a szülői támogatást; mivel zárt tárgyalás során több mint 10 év börtönbüntetésre ítélték, és ezt követően felvették a „terroristák jegyzékébe”;</w:t>
      </w:r>
    </w:p>
    <w:p w:rsidR="00AF75CD" w:rsidRPr="00C279FA" w:rsidP="00ED26C0" w14:paraId="4D0477C2" w14:textId="77777777">
      <w:pPr>
        <w:pStyle w:val="NormalHanging12a"/>
        <w:widowControl/>
      </w:pPr>
      <w:r w:rsidRPr="00C279FA">
        <w:t>B.</w:t>
      </w:r>
      <w:r w:rsidRPr="00C279FA">
        <w:tab/>
        <w:t xml:space="preserve">mivel </w:t>
      </w:r>
      <w:r w:rsidRPr="00C279FA">
        <w:t>Pulinovics</w:t>
      </w:r>
      <w:r w:rsidRPr="00C279FA">
        <w:t xml:space="preserve"> esete jól szemlélteti, hogy a </w:t>
      </w:r>
      <w:r w:rsidRPr="00C279FA">
        <w:t>belarusz</w:t>
      </w:r>
      <w:r w:rsidRPr="00C279FA">
        <w:t xml:space="preserve"> hatóságok a terrorizmus elleni jogszabályokat arra használják, hogy politikai okokból kriminalizáljanak fiatalokat;</w:t>
      </w:r>
    </w:p>
    <w:p w:rsidR="00AF75CD" w:rsidP="00ED26C0" w14:paraId="3F73254B" w14:textId="77777777">
      <w:pPr>
        <w:pStyle w:val="NormalHanging12a"/>
        <w:widowControl/>
      </w:pPr>
      <w:r w:rsidRPr="00C279FA">
        <w:t>C.</w:t>
      </w:r>
      <w:r w:rsidRPr="00C279FA">
        <w:tab/>
        <w:t xml:space="preserve">mivel a </w:t>
      </w:r>
      <w:r w:rsidRPr="00C279FA">
        <w:t>Lukasenka</w:t>
      </w:r>
      <w:r w:rsidRPr="00C279FA">
        <w:t>-rezsim szisztematikusan elnyomja a politikai ellenfeleket, az emberi jogi aktivistákat, az újságírókat, a szakszervezeti aktivistákat, a diákokat, a nemzeti kisebbségeket és az alapvető szabadságjogaikat gyakorló polgárokat; mivel 853 politikai foglyot továbbra is önkényesen, embertelen körülmények között tartanak fogva;</w:t>
      </w:r>
    </w:p>
    <w:p w:rsidR="00C279FA" w:rsidP="00ED26C0" w14:paraId="791DF027" w14:textId="1826FA56">
      <w:pPr>
        <w:pStyle w:val="NormalHanging12a"/>
        <w:widowControl/>
      </w:pPr>
      <w:bookmarkStart w:id="7" w:name="_Hlk232679692"/>
      <w:r>
        <w:t>D</w:t>
      </w:r>
      <w:r>
        <w:t>.</w:t>
      </w:r>
      <w:r>
        <w:tab/>
      </w:r>
      <w:r w:rsidRPr="000E6444" w:rsidR="000E6444">
        <w:t xml:space="preserve">mivel </w:t>
      </w:r>
      <w:r w:rsidRPr="00E73DC9" w:rsidR="00E73DC9">
        <w:t>Dzjanyisz</w:t>
      </w:r>
      <w:r w:rsidRPr="00E73DC9" w:rsidR="00E73DC9">
        <w:t xml:space="preserve"> </w:t>
      </w:r>
      <w:r w:rsidRPr="00E73DC9" w:rsidR="00E73DC9">
        <w:t>Ivasin</w:t>
      </w:r>
      <w:r w:rsidRPr="00E73DC9" w:rsidR="00E73DC9">
        <w:t xml:space="preserve">, Pavel </w:t>
      </w:r>
      <w:r w:rsidRPr="00E73DC9" w:rsidR="00E73DC9">
        <w:t>Belavusz</w:t>
      </w:r>
      <w:r w:rsidRPr="00E73DC9" w:rsidR="00E73DC9">
        <w:t xml:space="preserve">, Ihar </w:t>
      </w:r>
      <w:r w:rsidRPr="00E73DC9" w:rsidR="00E73DC9">
        <w:t>Alinyevics</w:t>
      </w:r>
      <w:r w:rsidRPr="00E73DC9" w:rsidR="00E73DC9">
        <w:t xml:space="preserve">, </w:t>
      </w:r>
      <w:r w:rsidRPr="00E73DC9" w:rsidR="00E73DC9">
        <w:t>Volha</w:t>
      </w:r>
      <w:r w:rsidRPr="00E73DC9" w:rsidR="00E73DC9">
        <w:t xml:space="preserve"> </w:t>
      </w:r>
      <w:r w:rsidRPr="00E73DC9" w:rsidR="00E73DC9">
        <w:t>Majorava</w:t>
      </w:r>
      <w:r w:rsidRPr="00E73DC9" w:rsidR="00E73DC9">
        <w:t xml:space="preserve">, </w:t>
      </w:r>
      <w:r w:rsidRPr="00E73DC9" w:rsidR="00E73DC9">
        <w:t>Alena</w:t>
      </w:r>
      <w:r w:rsidRPr="00E73DC9" w:rsidR="00E73DC9">
        <w:t xml:space="preserve"> </w:t>
      </w:r>
      <w:r w:rsidRPr="00E73DC9" w:rsidR="00E73DC9">
        <w:t>Lazarcsik</w:t>
      </w:r>
      <w:r w:rsidRPr="00E73DC9" w:rsidR="00E73DC9">
        <w:t xml:space="preserve">, </w:t>
      </w:r>
      <w:r w:rsidRPr="00E73DC9" w:rsidR="00E73DC9">
        <w:t>Aljakszandr</w:t>
      </w:r>
      <w:r w:rsidRPr="00E73DC9" w:rsidR="00E73DC9">
        <w:t xml:space="preserve"> </w:t>
      </w:r>
      <w:r w:rsidRPr="00E73DC9" w:rsidR="00E73DC9">
        <w:t>Franckevics</w:t>
      </w:r>
      <w:r w:rsidRPr="00E73DC9" w:rsidR="00E73DC9">
        <w:t xml:space="preserve">, </w:t>
      </w:r>
      <w:r w:rsidRPr="00E73DC9" w:rsidR="00E73DC9">
        <w:t>Viktar</w:t>
      </w:r>
      <w:r w:rsidRPr="00E73DC9" w:rsidR="00E73DC9">
        <w:t xml:space="preserve"> </w:t>
      </w:r>
      <w:r w:rsidRPr="00E73DC9" w:rsidR="00E73DC9">
        <w:t>Sznyehur</w:t>
      </w:r>
      <w:r w:rsidRPr="00E73DC9" w:rsidR="00E73DC9">
        <w:t xml:space="preserve">, Eduard </w:t>
      </w:r>
      <w:r w:rsidRPr="00E73DC9" w:rsidR="00E73DC9">
        <w:t>Babarika</w:t>
      </w:r>
      <w:r w:rsidRPr="00E73DC9" w:rsidR="00E73DC9">
        <w:t xml:space="preserve">, </w:t>
      </w:r>
      <w:r w:rsidRPr="00E73DC9" w:rsidR="00E73DC9">
        <w:t>Mikalaj</w:t>
      </w:r>
      <w:r w:rsidRPr="00E73DC9" w:rsidR="00E73DC9">
        <w:t xml:space="preserve"> </w:t>
      </w:r>
      <w:r w:rsidRPr="00E73DC9" w:rsidR="00E73DC9">
        <w:t>Avtuhovics</w:t>
      </w:r>
      <w:r w:rsidRPr="00E73DC9" w:rsidR="00E73DC9">
        <w:t xml:space="preserve">, </w:t>
      </w:r>
      <w:r w:rsidRPr="00E73DC9" w:rsidR="00E73DC9">
        <w:t>Uladzimir</w:t>
      </w:r>
      <w:r w:rsidRPr="00E73DC9" w:rsidR="00E73DC9">
        <w:t xml:space="preserve"> </w:t>
      </w:r>
      <w:r w:rsidRPr="00E73DC9" w:rsidR="00E73DC9">
        <w:t>Hundar</w:t>
      </w:r>
      <w:r w:rsidRPr="00E73DC9" w:rsidR="00E73DC9">
        <w:t xml:space="preserve">, Irina </w:t>
      </w:r>
      <w:r w:rsidRPr="00E73DC9" w:rsidR="00E73DC9">
        <w:t>Melher</w:t>
      </w:r>
      <w:r w:rsidRPr="00E73DC9" w:rsidR="00E73DC9">
        <w:t xml:space="preserve">, a </w:t>
      </w:r>
      <w:r w:rsidRPr="00E73DC9" w:rsidR="00E73DC9">
        <w:t>Rezanovics</w:t>
      </w:r>
      <w:r w:rsidRPr="00E73DC9" w:rsidR="00E73DC9">
        <w:t xml:space="preserve"> és a </w:t>
      </w:r>
      <w:r w:rsidRPr="00E73DC9" w:rsidR="00E73DC9">
        <w:t>Korszakav</w:t>
      </w:r>
      <w:r w:rsidRPr="00E73DC9" w:rsidR="00E73DC9">
        <w:t xml:space="preserve"> család tagjai, </w:t>
      </w:r>
      <w:r w:rsidRPr="00E73DC9" w:rsidR="00E73DC9">
        <w:t>Sztepan</w:t>
      </w:r>
      <w:r w:rsidRPr="00E73DC9" w:rsidR="00E73DC9">
        <w:t xml:space="preserve"> </w:t>
      </w:r>
      <w:r w:rsidRPr="00E73DC9" w:rsidR="00E73DC9">
        <w:t>Latipov</w:t>
      </w:r>
      <w:r w:rsidRPr="00E73DC9" w:rsidR="00E73DC9">
        <w:t xml:space="preserve">, </w:t>
      </w:r>
      <w:r w:rsidRPr="00E73DC9" w:rsidR="00E73DC9">
        <w:t>Vjacsaszlav</w:t>
      </w:r>
      <w:r w:rsidRPr="00E73DC9" w:rsidR="00E73DC9">
        <w:t xml:space="preserve"> </w:t>
      </w:r>
      <w:r w:rsidRPr="00E73DC9" w:rsidR="00E73DC9">
        <w:t>Areska</w:t>
      </w:r>
      <w:r w:rsidRPr="00E73DC9" w:rsidR="00E73DC9">
        <w:t xml:space="preserve"> és sok más esete jól mutatja az egészség súlyos romlását, valamint az embertelen fogva tartási körülmények, a hosszan tartó elszigeteltség és a megfelelő orvosi ellátás megtagadásának pusztító következményeit</w:t>
      </w:r>
      <w:r>
        <w:t>;</w:t>
      </w:r>
    </w:p>
    <w:bookmarkEnd w:id="7"/>
    <w:p w:rsidR="00C279FA" w:rsidP="00ED26C0" w14:paraId="71F992E8" w14:textId="2054A9BF">
      <w:pPr>
        <w:pStyle w:val="NormalHanging12a"/>
        <w:widowControl/>
      </w:pPr>
      <w:r>
        <w:t>E</w:t>
      </w:r>
      <w:r w:rsidRPr="00C279FA">
        <w:t>.</w:t>
      </w:r>
      <w:r w:rsidRPr="00C279FA">
        <w:tab/>
        <w:t xml:space="preserve">mivel a </w:t>
      </w:r>
      <w:r w:rsidRPr="00C279FA">
        <w:t>belarusz</w:t>
      </w:r>
      <w:r w:rsidRPr="00C279FA">
        <w:t xml:space="preserve"> büntető törvénykönyv 411. cikkét szisztematikusan alkalmazták politikai foglyok ellen, hogy koholt fegyelmi vétségek alapján önkényesen </w:t>
      </w:r>
      <w:r w:rsidRPr="00C279FA">
        <w:t>meghosszabbítsák bebörtönzésüket, létrehozva a határozatlan idejű fogva tartás és kényszerítés mechanizmusát; mivel 2020 óta több mint 80 politikai foglyot ítéltek el e rendelkezés alapján, közülük néhányat ismételten; mivel a 411. cikket arra használják, hogy a fogvatartottakat zsarolásnak vessék alá, arra kényszerítsék őket, hogy kegyelemért folyamodjanak a rezsimhez, propagandatevékenységekben vegyenek részt vagy együttműködjenek a hatóságokkal, és az említett cikk a pszichológiai kínzás és a politikai elnyomás eszközévé vált;</w:t>
      </w:r>
    </w:p>
    <w:p w:rsidR="00AF75CD" w:rsidRPr="00C279FA" w:rsidP="00ED26C0" w14:paraId="3F6A8397" w14:textId="2A253F49">
      <w:pPr>
        <w:pStyle w:val="NormalHanging12a"/>
        <w:widowControl/>
      </w:pPr>
      <w:r w:rsidRPr="00C279FA">
        <w:t>1.</w:t>
      </w:r>
      <w:r w:rsidRPr="00C279FA">
        <w:tab/>
        <w:t xml:space="preserve">követeli </w:t>
      </w:r>
      <w:r w:rsidRPr="00C279FA">
        <w:t>Pulinovics</w:t>
      </w:r>
      <w:r w:rsidRPr="00C279FA">
        <w:t xml:space="preserve"> és valamennyi politikai fogoly azonnali és feltétel nélküli szabadon bocsátását, teljes rehabilitációjukat és jogaik teljes körű helyreállítását; ismételten megingathatatlan szolidaritásáról biztosítja az összes politikai foglyot és családjukat;</w:t>
      </w:r>
    </w:p>
    <w:p w:rsidR="00AF75CD" w:rsidRPr="00C279FA" w:rsidP="00ED26C0" w14:paraId="74470D6C" w14:textId="77777777">
      <w:pPr>
        <w:pStyle w:val="NormalHanging12a"/>
        <w:widowControl/>
      </w:pPr>
      <w:r w:rsidRPr="00C279FA">
        <w:t>2.</w:t>
      </w:r>
      <w:r w:rsidRPr="00C279FA">
        <w:tab/>
        <w:t>sürgeti a hatóságokat, hogy vessenek véget a politikai foglyokkal szembeni rossz bánásmód minden formájának, a teljes elkülönítésnek, az orvosi ellátás és az ügyvédekkel és családdal való kapcsolattartás megtagadásának, valamint a kényszermunkának, és vizsgálják ki az őrizetben bekövetkező haláleseteket és a kínzásokra vonatkozó állításokat;</w:t>
      </w:r>
    </w:p>
    <w:p w:rsidR="00AF75CD" w:rsidRPr="00C279FA" w:rsidP="00ED26C0" w14:paraId="64DAD2B5" w14:textId="77777777">
      <w:pPr>
        <w:pStyle w:val="NormalHanging12a"/>
        <w:widowControl/>
      </w:pPr>
      <w:r w:rsidRPr="00C279FA">
        <w:t>3.</w:t>
      </w:r>
      <w:r w:rsidRPr="00C279FA">
        <w:tab/>
        <w:t xml:space="preserve">határozottan elítéli </w:t>
      </w:r>
      <w:r w:rsidRPr="00C279FA">
        <w:t>belaruszok</w:t>
      </w:r>
      <w:r w:rsidRPr="00C279FA">
        <w:t xml:space="preserve"> politikai indíttatású büntetőeljárás alá vonását, különösen kiskorúak, mint például </w:t>
      </w:r>
      <w:r w:rsidRPr="00C279FA">
        <w:t>Pulinovics</w:t>
      </w:r>
      <w:r w:rsidRPr="00C279FA">
        <w:t xml:space="preserve"> bebörtönzését; elítéli a terrorizmus és a szélsőségesség elleni jogszabályokkal való visszaélést a háborúellenes megnyilvánulások, a fiatalok eltérő véleménye és az Ukrajnával való szolidaritás bűncselekménnyé nyilvánítása, valamint békés eltérő vélemények elnyomása érdekében, beleértve a fiatalok elleni súlyos vádakat is, hogy megfélemlítsék őket; felszólít a terroristák és szélsőségesek jegyzékeinek eltörlésére; sürgeti a </w:t>
      </w:r>
      <w:r w:rsidRPr="00C279FA">
        <w:t>belarusz</w:t>
      </w:r>
      <w:r w:rsidRPr="00C279FA">
        <w:t xml:space="preserve"> hatóságokat, hogy tartsák be a gyermek jogairól szóló ENSZ-egyezményt;</w:t>
      </w:r>
    </w:p>
    <w:p w:rsidR="00C279FA" w:rsidP="00ED26C0" w14:paraId="56E33156" w14:textId="7E48CFD0">
      <w:pPr>
        <w:pStyle w:val="NormalHanging12a"/>
        <w:widowControl/>
      </w:pPr>
      <w:r>
        <w:t>4</w:t>
      </w:r>
      <w:r w:rsidRPr="00C279FA">
        <w:t>.</w:t>
      </w:r>
      <w:r w:rsidRPr="00C279FA">
        <w:tab/>
        <w:t xml:space="preserve">elítéli a </w:t>
      </w:r>
      <w:r w:rsidRPr="00C279FA">
        <w:t>belarusz</w:t>
      </w:r>
      <w:r w:rsidRPr="00C279FA">
        <w:t xml:space="preserve"> büntető törvénykönyv 411. cikkével való szisztematikus visszaélést mint a politikai üldözés és a büntetés önkényes meghosszabbítása eszközét; felszólít annak azonnali hatályon kívül helyezésére; követeli az e rendelkezés alapján elítélt valamennyi személy szabadon bocsátását és teljes körű jogi rehabilitációját; mély aggodalmát fejezi ki azon mintegy 50 politikai fogoly miatt, akiket a 411. cikk alapján továbbra is börtönben tartanak fogva, és akik életét és egészségét súlyos veszély fenyegeti az elhúzódó fogva tartás, a magánelzárás és az embertelen és megalázó bánásmód egyéb formái miatt;</w:t>
      </w:r>
    </w:p>
    <w:p w:rsidR="00AF75CD" w:rsidRPr="00C279FA" w:rsidP="00ED26C0" w14:paraId="39D247F1" w14:textId="3E7EC12B">
      <w:pPr>
        <w:pStyle w:val="NormalHanging12a"/>
        <w:widowControl/>
      </w:pPr>
      <w:r>
        <w:t>5</w:t>
      </w:r>
      <w:r w:rsidRPr="00C279FA">
        <w:t>.</w:t>
      </w:r>
      <w:r w:rsidRPr="00C279FA">
        <w:tab/>
        <w:t>elismeri az Egyesült Államok arra irányuló törekvéseit, hogy biztosítsa a politikai foglyok szabadon bocsátását; hangsúlyozza azonban, hogy a fogvatartottak szabadon bocsátását a rezsim gazdasági túléléssel kapcsolatos aggodalmai ösztönzik, és azt nem kíséri olyan politikai átalakulás vagy reform, amely indokolná a kapcsolatok normalizálását; kitart amellett, hogy az összes politikai fogoly szabadon bocsátása és az elnyomás megszüntetése továbbra is a politikai párbeszéd és a gazdasági együttműködés előfeltételei; követeli, hogy vessenek véget a szabadon bocsátott politikai foglyok kényszerdeportálásának és hozzátartozóik elnyomásának;</w:t>
      </w:r>
    </w:p>
    <w:p w:rsidR="00AF75CD" w:rsidRPr="00C279FA" w:rsidP="00ED26C0" w14:paraId="531EA864" w14:textId="1FC56A43">
      <w:pPr>
        <w:pStyle w:val="NormalHanging12a"/>
        <w:widowControl/>
      </w:pPr>
      <w:r>
        <w:t>6</w:t>
      </w:r>
      <w:r w:rsidRPr="00C279FA">
        <w:t>.</w:t>
      </w:r>
      <w:r w:rsidRPr="00C279FA">
        <w:tab/>
        <w:t>sürgeti az EU-t, tagállamait és nemzetközi partnereit, hogy fokozzák erőfeszítéseiket valamennyi politikai fogoly szabadon bocsátásának biztosítása érdekében, beleértve a rezsim nagyköveteinek beidézését a foglyok állapotának és tartózkodási helyének megállapítása, a politikai foglyok ügyeinek nyomon követése és humanitárius vízumok kiadása érdekében, továbbá nyújtsanak rehabilitációt, valamint gyakorlati és pénzügyi támogatást;</w:t>
      </w:r>
    </w:p>
    <w:p w:rsidR="00AF75CD" w:rsidRPr="00C279FA" w:rsidP="00ED26C0" w14:paraId="5A2ED4E0" w14:textId="738A456F">
      <w:pPr>
        <w:pStyle w:val="NormalHanging12a"/>
        <w:widowControl/>
      </w:pPr>
      <w:r>
        <w:t>7</w:t>
      </w:r>
      <w:r w:rsidRPr="00C279FA">
        <w:t>.</w:t>
      </w:r>
      <w:r w:rsidRPr="00C279FA">
        <w:tab/>
        <w:t>felhívja a Tanácsot, hogy szélesítse ki, erősítse meg és szigorúan hajtsa végre a politikai indíttatású büntetőeljárásokért, elnyomásért és kínzásért felelős valamennyi személlyel és szervezettel szembeni célzott szankciókat;</w:t>
      </w:r>
    </w:p>
    <w:p w:rsidR="00AF75CD" w:rsidRPr="00C279FA" w:rsidP="00ED26C0" w14:paraId="51A97954" w14:textId="1A969CE7">
      <w:pPr>
        <w:pStyle w:val="NormalHanging12a"/>
        <w:widowControl/>
      </w:pPr>
      <w:r>
        <w:t>8</w:t>
      </w:r>
      <w:r w:rsidRPr="00C279FA">
        <w:t>.</w:t>
      </w:r>
      <w:r w:rsidRPr="00C279FA">
        <w:tab/>
        <w:t xml:space="preserve">felhívja az EU-t és tagállamait, hogy támogassák a </w:t>
      </w:r>
      <w:r w:rsidRPr="00C279FA">
        <w:t>Lukasenka</w:t>
      </w:r>
      <w:r w:rsidRPr="00C279FA">
        <w:t>-rezsim által elkövetett bűncselekmények dokumentálását, többek között az ENSZ szintjén is, és nemzetközi mechanizmusokon, többek között a Nemzetközi Büntetőbírósághoz Litvánia által benyújtott beadványon és vizsgálatokon, valamint a területen kívüli és egyetemes joghatóságon alapuló nemzeti eljárásokon keresztül növeljék az elszámoltathatóságot;</w:t>
      </w:r>
    </w:p>
    <w:p w:rsidR="00E365E1" w:rsidRPr="00155BB8" w:rsidP="00ED26C0" w14:paraId="140C64D3" w14:textId="1F0DFAD9">
      <w:pPr>
        <w:widowControl/>
        <w:spacing w:after="240"/>
        <w:ind w:left="567" w:hanging="567"/>
      </w:pPr>
      <w:r>
        <w:t>9</w:t>
      </w:r>
      <w:r w:rsidRPr="00C279FA" w:rsidR="00AF75CD">
        <w:t>.</w:t>
      </w:r>
      <w:r w:rsidRPr="00C279FA" w:rsidR="00AF75CD">
        <w:tab/>
        <w:t xml:space="preserve">utasítja elnökét, hogy továbbítsa ezt az állásfoglalást az alelnöknek/főképviselőnek, a Tanácsnak, a Bizottságnak, az ENSZ emberi jogi főbiztosának és </w:t>
      </w:r>
      <w:r w:rsidRPr="00C279FA" w:rsidR="00AF75CD">
        <w:t>Belarusz</w:t>
      </w:r>
      <w:r w:rsidRPr="00C279FA" w:rsidR="00AF75CD">
        <w:t xml:space="preserve"> de facto hatóságainak.</w:t>
      </w:r>
    </w:p>
    <w:sectPr w:rsidSect="00155B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5BB8" w14:paraId="3B0AF10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5BB8" w14:paraId="2550227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5BB8" w14:paraId="5C4978E0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5BB8" w14:paraId="3ADA35E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5BB8" w14:paraId="5BBE333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5BB8" w14:paraId="52A7721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1547300">
    <w:abstractNumId w:val="9"/>
  </w:num>
  <w:num w:numId="2" w16cid:durableId="2096172606">
    <w:abstractNumId w:val="9"/>
  </w:num>
  <w:num w:numId="3" w16cid:durableId="2008556426">
    <w:abstractNumId w:val="7"/>
  </w:num>
  <w:num w:numId="4" w16cid:durableId="281378626">
    <w:abstractNumId w:val="7"/>
  </w:num>
  <w:num w:numId="5" w16cid:durableId="1257907555">
    <w:abstractNumId w:val="6"/>
  </w:num>
  <w:num w:numId="6" w16cid:durableId="1701785509">
    <w:abstractNumId w:val="6"/>
  </w:num>
  <w:num w:numId="7" w16cid:durableId="1603759053">
    <w:abstractNumId w:val="5"/>
  </w:num>
  <w:num w:numId="8" w16cid:durableId="670570799">
    <w:abstractNumId w:val="5"/>
  </w:num>
  <w:num w:numId="9" w16cid:durableId="2013027449">
    <w:abstractNumId w:val="4"/>
  </w:num>
  <w:num w:numId="10" w16cid:durableId="1257057470">
    <w:abstractNumId w:val="4"/>
  </w:num>
  <w:num w:numId="11" w16cid:durableId="1965186176">
    <w:abstractNumId w:val="8"/>
  </w:num>
  <w:num w:numId="12" w16cid:durableId="1344740469">
    <w:abstractNumId w:val="8"/>
  </w:num>
  <w:num w:numId="13" w16cid:durableId="1443914373">
    <w:abstractNumId w:val="3"/>
  </w:num>
  <w:num w:numId="14" w16cid:durableId="1439373169">
    <w:abstractNumId w:val="3"/>
  </w:num>
  <w:num w:numId="15" w16cid:durableId="708653548">
    <w:abstractNumId w:val="2"/>
  </w:num>
  <w:num w:numId="16" w16cid:durableId="1220434197">
    <w:abstractNumId w:val="2"/>
  </w:num>
  <w:num w:numId="17" w16cid:durableId="2118138870">
    <w:abstractNumId w:val="1"/>
  </w:num>
  <w:num w:numId="18" w16cid:durableId="303201359">
    <w:abstractNumId w:val="1"/>
  </w:num>
  <w:num w:numId="19" w16cid:durableId="2125924324">
    <w:abstractNumId w:val="0"/>
  </w:num>
  <w:num w:numId="20" w16cid:durableId="1563833667">
    <w:abstractNumId w:val="0"/>
  </w:num>
  <w:num w:numId="21" w16cid:durableId="2085881337">
    <w:abstractNumId w:val="9"/>
  </w:num>
  <w:num w:numId="22" w16cid:durableId="559366411">
    <w:abstractNumId w:val="7"/>
  </w:num>
  <w:num w:numId="23" w16cid:durableId="1276868232">
    <w:abstractNumId w:val="6"/>
  </w:num>
  <w:num w:numId="24" w16cid:durableId="763263320">
    <w:abstractNumId w:val="5"/>
  </w:num>
  <w:num w:numId="25" w16cid:durableId="1061250470">
    <w:abstractNumId w:val="4"/>
  </w:num>
  <w:num w:numId="26" w16cid:durableId="1125268331">
    <w:abstractNumId w:val="8"/>
  </w:num>
  <w:num w:numId="27" w16cid:durableId="1286547710">
    <w:abstractNumId w:val="3"/>
  </w:num>
  <w:num w:numId="28" w16cid:durableId="1185437515">
    <w:abstractNumId w:val="2"/>
  </w:num>
  <w:num w:numId="29" w16cid:durableId="784693179">
    <w:abstractNumId w:val="1"/>
  </w:num>
  <w:num w:numId="30" w16cid:durableId="313534186">
    <w:abstractNumId w:val="0"/>
  </w:num>
  <w:num w:numId="31" w16cid:durableId="2047019209">
    <w:abstractNumId w:val="9"/>
  </w:num>
  <w:num w:numId="32" w16cid:durableId="814031154">
    <w:abstractNumId w:val="7"/>
  </w:num>
  <w:num w:numId="33" w16cid:durableId="123164074">
    <w:abstractNumId w:val="6"/>
  </w:num>
  <w:num w:numId="34" w16cid:durableId="997423304">
    <w:abstractNumId w:val="5"/>
  </w:num>
  <w:num w:numId="35" w16cid:durableId="306975267">
    <w:abstractNumId w:val="4"/>
  </w:num>
  <w:num w:numId="36" w16cid:durableId="1965958577">
    <w:abstractNumId w:val="8"/>
  </w:num>
  <w:num w:numId="37" w16cid:durableId="679159943">
    <w:abstractNumId w:val="3"/>
  </w:num>
  <w:num w:numId="38" w16cid:durableId="603613061">
    <w:abstractNumId w:val="2"/>
  </w:num>
  <w:num w:numId="39" w16cid:durableId="641616965">
    <w:abstractNumId w:val="1"/>
  </w:num>
  <w:num w:numId="40" w16cid:durableId="723069399">
    <w:abstractNumId w:val="0"/>
  </w:num>
  <w:num w:numId="41" w16cid:durableId="1353343577">
    <w:abstractNumId w:val="10"/>
  </w:num>
  <w:num w:numId="42" w16cid:durableId="35199605">
    <w:abstractNumId w:val="10"/>
  </w:num>
  <w:num w:numId="43" w16cid:durableId="1277444449">
    <w:abstractNumId w:val="10"/>
  </w:num>
  <w:num w:numId="44" w16cid:durableId="15311428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BC9"/>
    <w:rsid w:val="00002272"/>
    <w:rsid w:val="00064002"/>
    <w:rsid w:val="000677B9"/>
    <w:rsid w:val="000831BA"/>
    <w:rsid w:val="000A42CC"/>
    <w:rsid w:val="000E6444"/>
    <w:rsid w:val="000E7DD9"/>
    <w:rsid w:val="0010095E"/>
    <w:rsid w:val="00125B37"/>
    <w:rsid w:val="00155BB8"/>
    <w:rsid w:val="00187494"/>
    <w:rsid w:val="001F32AE"/>
    <w:rsid w:val="002767FF"/>
    <w:rsid w:val="002B18FE"/>
    <w:rsid w:val="002B5493"/>
    <w:rsid w:val="002F2A52"/>
    <w:rsid w:val="00343214"/>
    <w:rsid w:val="00361C00"/>
    <w:rsid w:val="00395FA1"/>
    <w:rsid w:val="003E15D4"/>
    <w:rsid w:val="00411CCE"/>
    <w:rsid w:val="0041666E"/>
    <w:rsid w:val="00421060"/>
    <w:rsid w:val="00471C19"/>
    <w:rsid w:val="00481BC9"/>
    <w:rsid w:val="004867E3"/>
    <w:rsid w:val="00494A28"/>
    <w:rsid w:val="004A495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75CD"/>
    <w:rsid w:val="00B12E95"/>
    <w:rsid w:val="00B22876"/>
    <w:rsid w:val="00B558F0"/>
    <w:rsid w:val="00B57336"/>
    <w:rsid w:val="00BD48FE"/>
    <w:rsid w:val="00BD7BD8"/>
    <w:rsid w:val="00BE6ADC"/>
    <w:rsid w:val="00C05BFE"/>
    <w:rsid w:val="00C23CD4"/>
    <w:rsid w:val="00C279F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3DC9"/>
    <w:rsid w:val="00E820A4"/>
    <w:rsid w:val="00EB006A"/>
    <w:rsid w:val="00EB4772"/>
    <w:rsid w:val="00ED169E"/>
    <w:rsid w:val="00ED26C0"/>
    <w:rsid w:val="00ED4235"/>
    <w:rsid w:val="00EF19BC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94, 0324, 0325, 0326, 0327 és 0328/2026"/>
    <w:docVar w:name="dvlangue" w:val="HU"/>
    <w:docVar w:name="dvnumam" w:val="0"/>
    <w:docVar w:name="dvpe" w:val="783.351"/>
    <w:docVar w:name="dvtitre" w:val="Az Európai Parlament 2026. június 18-i állásfoglalása a belaruszi politikai foglyok romló helyzetéről, különösen Aljakszandra Pulinovics ügyéről(2026/2766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AF500A2"/>
  <w15:chartTrackingRefBased/>
  <w15:docId w15:val="{2C00E2DB-C86D-4806-A101-0C9676B9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F75C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F75C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F75CD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AF75CD"/>
    <w:rPr>
      <w:sz w:val="24"/>
      <w:lang w:val="hu-HU"/>
    </w:rPr>
  </w:style>
  <w:style w:type="paragraph" w:styleId="Revision">
    <w:name w:val="Revision"/>
    <w:hidden/>
    <w:uiPriority w:val="99"/>
    <w:semiHidden/>
    <w:rsid w:val="00ED26C0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779</Words>
  <Characters>5693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2026-06-19T06:41:00Z</dcterms:created>
  <dcterms:modified xsi:type="dcterms:W3CDTF">2026-06-19T06:41:00Z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P10_TA(2026)0224_</vt:lpwstr>
  </property>
  <property fmtid="{D5CDD505-2E9C-101B-9397-08002B2CF9AE}" pid="4" name="&lt;Type&gt;">
    <vt:lpwstr>RR</vt:lpwstr>
  </property>
</Properties>
</file>