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392770C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7220" w:rsidP="0010095E" w14:paraId="26065767" w14:textId="77777777">
            <w:pPr>
              <w:pStyle w:val="EPName"/>
            </w:pPr>
            <w:r w:rsidRPr="00787220">
              <w:t>Parlamento europeo</w:t>
            </w:r>
          </w:p>
          <w:p w:rsidR="00751A4A" w:rsidRPr="00787220" w:rsidP="005F1B17" w14:paraId="5C53DD5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7220">
              <w:t>2024</w:t>
            </w:r>
            <w:r w:rsidRPr="00787220" w:rsidR="00817416">
              <w:t>-202</w:t>
            </w:r>
            <w:r w:rsidRPr="0078722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87220" w:rsidP="0010095E" w14:paraId="1860158D" w14:textId="77777777">
            <w:pPr>
              <w:pStyle w:val="EPLogo"/>
            </w:pPr>
            <w:r w:rsidRPr="00787220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7220" w:rsidP="004C5D52" w14:paraId="391D6E3C" w14:textId="77777777">
      <w:pPr>
        <w:pStyle w:val="LineTop"/>
      </w:pPr>
    </w:p>
    <w:p w:rsidR="00680577" w:rsidRPr="00787220" w:rsidP="00680577" w14:paraId="391AD0A2" w14:textId="77777777">
      <w:pPr>
        <w:pStyle w:val="EPBodyTA1"/>
      </w:pPr>
      <w:r w:rsidRPr="00787220">
        <w:t>TESTI APPROVATI</w:t>
      </w:r>
    </w:p>
    <w:p w:rsidR="00D058B8" w:rsidRPr="00787220" w:rsidP="00D058B8" w14:paraId="54C2B2B6" w14:textId="77777777">
      <w:pPr>
        <w:pStyle w:val="LineBottom"/>
      </w:pPr>
    </w:p>
    <w:p w:rsidR="004235D4" w:rsidRPr="00787220" w:rsidP="004235D4" w14:paraId="4C4EE47B" w14:textId="6E9E0091">
      <w:pPr>
        <w:pStyle w:val="ATHeading1"/>
      </w:pPr>
      <w:bookmarkStart w:id="0" w:name="TANumber"/>
      <w:r w:rsidRPr="00787220">
        <w:t>P10_</w:t>
      </w:r>
      <w:r w:rsidRPr="00787220">
        <w:t>TA(</w:t>
      </w:r>
      <w:r w:rsidRPr="00787220">
        <w:t>2026)0</w:t>
      </w:r>
      <w:r w:rsidRPr="00787220" w:rsidR="00A663A3">
        <w:t>224</w:t>
      </w:r>
      <w:bookmarkEnd w:id="0"/>
    </w:p>
    <w:p w:rsidR="004235D4" w:rsidRPr="00787220" w:rsidP="004235D4" w14:paraId="09A01FE6" w14:textId="77777777">
      <w:pPr>
        <w:pStyle w:val="ATHeading2"/>
      </w:pPr>
      <w:bookmarkStart w:id="1" w:name="title"/>
      <w:r w:rsidRPr="00787220">
        <w:t xml:space="preserve">Deterioramento della situazione dei prigionieri politici in Bielorussia, in particolare il caso di </w:t>
      </w:r>
      <w:r w:rsidRPr="00787220">
        <w:t>Aliaksandra</w:t>
      </w:r>
      <w:r w:rsidRPr="00787220">
        <w:t xml:space="preserve"> </w:t>
      </w:r>
      <w:r w:rsidRPr="00787220">
        <w:t>Pulinovich</w:t>
      </w:r>
      <w:bookmarkEnd w:id="1"/>
    </w:p>
    <w:p w:rsidR="004235D4" w:rsidRPr="00787220" w:rsidP="004235D4" w14:paraId="5EF46C88" w14:textId="274C3938">
      <w:pPr>
        <w:rPr>
          <w:i/>
          <w:vanish/>
        </w:rPr>
      </w:pPr>
      <w:r>
        <w:rPr>
          <w:i/>
        </w:rPr>
        <w:fldChar w:fldCharType="begin"/>
      </w:r>
      <w:r w:rsidRPr="00787220">
        <w:rPr>
          <w:i/>
        </w:rPr>
        <w:instrText xml:space="preserve"> TC"(</w:instrText>
      </w:r>
      <w:bookmarkStart w:id="2" w:name="DocNumber"/>
      <w:r w:rsidRPr="00787220">
        <w:rPr>
          <w:i/>
        </w:rPr>
        <w:instrText>B10-0294</w:instrText>
      </w:r>
      <w:r w:rsidRPr="00787220" w:rsidR="006F684F">
        <w:rPr>
          <w:i/>
        </w:rPr>
        <w:instrText>, 0324, 0325, 0326, 0327 e 0328</w:instrText>
      </w:r>
      <w:r w:rsidRPr="00787220">
        <w:rPr>
          <w:i/>
        </w:rPr>
        <w:instrText>/2026</w:instrText>
      </w:r>
      <w:bookmarkEnd w:id="2"/>
      <w:r w:rsidRPr="00787220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4235D4" w:rsidRPr="00787220" w:rsidP="004235D4" w14:paraId="61F47D2A" w14:textId="77777777">
      <w:pPr>
        <w:rPr>
          <w:vanish/>
        </w:rPr>
      </w:pPr>
      <w:bookmarkStart w:id="3" w:name="PE"/>
      <w:r w:rsidRPr="00787220">
        <w:rPr>
          <w:vanish/>
        </w:rPr>
        <w:t>PE783.351</w:t>
      </w:r>
      <w:bookmarkEnd w:id="3"/>
    </w:p>
    <w:p w:rsidR="004235D4" w:rsidRPr="00787220" w:rsidP="004235D4" w14:paraId="7B729357" w14:textId="77777777">
      <w:pPr>
        <w:pStyle w:val="ATHeading3"/>
      </w:pPr>
      <w:bookmarkStart w:id="4" w:name="Sujet"/>
      <w:r w:rsidRPr="00787220">
        <w:t xml:space="preserve">Risoluzione del Parlamento europeo del 18 giugno 2026 sul deterioramento della situazione dei prigionieri politici in Bielorussia, in particolare il caso di </w:t>
      </w:r>
      <w:r w:rsidRPr="00787220">
        <w:t>Aliaksandra</w:t>
      </w:r>
      <w:r w:rsidRPr="00787220">
        <w:t xml:space="preserve"> </w:t>
      </w:r>
      <w:r w:rsidRPr="00787220">
        <w:t>Pulinovich</w:t>
      </w:r>
      <w:bookmarkEnd w:id="4"/>
      <w:r w:rsidRPr="00787220">
        <w:t xml:space="preserve"> </w:t>
      </w:r>
      <w:bookmarkStart w:id="5" w:name="References"/>
      <w:r w:rsidRPr="00787220">
        <w:t>(2026/2766(RSP))</w:t>
      </w:r>
      <w:bookmarkEnd w:id="5"/>
    </w:p>
    <w:p w:rsidR="007D7EE4" w:rsidRPr="00787220" w:rsidP="007D7EE4" w14:paraId="7E9687D8" w14:textId="77777777">
      <w:pPr>
        <w:pStyle w:val="EPComma"/>
      </w:pPr>
      <w:bookmarkStart w:id="6" w:name="TextBodyBegin"/>
      <w:bookmarkEnd w:id="6"/>
      <w:r w:rsidRPr="00787220">
        <w:rPr>
          <w:i/>
        </w:rPr>
        <w:t>Il Parlamento europeo</w:t>
      </w:r>
      <w:r w:rsidRPr="00787220">
        <w:t>,</w:t>
      </w:r>
    </w:p>
    <w:p w:rsidR="007D7EE4" w:rsidRPr="00787220" w:rsidP="007D7EE4" w14:paraId="6FE6785B" w14:textId="77777777">
      <w:pPr>
        <w:pStyle w:val="NormalHanging12a"/>
      </w:pPr>
      <w:r w:rsidRPr="00787220">
        <w:t>–</w:t>
      </w:r>
      <w:r w:rsidRPr="00787220">
        <w:tab/>
        <w:t>viste le sue precedenti risoluzioni sulla Bielorussia,</w:t>
      </w:r>
    </w:p>
    <w:p w:rsidR="007D7EE4" w:rsidRPr="00787220" w:rsidP="007D7EE4" w14:paraId="77A423E1" w14:textId="77777777">
      <w:pPr>
        <w:pStyle w:val="NormalHanging12a"/>
      </w:pPr>
      <w:r w:rsidRPr="00787220">
        <w:t>–</w:t>
      </w:r>
      <w:r w:rsidRPr="00787220">
        <w:tab/>
        <w:t>visti l'articolo 150, paragrafo 5, e l'articolo 136, paragrafo 4, del suo regolamento,</w:t>
      </w:r>
    </w:p>
    <w:p w:rsidR="007D7EE4" w:rsidRPr="00787220" w:rsidP="007D7EE4" w14:paraId="6F01736F" w14:textId="1622CC2F">
      <w:pPr>
        <w:pStyle w:val="NormalHanging12a"/>
      </w:pPr>
      <w:r w:rsidRPr="00787220">
        <w:t>A.</w:t>
      </w:r>
      <w:r w:rsidRPr="00787220">
        <w:tab/>
        <w:t xml:space="preserve">considerando che a gennaio 2024 la sedicenne </w:t>
      </w:r>
      <w:r w:rsidRPr="00787220">
        <w:t>Aliaksandra</w:t>
      </w:r>
      <w:r w:rsidRPr="00787220">
        <w:t xml:space="preserve"> </w:t>
      </w:r>
      <w:r w:rsidRPr="00787220">
        <w:t>Pulinovich</w:t>
      </w:r>
      <w:r w:rsidRPr="00787220">
        <w:t xml:space="preserve"> è stata arrestata nell'ambito del caso "Usignoli neri" relativo ai graffiti in opposizione alla guerra di aggressione della Russia </w:t>
      </w:r>
      <w:r w:rsidRPr="00787220" w:rsidR="006F684F">
        <w:t>nei confronti</w:t>
      </w:r>
      <w:r w:rsidRPr="00787220">
        <w:t xml:space="preserve"> </w:t>
      </w:r>
      <w:r w:rsidRPr="00787220" w:rsidR="006F684F">
        <w:t>del</w:t>
      </w:r>
      <w:r w:rsidRPr="00787220">
        <w:t>l'Ucraina, è stata collocata in una cella di punizione e le sono stati negati la difesa legale e il sostegno dei genitori; che è stata condannata a oltre 10 anni di reclusione in un procedimento a porte chiuse e successivamente inserita in un "elenco di terroristi";</w:t>
      </w:r>
    </w:p>
    <w:p w:rsidR="007D7EE4" w:rsidRPr="00787220" w:rsidP="007D7EE4" w14:paraId="25B65D8A" w14:textId="77777777">
      <w:pPr>
        <w:pStyle w:val="NormalHanging12a"/>
      </w:pPr>
      <w:r w:rsidRPr="00787220">
        <w:t>B.</w:t>
      </w:r>
      <w:r w:rsidRPr="00787220">
        <w:tab/>
        <w:t xml:space="preserve">considerando che il caso </w:t>
      </w:r>
      <w:r w:rsidRPr="00787220">
        <w:t>Pulinovich</w:t>
      </w:r>
      <w:r w:rsidRPr="00787220">
        <w:t xml:space="preserve"> mostra l'uso da parte delle autorità bielorusse delle norme antiterrorismo per criminalizzare i giovani per motivi politici;</w:t>
      </w:r>
    </w:p>
    <w:p w:rsidR="007D7EE4" w:rsidRPr="00787220" w:rsidP="007D7EE4" w14:paraId="602F467B" w14:textId="77777777">
      <w:pPr>
        <w:pStyle w:val="NormalHanging12a"/>
      </w:pPr>
      <w:r w:rsidRPr="00787220">
        <w:t>C.</w:t>
      </w:r>
      <w:r w:rsidRPr="00787220">
        <w:tab/>
        <w:t>considerando che il regime di Lukashenko reprime sistematicamente gli oppositori politici, i difensori dei diritti umani, i giornalisti, i sindacalisti, gli studenti, le minoranze nazionali e i cittadini che esercitano le loro libertà fondamentali; che 853 prigionieri politici continuano a essere arbitrariamente detenuti in condizioni disumane;</w:t>
      </w:r>
    </w:p>
    <w:p w:rsidR="004B706C" w:rsidRPr="00787220" w:rsidP="007D7EE4" w14:paraId="02DAF094" w14:textId="2C5F2F1A">
      <w:pPr>
        <w:pStyle w:val="NormalHanging12a"/>
        <w:rPr>
          <w:bCs/>
          <w:iCs/>
        </w:rPr>
      </w:pPr>
      <w:r w:rsidRPr="00787220">
        <w:t>D.</w:t>
      </w:r>
      <w:r w:rsidRPr="00787220">
        <w:tab/>
        <w:t xml:space="preserve">considerando che i casi di </w:t>
      </w:r>
      <w:r w:rsidRPr="00787220">
        <w:rPr>
          <w:bCs/>
          <w:iCs/>
        </w:rPr>
        <w:t>Dzianis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Ivashyn</w:t>
      </w:r>
      <w:r w:rsidRPr="00787220">
        <w:rPr>
          <w:bCs/>
          <w:iCs/>
        </w:rPr>
        <w:t xml:space="preserve">, Pavel </w:t>
      </w:r>
      <w:r w:rsidRPr="00787220">
        <w:rPr>
          <w:bCs/>
          <w:iCs/>
        </w:rPr>
        <w:t>Belavus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Ihar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Alinevich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Volha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Mayorava</w:t>
      </w:r>
      <w:r w:rsidRPr="00787220">
        <w:rPr>
          <w:bCs/>
          <w:iCs/>
        </w:rPr>
        <w:t xml:space="preserve">, Alena </w:t>
      </w:r>
      <w:r w:rsidRPr="00787220">
        <w:rPr>
          <w:bCs/>
          <w:iCs/>
        </w:rPr>
        <w:t>Lazarchyk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Aliaksandr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Frantskevich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Viktar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Snehur</w:t>
      </w:r>
      <w:r w:rsidRPr="00787220">
        <w:rPr>
          <w:bCs/>
          <w:iCs/>
        </w:rPr>
        <w:t xml:space="preserve">, Eduard </w:t>
      </w:r>
      <w:r w:rsidRPr="00787220">
        <w:rPr>
          <w:bCs/>
          <w:iCs/>
        </w:rPr>
        <w:t>Babaryka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Mikalai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Autukhovich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Uladzimir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Hundar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Iryna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Melkher</w:t>
      </w:r>
      <w:r w:rsidRPr="00787220">
        <w:rPr>
          <w:bCs/>
          <w:iCs/>
        </w:rPr>
        <w:t xml:space="preserve">, membri delle famiglie </w:t>
      </w:r>
      <w:r w:rsidRPr="00787220">
        <w:rPr>
          <w:bCs/>
          <w:iCs/>
        </w:rPr>
        <w:t>Rezanovich</w:t>
      </w:r>
      <w:r w:rsidRPr="00787220">
        <w:rPr>
          <w:bCs/>
          <w:iCs/>
        </w:rPr>
        <w:t xml:space="preserve"> e </w:t>
      </w:r>
      <w:r w:rsidRPr="00787220">
        <w:rPr>
          <w:bCs/>
          <w:iCs/>
        </w:rPr>
        <w:t>Karsakou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Stsiapan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Latypau</w:t>
      </w:r>
      <w:r w:rsidRPr="00787220">
        <w:rPr>
          <w:bCs/>
          <w:iCs/>
        </w:rPr>
        <w:t xml:space="preserve">, </w:t>
      </w:r>
      <w:r w:rsidRPr="00787220">
        <w:rPr>
          <w:bCs/>
          <w:iCs/>
        </w:rPr>
        <w:t>Viachaslau</w:t>
      </w:r>
      <w:r w:rsidRPr="00787220">
        <w:rPr>
          <w:bCs/>
          <w:iCs/>
        </w:rPr>
        <w:t xml:space="preserve"> </w:t>
      </w:r>
      <w:r w:rsidRPr="00787220">
        <w:rPr>
          <w:bCs/>
          <w:iCs/>
        </w:rPr>
        <w:t>Areshka</w:t>
      </w:r>
      <w:r w:rsidRPr="00787220">
        <w:rPr>
          <w:bCs/>
          <w:iCs/>
        </w:rPr>
        <w:t xml:space="preserve"> e molti altri </w:t>
      </w:r>
      <w:r w:rsidRPr="00787220" w:rsidR="006C582B">
        <w:rPr>
          <w:bCs/>
          <w:iCs/>
        </w:rPr>
        <w:t>evidenziano</w:t>
      </w:r>
      <w:r w:rsidRPr="00787220">
        <w:rPr>
          <w:bCs/>
          <w:iCs/>
        </w:rPr>
        <w:t xml:space="preserve"> </w:t>
      </w:r>
      <w:r w:rsidRPr="00787220" w:rsidR="006C582B">
        <w:rPr>
          <w:bCs/>
          <w:iCs/>
        </w:rPr>
        <w:t xml:space="preserve">un serio aggravamento </w:t>
      </w:r>
      <w:r w:rsidRPr="00787220">
        <w:rPr>
          <w:bCs/>
          <w:iCs/>
        </w:rPr>
        <w:t xml:space="preserve">della salute e devastanti conseguenze </w:t>
      </w:r>
      <w:r w:rsidRPr="00787220" w:rsidR="006C582B">
        <w:rPr>
          <w:bCs/>
          <w:iCs/>
        </w:rPr>
        <w:t>dovute ad</w:t>
      </w:r>
      <w:r w:rsidRPr="00787220">
        <w:rPr>
          <w:bCs/>
          <w:iCs/>
        </w:rPr>
        <w:t xml:space="preserve"> </w:t>
      </w:r>
      <w:r w:rsidRPr="00787220" w:rsidR="006C582B">
        <w:rPr>
          <w:bCs/>
          <w:iCs/>
        </w:rPr>
        <w:t xml:space="preserve">inumane </w:t>
      </w:r>
      <w:r w:rsidRPr="00787220">
        <w:rPr>
          <w:bCs/>
          <w:iCs/>
        </w:rPr>
        <w:t>condizioni di detenzione, isolamento prolungato e negazione di cure mediche adeguate;</w:t>
      </w:r>
    </w:p>
    <w:p w:rsidR="004B706C" w:rsidRPr="00787220" w:rsidP="007D7EE4" w14:paraId="7569559F" w14:textId="5A9EC386">
      <w:pPr>
        <w:pStyle w:val="NormalHanging12a"/>
        <w:rPr>
          <w:bCs/>
          <w:iCs/>
        </w:rPr>
      </w:pPr>
      <w:r w:rsidRPr="00787220">
        <w:rPr>
          <w:bCs/>
          <w:iCs/>
        </w:rPr>
        <w:t>E</w:t>
      </w:r>
      <w:r w:rsidRPr="00787220">
        <w:rPr>
          <w:bCs/>
          <w:iCs/>
        </w:rPr>
        <w:t>.</w:t>
      </w:r>
      <w:r w:rsidRPr="00787220">
        <w:rPr>
          <w:bCs/>
          <w:iCs/>
        </w:rPr>
        <w:tab/>
        <w:t xml:space="preserve">considerando che l'articolo 411 del codice penale bielorusso è stato sistematicamente </w:t>
      </w:r>
      <w:r w:rsidRPr="00787220">
        <w:rPr>
          <w:bCs/>
          <w:iCs/>
        </w:rPr>
        <w:t xml:space="preserve">utilizzato contro i prigionieri politici per prolungarne arbitrariamente la detenzione sulla base di false violazioni disciplinari, creando un meccanismo di detenzione e coercizione a tempo indeterminato; che dal 2020 oltre 80 prigionieri politici sono stati condannati </w:t>
      </w:r>
      <w:r w:rsidRPr="00787220" w:rsidR="006C582B">
        <w:rPr>
          <w:bCs/>
          <w:iCs/>
        </w:rPr>
        <w:t>sulla base</w:t>
      </w:r>
      <w:r w:rsidRPr="00787220">
        <w:rPr>
          <w:bCs/>
          <w:iCs/>
        </w:rPr>
        <w:t xml:space="preserve"> di tale disposizione, alcuni di loro ripetutamente; che l'articolo 411 è utilizzato per sottoporre i detenuti a ricatto, costringerli a chiedere la grazia al regime, partecipare ad attività di propaganda o cooperare con le autorità ed è diventato uno strumento di tortura psicologica e repressione politica;</w:t>
      </w:r>
    </w:p>
    <w:p w:rsidR="007D7EE4" w:rsidRPr="00787220" w:rsidP="007D7EE4" w14:paraId="10AFC43D" w14:textId="77777777">
      <w:pPr>
        <w:pStyle w:val="NormalHanging12a"/>
      </w:pPr>
      <w:r w:rsidRPr="00787220">
        <w:t>1.</w:t>
      </w:r>
      <w:r w:rsidRPr="00787220">
        <w:tab/>
        <w:t xml:space="preserve">chiede il rilascio immediato e incondizionato di </w:t>
      </w:r>
      <w:r w:rsidRPr="00787220">
        <w:t>Pulinovich</w:t>
      </w:r>
      <w:r w:rsidRPr="00787220">
        <w:t xml:space="preserve"> e di tutti i prigionieri politici, la loro piena riabilitazione e il pieno ripristino dei loro diritti; ribadisce la sua ferma solidarietà a tutti i prigionieri politici e alle loro famiglie;</w:t>
      </w:r>
    </w:p>
    <w:p w:rsidR="007D7EE4" w:rsidRPr="00787220" w:rsidP="007D7EE4" w14:paraId="42080CAF" w14:textId="77777777">
      <w:pPr>
        <w:pStyle w:val="NormalHanging12a"/>
      </w:pPr>
      <w:r w:rsidRPr="00787220">
        <w:t>2.</w:t>
      </w:r>
      <w:r w:rsidRPr="00787220">
        <w:tab/>
        <w:t>esorta le autorità a porre fine a tutte le forme di maltrattamento dei prigionieri politici, la detenzione in isolamento, la negazione dell'assistenza medica e dell'accesso agli avvocati e alla famiglia, nonché il lavoro forzato, e a indagare sui decessi avvenuti durante la detenzione e sulle accuse di tortura;</w:t>
      </w:r>
    </w:p>
    <w:p w:rsidR="007D7EE4" w:rsidRPr="00787220" w:rsidP="007D7EE4" w14:paraId="49DB7C13" w14:textId="4C0F187B">
      <w:pPr>
        <w:pStyle w:val="NormalHanging12a"/>
      </w:pPr>
      <w:r w:rsidRPr="00787220">
        <w:t>3.</w:t>
      </w:r>
      <w:r w:rsidRPr="00787220">
        <w:tab/>
        <w:t xml:space="preserve">condanna fermamente l'azione penale di matrice politica nei confronti dei bielorussi, in particolare l'incarcerazione di minori come </w:t>
      </w:r>
      <w:r w:rsidRPr="00787220">
        <w:t>Pulinovich</w:t>
      </w:r>
      <w:r w:rsidRPr="00787220">
        <w:t>; denuncia l'uso improprio della legislazione contro il terrorismo e l'estremismo per criminalizzare l'espressione di opposizione alla guerra, il dissenso dei giovani e la solidarietà nei confronti dell'Ucraina e per reprimere il dissenso pacifico, anche formulando gravi accuse nei confronti dei giovani per intimidirli; chiede l'abolizione degli elenchi di terroristi e estremisti; esorta le autorità bielorusse a rispettare la Convenzione delle Nazioni Unite sui diritti dell'infanzia</w:t>
      </w:r>
      <w:r w:rsidRPr="00787220" w:rsidR="00E11634">
        <w:t xml:space="preserve"> e dell’adolescenza</w:t>
      </w:r>
      <w:r w:rsidRPr="00787220">
        <w:t>;</w:t>
      </w:r>
    </w:p>
    <w:p w:rsidR="004B706C" w:rsidRPr="00787220" w:rsidP="007D7EE4" w14:paraId="2AAB72DA" w14:textId="6401A714">
      <w:pPr>
        <w:pStyle w:val="NormalHanging12a"/>
        <w:rPr>
          <w:bCs/>
          <w:iCs/>
        </w:rPr>
      </w:pPr>
      <w:r w:rsidRPr="00787220">
        <w:rPr>
          <w:bCs/>
          <w:iCs/>
        </w:rPr>
        <w:t>4.</w:t>
      </w:r>
      <w:r w:rsidRPr="00787220">
        <w:rPr>
          <w:bCs/>
          <w:iCs/>
        </w:rPr>
        <w:tab/>
        <w:t xml:space="preserve">condanna </w:t>
      </w:r>
      <w:r w:rsidRPr="00787220" w:rsidR="00BA52E1">
        <w:rPr>
          <w:bCs/>
          <w:iCs/>
        </w:rPr>
        <w:t xml:space="preserve">il </w:t>
      </w:r>
      <w:r w:rsidRPr="00787220">
        <w:rPr>
          <w:bCs/>
          <w:iCs/>
        </w:rPr>
        <w:t xml:space="preserve">sistematico </w:t>
      </w:r>
      <w:r w:rsidRPr="00787220" w:rsidR="00BA52E1">
        <w:rPr>
          <w:bCs/>
          <w:iCs/>
        </w:rPr>
        <w:t xml:space="preserve">uso </w:t>
      </w:r>
      <w:r w:rsidRPr="00787220">
        <w:rPr>
          <w:bCs/>
          <w:iCs/>
        </w:rPr>
        <w:t xml:space="preserve">improprio dell'articolo 411 del codice penale bielorusso come strumento di persecuzione politica e di estensione arbitraria delle pene; chiede la sua immediata abrogazione; chiede il rilascio e la piena riabilitazione giuridica di tutte le persone condannate </w:t>
      </w:r>
      <w:r w:rsidRPr="00787220" w:rsidR="00BA52E1">
        <w:rPr>
          <w:bCs/>
          <w:iCs/>
        </w:rPr>
        <w:t>sulla base di</w:t>
      </w:r>
      <w:r w:rsidRPr="00787220">
        <w:rPr>
          <w:bCs/>
          <w:iCs/>
        </w:rPr>
        <w:t xml:space="preserve"> tale disposizione; esprime profonda preoccupazione per i circa 50 prigionieri politici che rimangono in carcere </w:t>
      </w:r>
      <w:r w:rsidRPr="00787220" w:rsidR="00BA52E1">
        <w:rPr>
          <w:bCs/>
          <w:iCs/>
        </w:rPr>
        <w:t>sulla base</w:t>
      </w:r>
      <w:r w:rsidRPr="00787220">
        <w:rPr>
          <w:bCs/>
          <w:iCs/>
        </w:rPr>
        <w:t xml:space="preserve"> dell'articolo 411 e la cui vita e salute sono gravemente a rischio a causa della detenzione prolungata, dell'isolamento e di altre forme di trattamento disumano e degradante;</w:t>
      </w:r>
    </w:p>
    <w:p w:rsidR="007D7EE4" w:rsidRPr="00787220" w:rsidP="007D7EE4" w14:paraId="0433D154" w14:textId="2E739F9B">
      <w:pPr>
        <w:pStyle w:val="NormalHanging12a"/>
      </w:pPr>
      <w:r w:rsidRPr="00787220">
        <w:t>5</w:t>
      </w:r>
      <w:r w:rsidRPr="00787220">
        <w:t>.</w:t>
      </w:r>
      <w:r w:rsidRPr="00787220">
        <w:tab/>
        <w:t>riconosce gli sforzi compiuti dagli Stati Uniti per garantire il rilascio dei prigionieri politici; sottolinea, tuttavia, che il rilascio di prigionieri è motivato dalla preoccupazione del regime per la sopravvivenza economica e non è accompagnato da trasformazioni o riforme politiche che giustifichino la normalizzazione delle relazioni; insiste sul fatto che il rilascio di tutti i prigionieri politici e la fine della repressione rimangono condizioni preliminari per il dialogo politico e la cooperazione economica; chiede che si ponga fine alla deportazione forzata dei prigionieri politici rilasciati e alla repressione dei loro familiari;</w:t>
      </w:r>
    </w:p>
    <w:p w:rsidR="007D7EE4" w:rsidRPr="00787220" w:rsidP="007D7EE4" w14:paraId="52F2309F" w14:textId="24BEC205">
      <w:pPr>
        <w:pStyle w:val="NormalHanging12a"/>
      </w:pPr>
      <w:r w:rsidRPr="00787220">
        <w:t>6</w:t>
      </w:r>
      <w:r w:rsidRPr="00787220">
        <w:t>.</w:t>
      </w:r>
      <w:r w:rsidRPr="00787220">
        <w:tab/>
        <w:t>esorta l'UE, i suoi Stati membri e i partner internazionali a intensificare gli sforzi per garantire il rilascio di tutti i prigionieri politici, anche convocando gli ambasciatori del regime per determinare le condizioni e il luogo in cui si trovano i prigionieri, monitorando i casi dei prigionieri politici e concedendo visti umanitari, e a fornire riabilitazione e sostegno pratico e finanziario;</w:t>
      </w:r>
    </w:p>
    <w:p w:rsidR="007D7EE4" w:rsidRPr="00787220" w:rsidP="007D7EE4" w14:paraId="30402AF0" w14:textId="452602F2">
      <w:pPr>
        <w:pStyle w:val="NormalHanging12a"/>
      </w:pPr>
      <w:r w:rsidRPr="00787220">
        <w:t>7</w:t>
      </w:r>
      <w:r w:rsidRPr="00787220">
        <w:t>.</w:t>
      </w:r>
      <w:r w:rsidRPr="00787220">
        <w:tab/>
        <w:t xml:space="preserve">invita il Consiglio ad ampliare, rafforzare e applicare rigorosamente sanzioni mirate nei confronti di tutte le persone ed entità responsabili di procedimenti giudiziari di matrice </w:t>
      </w:r>
      <w:r w:rsidRPr="00787220">
        <w:t>politica, repressione e tortura;</w:t>
      </w:r>
    </w:p>
    <w:p w:rsidR="007D7EE4" w:rsidRPr="00787220" w:rsidP="007D7EE4" w14:paraId="28BC1799" w14:textId="5E4BE28B">
      <w:pPr>
        <w:pStyle w:val="NormalHanging12a"/>
      </w:pPr>
      <w:r w:rsidRPr="00787220">
        <w:t>8</w:t>
      </w:r>
      <w:r w:rsidRPr="00787220">
        <w:t>.</w:t>
      </w:r>
      <w:r w:rsidRPr="00787220">
        <w:tab/>
        <w:t>invita l'UE e i suoi Stati membri a sostenere la documentazione dei crimini commessi dal regime di Lukashenko, anche a livello delle Nazioni Unite, e l'ulteriore assunzione di responsabilità attraverso meccanismi internazionali, tra cui il deferimento alla Corte penale internazionale da parte della Lituania, così come le indagini e i procedimenti nazionali basati sulla giurisdizione extraterritoriale e universale;</w:t>
      </w:r>
    </w:p>
    <w:p w:rsidR="0063785F" w:rsidRPr="00787220" w:rsidP="0063785F" w14:paraId="52E21D53" w14:textId="203EC62A">
      <w:pPr>
        <w:pStyle w:val="NormalHanging12a"/>
      </w:pPr>
      <w:r w:rsidRPr="00787220">
        <w:t>9</w:t>
      </w:r>
      <w:r w:rsidRPr="00787220" w:rsidR="007D7EE4">
        <w:t>.</w:t>
      </w:r>
      <w:r w:rsidRPr="00787220" w:rsidR="007D7EE4">
        <w:tab/>
        <w:t>incarica la sua Presidente di trasmettere la presente risoluzione al</w:t>
      </w:r>
      <w:r w:rsidRPr="00787220" w:rsidR="00E11634">
        <w:t>la</w:t>
      </w:r>
      <w:r w:rsidRPr="00787220" w:rsidR="007D7EE4">
        <w:t xml:space="preserve"> VP</w:t>
      </w:r>
      <w:r w:rsidRPr="00787220" w:rsidR="00E11634">
        <w:t> </w:t>
      </w:r>
      <w:r w:rsidRPr="00787220" w:rsidR="007D7EE4">
        <w:t>/</w:t>
      </w:r>
      <w:r w:rsidRPr="00787220" w:rsidR="00E11634">
        <w:t> </w:t>
      </w:r>
      <w:r w:rsidRPr="00787220" w:rsidR="007D7EE4">
        <w:t>AR, al Consiglio, alla Commissione, all'Alto commissario delle Nazioni Unite per i diritti umani e alle autorità di fatto della Bielorussia.</w:t>
      </w:r>
    </w:p>
    <w:sectPr w:rsidSect="006378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785F" w14:paraId="3CAA9F2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785F" w14:paraId="1380D91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785F" w14:paraId="562A837E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785F" w14:paraId="14C8CD2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785F" w14:paraId="4A26720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3785F" w14:paraId="3730989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60590849">
    <w:abstractNumId w:val="9"/>
  </w:num>
  <w:num w:numId="2" w16cid:durableId="2127312059">
    <w:abstractNumId w:val="9"/>
  </w:num>
  <w:num w:numId="3" w16cid:durableId="1505169964">
    <w:abstractNumId w:val="7"/>
  </w:num>
  <w:num w:numId="4" w16cid:durableId="1007752956">
    <w:abstractNumId w:val="7"/>
  </w:num>
  <w:num w:numId="5" w16cid:durableId="1783569982">
    <w:abstractNumId w:val="6"/>
  </w:num>
  <w:num w:numId="6" w16cid:durableId="1858083537">
    <w:abstractNumId w:val="6"/>
  </w:num>
  <w:num w:numId="7" w16cid:durableId="150490543">
    <w:abstractNumId w:val="5"/>
  </w:num>
  <w:num w:numId="8" w16cid:durableId="1343124728">
    <w:abstractNumId w:val="5"/>
  </w:num>
  <w:num w:numId="9" w16cid:durableId="1260793681">
    <w:abstractNumId w:val="4"/>
  </w:num>
  <w:num w:numId="10" w16cid:durableId="1879201808">
    <w:abstractNumId w:val="4"/>
  </w:num>
  <w:num w:numId="11" w16cid:durableId="1047948458">
    <w:abstractNumId w:val="8"/>
  </w:num>
  <w:num w:numId="12" w16cid:durableId="1789005762">
    <w:abstractNumId w:val="8"/>
  </w:num>
  <w:num w:numId="13" w16cid:durableId="1472482951">
    <w:abstractNumId w:val="3"/>
  </w:num>
  <w:num w:numId="14" w16cid:durableId="1528107242">
    <w:abstractNumId w:val="3"/>
  </w:num>
  <w:num w:numId="15" w16cid:durableId="2070492667">
    <w:abstractNumId w:val="2"/>
  </w:num>
  <w:num w:numId="16" w16cid:durableId="229123775">
    <w:abstractNumId w:val="2"/>
  </w:num>
  <w:num w:numId="17" w16cid:durableId="1842350323">
    <w:abstractNumId w:val="1"/>
  </w:num>
  <w:num w:numId="18" w16cid:durableId="1257639183">
    <w:abstractNumId w:val="1"/>
  </w:num>
  <w:num w:numId="19" w16cid:durableId="1938630211">
    <w:abstractNumId w:val="0"/>
  </w:num>
  <w:num w:numId="20" w16cid:durableId="421340049">
    <w:abstractNumId w:val="0"/>
  </w:num>
  <w:num w:numId="21" w16cid:durableId="831456186">
    <w:abstractNumId w:val="9"/>
  </w:num>
  <w:num w:numId="22" w16cid:durableId="919409431">
    <w:abstractNumId w:val="7"/>
  </w:num>
  <w:num w:numId="23" w16cid:durableId="65540317">
    <w:abstractNumId w:val="6"/>
  </w:num>
  <w:num w:numId="24" w16cid:durableId="1551846207">
    <w:abstractNumId w:val="5"/>
  </w:num>
  <w:num w:numId="25" w16cid:durableId="1392579412">
    <w:abstractNumId w:val="4"/>
  </w:num>
  <w:num w:numId="26" w16cid:durableId="597837617">
    <w:abstractNumId w:val="8"/>
  </w:num>
  <w:num w:numId="27" w16cid:durableId="712849079">
    <w:abstractNumId w:val="3"/>
  </w:num>
  <w:num w:numId="28" w16cid:durableId="83764416">
    <w:abstractNumId w:val="2"/>
  </w:num>
  <w:num w:numId="29" w16cid:durableId="21714108">
    <w:abstractNumId w:val="1"/>
  </w:num>
  <w:num w:numId="30" w16cid:durableId="97062804">
    <w:abstractNumId w:val="0"/>
  </w:num>
  <w:num w:numId="31" w16cid:durableId="27416996">
    <w:abstractNumId w:val="9"/>
  </w:num>
  <w:num w:numId="32" w16cid:durableId="532042695">
    <w:abstractNumId w:val="7"/>
  </w:num>
  <w:num w:numId="33" w16cid:durableId="959452182">
    <w:abstractNumId w:val="6"/>
  </w:num>
  <w:num w:numId="34" w16cid:durableId="583414717">
    <w:abstractNumId w:val="5"/>
  </w:num>
  <w:num w:numId="35" w16cid:durableId="2146579827">
    <w:abstractNumId w:val="4"/>
  </w:num>
  <w:num w:numId="36" w16cid:durableId="536741466">
    <w:abstractNumId w:val="8"/>
  </w:num>
  <w:num w:numId="37" w16cid:durableId="213852004">
    <w:abstractNumId w:val="3"/>
  </w:num>
  <w:num w:numId="38" w16cid:durableId="1468889093">
    <w:abstractNumId w:val="2"/>
  </w:num>
  <w:num w:numId="39" w16cid:durableId="133914370">
    <w:abstractNumId w:val="1"/>
  </w:num>
  <w:num w:numId="40" w16cid:durableId="1362822598">
    <w:abstractNumId w:val="0"/>
  </w:num>
  <w:num w:numId="41" w16cid:durableId="178933658">
    <w:abstractNumId w:val="10"/>
  </w:num>
  <w:num w:numId="42" w16cid:durableId="670908846">
    <w:abstractNumId w:val="10"/>
  </w:num>
  <w:num w:numId="43" w16cid:durableId="1371566178">
    <w:abstractNumId w:val="10"/>
  </w:num>
  <w:num w:numId="44" w16cid:durableId="851144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5D4"/>
    <w:rsid w:val="00002272"/>
    <w:rsid w:val="00064002"/>
    <w:rsid w:val="000677B9"/>
    <w:rsid w:val="000831BA"/>
    <w:rsid w:val="000A42CC"/>
    <w:rsid w:val="000E7DD9"/>
    <w:rsid w:val="000F7F80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35D4"/>
    <w:rsid w:val="00471C19"/>
    <w:rsid w:val="004867E3"/>
    <w:rsid w:val="00494A28"/>
    <w:rsid w:val="004B706C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785F"/>
    <w:rsid w:val="006631B6"/>
    <w:rsid w:val="00680577"/>
    <w:rsid w:val="006C582B"/>
    <w:rsid w:val="006F684F"/>
    <w:rsid w:val="006F74FA"/>
    <w:rsid w:val="00731ADD"/>
    <w:rsid w:val="00734777"/>
    <w:rsid w:val="00747932"/>
    <w:rsid w:val="00751A4A"/>
    <w:rsid w:val="00756632"/>
    <w:rsid w:val="00762C74"/>
    <w:rsid w:val="00786EC0"/>
    <w:rsid w:val="00787220"/>
    <w:rsid w:val="007D1690"/>
    <w:rsid w:val="007D7EE4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3E1"/>
    <w:rsid w:val="009509D8"/>
    <w:rsid w:val="00950B64"/>
    <w:rsid w:val="00981893"/>
    <w:rsid w:val="00A1687D"/>
    <w:rsid w:val="00A43E52"/>
    <w:rsid w:val="00A4678D"/>
    <w:rsid w:val="00A663A3"/>
    <w:rsid w:val="00A778C7"/>
    <w:rsid w:val="00AB441E"/>
    <w:rsid w:val="00AB6293"/>
    <w:rsid w:val="00AE0928"/>
    <w:rsid w:val="00AF3B82"/>
    <w:rsid w:val="00B12E95"/>
    <w:rsid w:val="00B22876"/>
    <w:rsid w:val="00B558F0"/>
    <w:rsid w:val="00BA52E1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981"/>
    <w:rsid w:val="00E11634"/>
    <w:rsid w:val="00E365E1"/>
    <w:rsid w:val="00E820A4"/>
    <w:rsid w:val="00EB006A"/>
    <w:rsid w:val="00EB4772"/>
    <w:rsid w:val="00ED169E"/>
    <w:rsid w:val="00ED4235"/>
    <w:rsid w:val="00F014D1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294/2026"/>
    <w:docVar w:name="dvlangue" w:val="IT"/>
    <w:docVar w:name="dvnumam" w:val="0"/>
    <w:docVar w:name="dvpe" w:val="783.351"/>
    <w:docVar w:name="dvtitre" w:val="Risoluzione del Parlamento europeo del 18 giugno 2026 sul deterioramento della situazione dei prigionieri politici in Bielorussia, in particolare il caso di Aliaksandra Pulinovich(2026/2766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16E6FC0"/>
  <w15:chartTrackingRefBased/>
  <w15:docId w15:val="{39AEB77A-ED12-41AA-9230-EC189880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D7EE4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D7EE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D7EE4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7D7EE4"/>
    <w:rPr>
      <w:sz w:val="24"/>
      <w:lang w:val="it-IT"/>
    </w:rPr>
  </w:style>
  <w:style w:type="paragraph" w:styleId="Revision">
    <w:name w:val="Revision"/>
    <w:hidden/>
    <w:uiPriority w:val="99"/>
    <w:semiHidden/>
    <w:rsid w:val="006F684F"/>
    <w:rPr>
      <w:sz w:val="24"/>
      <w:lang w:val="it-IT"/>
    </w:rPr>
  </w:style>
  <w:style w:type="character" w:styleId="CommentReference">
    <w:name w:val="annotation reference"/>
    <w:basedOn w:val="DefaultParagraphFont"/>
    <w:rsid w:val="006F684F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684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684F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6F68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684F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916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6</cp:revision>
  <cp:lastPrinted>2004-11-19T15:42:00Z</cp:lastPrinted>
  <dcterms:created xsi:type="dcterms:W3CDTF">2026-06-18T11:21:00Z</dcterms:created>
  <dcterms:modified xsi:type="dcterms:W3CDTF">2026-06-18T14:40:00Z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B10-0294/2026</vt:lpwstr>
  </property>
  <property fmtid="{D5CDD505-2E9C-101B-9397-08002B2CF9AE}" pid="4" name="&lt;Type&gt;">
    <vt:lpwstr>RR</vt:lpwstr>
  </property>
</Properties>
</file>