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9E118E2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D49B4" w:rsidP="0010095E" w14:paraId="161D6B2B" w14:textId="77777777">
            <w:pPr>
              <w:pStyle w:val="EPName"/>
            </w:pPr>
            <w:r w:rsidRPr="007D49B4">
              <w:t xml:space="preserve">Parlamento </w:t>
            </w:r>
            <w:r w:rsidRPr="007D49B4">
              <w:t>Europeu</w:t>
            </w:r>
          </w:p>
          <w:p w:rsidR="00751A4A" w:rsidRPr="007D49B4" w:rsidP="005F1B17" w14:paraId="01A50F7D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D49B4">
              <w:t>2024</w:t>
            </w:r>
            <w:r w:rsidRPr="007D49B4" w:rsidR="00817416">
              <w:t>-202</w:t>
            </w:r>
            <w:r w:rsidRPr="007D49B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D49B4" w:rsidP="0010095E" w14:paraId="344FF119" w14:textId="77777777">
            <w:pPr>
              <w:pStyle w:val="EPLogo"/>
            </w:pPr>
            <w:r w:rsidRPr="007D49B4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D49B4" w:rsidP="004C5D52" w14:paraId="4B848269" w14:textId="77777777">
      <w:pPr>
        <w:pStyle w:val="LineTop"/>
      </w:pPr>
    </w:p>
    <w:p w:rsidR="00680577" w:rsidRPr="007D49B4" w:rsidP="00680577" w14:paraId="358BD262" w14:textId="77777777">
      <w:pPr>
        <w:pStyle w:val="EPBodyTA1"/>
      </w:pPr>
      <w:r w:rsidRPr="007D49B4">
        <w:t>TEXTOS APROVADOS</w:t>
      </w:r>
    </w:p>
    <w:p w:rsidR="00D058B8" w:rsidRPr="007D49B4" w:rsidP="00D058B8" w14:paraId="5012C414" w14:textId="77777777">
      <w:pPr>
        <w:pStyle w:val="LineBottom"/>
      </w:pPr>
    </w:p>
    <w:p w:rsidR="00AF160E" w:rsidRPr="007D49B4" w:rsidP="00AF160E" w14:paraId="7AF9223B" w14:textId="5EF0A61E">
      <w:pPr>
        <w:pStyle w:val="ATHeading1"/>
      </w:pPr>
      <w:bookmarkStart w:id="0" w:name="TANumber"/>
      <w:r w:rsidRPr="007D49B4">
        <w:t>P10_</w:t>
      </w:r>
      <w:r w:rsidRPr="007D49B4">
        <w:t>TA(</w:t>
      </w:r>
      <w:r w:rsidRPr="007D49B4">
        <w:t>2026)</w:t>
      </w:r>
      <w:bookmarkEnd w:id="0"/>
      <w:r w:rsidRPr="007D49B4" w:rsidR="00901D4E">
        <w:t>0224</w:t>
      </w:r>
    </w:p>
    <w:p w:rsidR="00AF160E" w:rsidRPr="007D49B4" w:rsidP="00AF160E" w14:paraId="42A33203" w14:textId="77777777">
      <w:pPr>
        <w:pStyle w:val="ATHeading2"/>
      </w:pPr>
      <w:bookmarkStart w:id="1" w:name="title"/>
      <w:r w:rsidRPr="007D49B4">
        <w:t xml:space="preserve">A deterioração da situação dos presos políticos na Bielorrússia, em particular o caso de </w:t>
      </w:r>
      <w:r w:rsidRPr="007D49B4">
        <w:t>Aliaksandra</w:t>
      </w:r>
      <w:r w:rsidRPr="007D49B4">
        <w:t xml:space="preserve"> </w:t>
      </w:r>
      <w:r w:rsidRPr="007D49B4">
        <w:t>Pulinovich</w:t>
      </w:r>
      <w:bookmarkEnd w:id="1"/>
    </w:p>
    <w:p w:rsidR="00AF160E" w:rsidRPr="007D49B4" w:rsidP="00AF160E" w14:paraId="09C26B3E" w14:textId="77777777">
      <w:pPr>
        <w:rPr>
          <w:i/>
          <w:vanish/>
        </w:rPr>
      </w:pPr>
      <w:r>
        <w:rPr>
          <w:i/>
        </w:rPr>
        <w:fldChar w:fldCharType="begin"/>
      </w:r>
      <w:r w:rsidRPr="007D49B4">
        <w:rPr>
          <w:i/>
        </w:rPr>
        <w:instrText xml:space="preserve"> TC"(</w:instrText>
      </w:r>
      <w:bookmarkStart w:id="2" w:name="DocNumber"/>
      <w:r w:rsidRPr="007D49B4">
        <w:rPr>
          <w:i/>
        </w:rPr>
        <w:instrText>B10-0294, 0324, 0325, 0326, 0327 e 0328/2026</w:instrText>
      </w:r>
      <w:bookmarkEnd w:id="2"/>
      <w:r w:rsidRPr="007D49B4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AF160E" w:rsidRPr="007D49B4" w:rsidP="00AF160E" w14:paraId="0298EE50" w14:textId="77777777">
      <w:pPr>
        <w:rPr>
          <w:vanish/>
        </w:rPr>
      </w:pPr>
      <w:bookmarkStart w:id="3" w:name="PE"/>
      <w:r w:rsidRPr="007D49B4">
        <w:rPr>
          <w:vanish/>
        </w:rPr>
        <w:t>PE783.351</w:t>
      </w:r>
      <w:bookmarkEnd w:id="3"/>
    </w:p>
    <w:p w:rsidR="00AF160E" w:rsidRPr="007D49B4" w:rsidP="00AF160E" w14:paraId="1F8C9E9F" w14:textId="12A7969A">
      <w:pPr>
        <w:pStyle w:val="ATHeading3"/>
      </w:pPr>
      <w:bookmarkStart w:id="4" w:name="Sujet"/>
      <w:r w:rsidRPr="007D49B4">
        <w:t xml:space="preserve">Resolução do Parlamento Europeu, de </w:t>
      </w:r>
      <w:r w:rsidRPr="007D49B4" w:rsidR="00901D4E">
        <w:t xml:space="preserve">18 </w:t>
      </w:r>
      <w:r w:rsidRPr="007D49B4">
        <w:t xml:space="preserve">de </w:t>
      </w:r>
      <w:r w:rsidRPr="007D49B4" w:rsidR="00901D4E">
        <w:t xml:space="preserve">junho </w:t>
      </w:r>
      <w:r w:rsidRPr="007D49B4">
        <w:t xml:space="preserve">de 2026, sobre a deterioração da situação dos presos políticos na Bielorrússia, em particular o caso de </w:t>
      </w:r>
      <w:r w:rsidRPr="007D49B4">
        <w:t>Aliaksandra</w:t>
      </w:r>
      <w:r w:rsidRPr="007D49B4">
        <w:t xml:space="preserve"> </w:t>
      </w:r>
      <w:r w:rsidRPr="007D49B4">
        <w:t>Pulinovich</w:t>
      </w:r>
      <w:bookmarkEnd w:id="4"/>
      <w:r w:rsidRPr="007D49B4">
        <w:t xml:space="preserve"> </w:t>
      </w:r>
      <w:bookmarkStart w:id="5" w:name="References"/>
      <w:r w:rsidRPr="007D49B4">
        <w:t>(2026/2766(RSP))</w:t>
      </w:r>
      <w:bookmarkEnd w:id="5"/>
    </w:p>
    <w:p w:rsidR="00DF6DDA" w:rsidRPr="007D49B4" w:rsidP="00DF6DDA" w14:paraId="37A1D546" w14:textId="77777777">
      <w:pPr>
        <w:pStyle w:val="EPComma"/>
      </w:pPr>
      <w:bookmarkStart w:id="6" w:name="TextBodyBegin"/>
      <w:bookmarkEnd w:id="6"/>
      <w:r w:rsidRPr="007D49B4">
        <w:rPr>
          <w:i/>
          <w:iCs/>
        </w:rPr>
        <w:t>O Parlamento Europeu,</w:t>
      </w:r>
    </w:p>
    <w:p w:rsidR="00DF6DDA" w:rsidRPr="007D49B4" w:rsidP="00DF6DDA" w14:paraId="567FAB01" w14:textId="77777777">
      <w:pPr>
        <w:pStyle w:val="NormalHanging12a"/>
      </w:pPr>
      <w:r w:rsidRPr="007D49B4">
        <w:t>–</w:t>
      </w:r>
      <w:r w:rsidRPr="007D49B4">
        <w:tab/>
        <w:t>Tendo em conta as suas resoluções anteriores sobre a Bielorrússia,</w:t>
      </w:r>
    </w:p>
    <w:p w:rsidR="00DF6DDA" w:rsidRPr="007D49B4" w:rsidP="00DF6DDA" w14:paraId="7AD037A0" w14:textId="77777777">
      <w:pPr>
        <w:pStyle w:val="NormalHanging12a"/>
      </w:pPr>
      <w:r w:rsidRPr="007D49B4">
        <w:t>–</w:t>
      </w:r>
      <w:r w:rsidRPr="007D49B4">
        <w:tab/>
        <w:t>Tendo em conta o artigo 150.º, n.º 5, e o artigo 136.º, n.º 4, do seu Regimento,</w:t>
      </w:r>
    </w:p>
    <w:p w:rsidR="00DF6DDA" w:rsidRPr="007D49B4" w:rsidP="00DF6DDA" w14:paraId="20F2F568" w14:textId="5AA4C351">
      <w:pPr>
        <w:pStyle w:val="NormalHanging12a"/>
      </w:pPr>
      <w:r w:rsidRPr="007D49B4">
        <w:t>A.</w:t>
      </w:r>
      <w:r w:rsidRPr="007D49B4">
        <w:tab/>
        <w:t xml:space="preserve">Considerando que, em janeiro de 2024, </w:t>
      </w:r>
      <w:r w:rsidRPr="007D49B4">
        <w:t>Aliaksandra</w:t>
      </w:r>
      <w:r w:rsidRPr="007D49B4">
        <w:t xml:space="preserve"> </w:t>
      </w:r>
      <w:r w:rsidRPr="007D49B4">
        <w:t>Pulinovich</w:t>
      </w:r>
      <w:r w:rsidRPr="007D49B4">
        <w:t>, de 16 anos, foi detida no processo «</w:t>
      </w:r>
      <w:r w:rsidRPr="007D49B4">
        <w:t>Black</w:t>
      </w:r>
      <w:r w:rsidRPr="007D49B4">
        <w:t xml:space="preserve"> </w:t>
      </w:r>
      <w:r w:rsidRPr="007D49B4">
        <w:t>Nightingales</w:t>
      </w:r>
      <w:r w:rsidRPr="007D49B4">
        <w:t>» relativo a graffitis de oposição à guerra de agressão da Rússia contra a Ucrânia, tendo sido colocada numa cela disciplinar, privada de representação por advogado e de apoio parental</w:t>
      </w:r>
      <w:r w:rsidRPr="007D49B4" w:rsidR="00901D4E">
        <w:t>; considerando que</w:t>
      </w:r>
      <w:r w:rsidRPr="007D49B4">
        <w:t xml:space="preserve"> </w:t>
      </w:r>
      <w:r w:rsidRPr="007D49B4">
        <w:t>Aliaksandra</w:t>
      </w:r>
      <w:r w:rsidRPr="007D49B4">
        <w:t xml:space="preserve"> </w:t>
      </w:r>
      <w:r w:rsidRPr="007D49B4">
        <w:t>Pulinovich</w:t>
      </w:r>
      <w:r w:rsidRPr="007D49B4">
        <w:t xml:space="preserve"> foi condenada a mais de 10 anos de prisão em processos conduzidos à porta fechada e posteriormente incluída numa «lista de terroristas»;</w:t>
      </w:r>
    </w:p>
    <w:p w:rsidR="00DF6DDA" w:rsidRPr="007D49B4" w:rsidP="00DF6DDA" w14:paraId="23BD490F" w14:textId="77777777">
      <w:pPr>
        <w:pStyle w:val="NormalHanging12a"/>
      </w:pPr>
      <w:r w:rsidRPr="007D49B4">
        <w:t>B.</w:t>
      </w:r>
      <w:r w:rsidRPr="007D49B4">
        <w:tab/>
        <w:t xml:space="preserve">Considerando que o caso de </w:t>
      </w:r>
      <w:r w:rsidRPr="007D49B4">
        <w:t>Aliaksandra</w:t>
      </w:r>
      <w:r w:rsidRPr="007D49B4">
        <w:t xml:space="preserve"> </w:t>
      </w:r>
      <w:r w:rsidRPr="007D49B4">
        <w:t>Pulinovich</w:t>
      </w:r>
      <w:r w:rsidRPr="007D49B4">
        <w:t xml:space="preserve"> ilustra a forma como as autoridades bielorrussas recorrem à legislação contra o terrorismo para incriminar jovens por motivos políticos;</w:t>
      </w:r>
    </w:p>
    <w:p w:rsidR="00DF6DDA" w:rsidRPr="007D49B4" w:rsidP="00DF6DDA" w14:paraId="2FA899B8" w14:textId="7DE5E3D9">
      <w:pPr>
        <w:pStyle w:val="NormalHanging12a"/>
      </w:pPr>
      <w:r w:rsidRPr="007D49B4">
        <w:t>C.</w:t>
      </w:r>
      <w:r w:rsidRPr="007D49B4">
        <w:tab/>
        <w:t xml:space="preserve">Considerando que o regime de </w:t>
      </w:r>
      <w:r w:rsidRPr="007D49B4">
        <w:t>Lukashenko</w:t>
      </w:r>
      <w:r w:rsidRPr="007D49B4">
        <w:t xml:space="preserve"> reprime sistematicamente os opositores políticos, os defensores dos direitos humanos, os jornalistas, os sindicalistas, os estudantes, as minorias nacionais e os cidadãos que exercem as suas liberdades fundamentais</w:t>
      </w:r>
      <w:r w:rsidRPr="007D49B4" w:rsidR="00901D4E">
        <w:t>; considerando que</w:t>
      </w:r>
      <w:r w:rsidRPr="007D49B4">
        <w:t xml:space="preserve"> 853 presos políticos continuam detidos arbitrariamente em condições desumanas;</w:t>
      </w:r>
    </w:p>
    <w:p w:rsidR="00DC7F8C" w:rsidRPr="007D49B4" w:rsidP="00DF6DDA" w14:paraId="07999C5F" w14:textId="64291AAD">
      <w:pPr>
        <w:pStyle w:val="NormalHanging12a"/>
      </w:pPr>
      <w:r w:rsidRPr="007D49B4">
        <w:t>D.</w:t>
      </w:r>
      <w:r w:rsidRPr="007D49B4">
        <w:tab/>
        <w:t xml:space="preserve">Considerando que os casos de </w:t>
      </w:r>
      <w:r w:rsidRPr="007D49B4">
        <w:t>Dzianis</w:t>
      </w:r>
      <w:r w:rsidRPr="007D49B4">
        <w:t xml:space="preserve"> </w:t>
      </w:r>
      <w:r w:rsidRPr="007D49B4">
        <w:t>Ivashyn</w:t>
      </w:r>
      <w:r w:rsidRPr="007D49B4">
        <w:t xml:space="preserve">, Pavel </w:t>
      </w:r>
      <w:r w:rsidRPr="007D49B4">
        <w:t>Belavus</w:t>
      </w:r>
      <w:r w:rsidRPr="007D49B4">
        <w:t xml:space="preserve">, </w:t>
      </w:r>
      <w:r w:rsidRPr="007D49B4">
        <w:t>Ihar</w:t>
      </w:r>
      <w:r w:rsidRPr="007D49B4">
        <w:t xml:space="preserve"> </w:t>
      </w:r>
      <w:r w:rsidRPr="007D49B4">
        <w:t>Alinevich</w:t>
      </w:r>
      <w:r w:rsidRPr="007D49B4">
        <w:t xml:space="preserve">, </w:t>
      </w:r>
      <w:r w:rsidRPr="007D49B4">
        <w:t>Volha</w:t>
      </w:r>
      <w:r w:rsidRPr="007D49B4">
        <w:t xml:space="preserve"> </w:t>
      </w:r>
      <w:r w:rsidRPr="007D49B4">
        <w:t>Mayorava</w:t>
      </w:r>
      <w:r w:rsidRPr="007D49B4">
        <w:t xml:space="preserve">, </w:t>
      </w:r>
      <w:r w:rsidRPr="007D49B4">
        <w:t>Alena</w:t>
      </w:r>
      <w:r w:rsidRPr="007D49B4">
        <w:t xml:space="preserve"> </w:t>
      </w:r>
      <w:r w:rsidRPr="007D49B4">
        <w:t>Lazarchyk</w:t>
      </w:r>
      <w:r w:rsidRPr="007D49B4">
        <w:t xml:space="preserve">, </w:t>
      </w:r>
      <w:r w:rsidRPr="007D49B4">
        <w:t>Aliaksandr</w:t>
      </w:r>
      <w:r w:rsidRPr="007D49B4">
        <w:t xml:space="preserve"> </w:t>
      </w:r>
      <w:r w:rsidRPr="007D49B4">
        <w:t>Frantskevich</w:t>
      </w:r>
      <w:r w:rsidRPr="007D49B4">
        <w:t xml:space="preserve">, </w:t>
      </w:r>
      <w:r w:rsidRPr="007D49B4">
        <w:t>Viktar</w:t>
      </w:r>
      <w:r w:rsidRPr="007D49B4">
        <w:t xml:space="preserve"> </w:t>
      </w:r>
      <w:r w:rsidRPr="007D49B4">
        <w:t>Snehur</w:t>
      </w:r>
      <w:r w:rsidRPr="007D49B4">
        <w:t xml:space="preserve">, </w:t>
      </w:r>
      <w:r w:rsidRPr="007D49B4">
        <w:t>Eduard</w:t>
      </w:r>
      <w:r w:rsidRPr="007D49B4">
        <w:t xml:space="preserve"> </w:t>
      </w:r>
      <w:r w:rsidRPr="007D49B4">
        <w:t>Babaryka</w:t>
      </w:r>
      <w:r w:rsidRPr="007D49B4">
        <w:t xml:space="preserve">, </w:t>
      </w:r>
      <w:r w:rsidRPr="007D49B4">
        <w:t>Mikalai</w:t>
      </w:r>
      <w:r w:rsidRPr="007D49B4">
        <w:t xml:space="preserve"> </w:t>
      </w:r>
      <w:r w:rsidRPr="007D49B4">
        <w:t>Autukhovich</w:t>
      </w:r>
      <w:r w:rsidRPr="007D49B4">
        <w:t xml:space="preserve">, </w:t>
      </w:r>
      <w:r w:rsidRPr="007D49B4">
        <w:t>Uladzimir</w:t>
      </w:r>
      <w:r w:rsidRPr="007D49B4">
        <w:t xml:space="preserve"> </w:t>
      </w:r>
      <w:r w:rsidRPr="007D49B4">
        <w:t>Hundar</w:t>
      </w:r>
      <w:r w:rsidRPr="007D49B4">
        <w:t xml:space="preserve">, </w:t>
      </w:r>
      <w:r w:rsidRPr="007D49B4">
        <w:t>Iryna</w:t>
      </w:r>
      <w:r w:rsidRPr="007D49B4">
        <w:t xml:space="preserve"> </w:t>
      </w:r>
      <w:r w:rsidRPr="007D49B4">
        <w:t>Melkher</w:t>
      </w:r>
      <w:r w:rsidRPr="007D49B4">
        <w:t xml:space="preserve">, membros das famílias </w:t>
      </w:r>
      <w:r w:rsidRPr="007D49B4">
        <w:t>Rezanovich</w:t>
      </w:r>
      <w:r w:rsidRPr="007D49B4">
        <w:t xml:space="preserve"> e </w:t>
      </w:r>
      <w:r w:rsidRPr="007D49B4">
        <w:t>Karsakou</w:t>
      </w:r>
      <w:r w:rsidRPr="007D49B4">
        <w:t xml:space="preserve">, </w:t>
      </w:r>
      <w:r w:rsidRPr="007D49B4">
        <w:t>Stsiapan</w:t>
      </w:r>
      <w:r w:rsidRPr="007D49B4">
        <w:t xml:space="preserve"> </w:t>
      </w:r>
      <w:r w:rsidRPr="007D49B4">
        <w:t>Latypau</w:t>
      </w:r>
      <w:r w:rsidRPr="007D49B4">
        <w:t xml:space="preserve">, </w:t>
      </w:r>
      <w:r w:rsidRPr="007D49B4">
        <w:t>Viachaslau</w:t>
      </w:r>
      <w:r w:rsidRPr="007D49B4">
        <w:t xml:space="preserve"> </w:t>
      </w:r>
      <w:r w:rsidRPr="007D49B4">
        <w:t>Areshka</w:t>
      </w:r>
      <w:r w:rsidRPr="007D49B4">
        <w:t xml:space="preserve"> e muitos outros ilustram a grave deterioração da saúde e as consequências devastadoras de condições de detenção desumanas, o isolamento prolongado e a recusa de cuidados médicos adequados;</w:t>
      </w:r>
    </w:p>
    <w:p w:rsidR="006F1A53" w:rsidRPr="007D49B4" w:rsidP="00DF6DDA" w14:paraId="30CCCD96" w14:textId="1E828DCF">
      <w:pPr>
        <w:pStyle w:val="NormalHanging12a"/>
      </w:pPr>
      <w:r w:rsidRPr="007D49B4">
        <w:t>E.</w:t>
      </w:r>
      <w:r w:rsidRPr="007D49B4">
        <w:tab/>
        <w:t xml:space="preserve">Considerando que o artigo 411.º do Código Penal da Bielorrússia tem sido sistematicamente utilizado contra os presos políticos para prolongar arbitrariamente a sua detenção com base em infrações disciplinares forjadas, criando assim um </w:t>
      </w:r>
      <w:r w:rsidRPr="007D49B4">
        <w:t>mecanismo de detenção e coerção ilimitado; considerando que mais de 80 presos políticos foram condenados ao abrigo desta disposição desde 2020, alguns deles em repetidas ocasiões; que o artigo 411.º é utilizado para sujeitar os detidos a chantagem, para os forçar a procurar perdões de pena por parte do regime, a participar em atividades de propaganda ou a cooperar com as autoridades, e que o mesmo se tornou num instrumento de tortura psicológica e repressão política;</w:t>
      </w:r>
    </w:p>
    <w:p w:rsidR="00DF6DDA" w:rsidRPr="007D49B4" w:rsidP="00DF6DDA" w14:paraId="721DF671" w14:textId="77777777">
      <w:pPr>
        <w:pStyle w:val="NormalHanging12a"/>
      </w:pPr>
      <w:r w:rsidRPr="007D49B4">
        <w:t>1.</w:t>
      </w:r>
      <w:r w:rsidRPr="007D49B4">
        <w:tab/>
        <w:t xml:space="preserve">Exige a libertação imediata e incondicional de </w:t>
      </w:r>
      <w:r w:rsidRPr="007D49B4">
        <w:t>Aliaksandra</w:t>
      </w:r>
      <w:r w:rsidRPr="007D49B4">
        <w:t xml:space="preserve"> </w:t>
      </w:r>
      <w:r w:rsidRPr="007D49B4">
        <w:t>Pulinovich</w:t>
      </w:r>
      <w:r w:rsidRPr="007D49B4">
        <w:t xml:space="preserve"> e de todos os presos políticos, a sua plena reabilitação e o pleno restabelecimento dos seus direitos; reitera a sua solidariedade inabalável para com todos os presos políticos e respetivas famílias;</w:t>
      </w:r>
    </w:p>
    <w:p w:rsidR="00DF6DDA" w:rsidRPr="007D49B4" w:rsidP="00DF6DDA" w14:paraId="02843BA6" w14:textId="77777777">
      <w:pPr>
        <w:pStyle w:val="NormalHanging12a"/>
      </w:pPr>
      <w:r w:rsidRPr="007D49B4">
        <w:t>2.</w:t>
      </w:r>
      <w:r w:rsidRPr="007D49B4">
        <w:tab/>
        <w:t>Insta as autoridades a porem termo a todas as formas de maus</w:t>
      </w:r>
      <w:r w:rsidRPr="007D49B4">
        <w:noBreakHyphen/>
        <w:t>tratos de presos políticos, de detenção em regime de incomunicabilidade, de recusa de cuidados médicos e de acesso a advogados e à família, bem como de trabalhos forçados, assim como a investigarem as mortes durante a detenção ou prisão e as alegações de tortura;</w:t>
      </w:r>
    </w:p>
    <w:p w:rsidR="00DF6DDA" w:rsidRPr="007D49B4" w:rsidP="00DF6DDA" w14:paraId="25F106AE" w14:textId="77777777">
      <w:pPr>
        <w:pStyle w:val="NormalHanging12a"/>
      </w:pPr>
      <w:r w:rsidRPr="007D49B4">
        <w:t>3.</w:t>
      </w:r>
      <w:r w:rsidRPr="007D49B4">
        <w:tab/>
        <w:t xml:space="preserve">Condena veementemente as ações penais por motivos políticos contra os bielorrussos, em particular a detenção de menores, como no caso de </w:t>
      </w:r>
      <w:r w:rsidRPr="007D49B4">
        <w:t>Aliaksandra</w:t>
      </w:r>
      <w:r w:rsidRPr="007D49B4">
        <w:t xml:space="preserve"> </w:t>
      </w:r>
      <w:r w:rsidRPr="007D49B4">
        <w:t>Pulinovich</w:t>
      </w:r>
      <w:r w:rsidRPr="007D49B4">
        <w:t>; denuncia a utilização abusiva da legislação contra o terrorismo e contra o extremismo para criminalizar a expressão de posições de oposição à guerra, a contestação dos jovens e a solidariedade com a Ucrânia, bem como para reprimir a contestação pacífica, nomeadamente recorrendo à acusação de jovens por crimes graves, como forma de os intimidar; solicita a eliminação das listas de terroristas e extremistas; exorta as autoridades bielorrussas a respeitarem a Convenção das Nações Unidas sobre os Direitos da Criança;</w:t>
      </w:r>
    </w:p>
    <w:p w:rsidR="001D1022" w:rsidRPr="007D49B4" w:rsidP="00DF6DDA" w14:paraId="010055FD" w14:textId="005432A3">
      <w:pPr>
        <w:pStyle w:val="NormalHanging12a"/>
      </w:pPr>
      <w:r w:rsidRPr="007D49B4">
        <w:t>4.</w:t>
      </w:r>
      <w:r w:rsidRPr="007D49B4">
        <w:tab/>
        <w:t>Condena a sistemática utilização abusiva do artigo 411.º do Código Penal da Bielorrússia como instrumento de perseguição política e de prorrogação arbitrária de penas; solicita a revogação imediata desse artigo; exige a libertação e a plena reabilitação legal de todas as pessoas condenadas ao abrigo desta disposição; manifesta a sua profunda preocupação com os cerca de 50 presos políticos que continuam detidos ao abrigo do artigo 411.º, cujas vidas e saúde estão gravemente ameaçadas em resultado de detenções prolongadas, isolamento e outras formas de tratamento desumano e degradante;</w:t>
      </w:r>
    </w:p>
    <w:p w:rsidR="00DF6DDA" w:rsidRPr="007D49B4" w:rsidP="00DF6DDA" w14:paraId="2A99FD9B" w14:textId="4E5D422A">
      <w:pPr>
        <w:pStyle w:val="NormalHanging12a"/>
      </w:pPr>
      <w:r w:rsidRPr="007D49B4">
        <w:t>5</w:t>
      </w:r>
      <w:r w:rsidRPr="007D49B4">
        <w:t>.</w:t>
      </w:r>
      <w:r w:rsidRPr="007D49B4">
        <w:tab/>
        <w:t>Reconhece os esforços dos EUA para garantir a libertação dos presos políticos; sublinha, no entanto, que as libertações de presos são motivadas pela preocupação do regime com a sua sobrevivência económica e que as mesmas não são acompanhadas de transformações ou de reformas políticas que justifiquem a normalização das relações; insiste em que a libertação de todos os presos políticos e o fim da repressão continuam a ser condições prévias para o diálogo político e para a cooperação económica; exige o fim da deportação forçada dos presos políticos libertados e da repressão dos seus familiares;</w:t>
      </w:r>
    </w:p>
    <w:p w:rsidR="00DF6DDA" w:rsidRPr="007D49B4" w:rsidP="00DF6DDA" w14:paraId="70A2FD38" w14:textId="6AC02D42">
      <w:pPr>
        <w:pStyle w:val="NormalHanging12a"/>
      </w:pPr>
      <w:r w:rsidRPr="007D49B4">
        <w:t>6</w:t>
      </w:r>
      <w:r w:rsidRPr="007D49B4">
        <w:t>.</w:t>
      </w:r>
      <w:r w:rsidRPr="007D49B4">
        <w:tab/>
        <w:t>Insta a UE, os seus Estados</w:t>
      </w:r>
      <w:r w:rsidRPr="007D49B4">
        <w:noBreakHyphen/>
        <w:t>Membros e os parceiros internacionais a intensificarem os esforços para garantir a libertação de todos os presos políticos, incluindo a convocação dos embaixadores do regime para determinar o estado e a localização dos prisioneiros, o acompanhamento dos casos dos presos políticos e a concessão de vistos humanitários, bem como a concederem ajuda à reabilitação e apoio prático e financeiro;</w:t>
      </w:r>
    </w:p>
    <w:p w:rsidR="00DF6DDA" w:rsidRPr="007D49B4" w:rsidP="00DF6DDA" w14:paraId="37D94C59" w14:textId="69951B4F">
      <w:pPr>
        <w:pStyle w:val="NormalHanging12a"/>
      </w:pPr>
      <w:r w:rsidRPr="007D49B4">
        <w:t>7</w:t>
      </w:r>
      <w:r w:rsidRPr="007D49B4">
        <w:t>.</w:t>
      </w:r>
      <w:r w:rsidRPr="007D49B4">
        <w:tab/>
        <w:t xml:space="preserve">Insta o Conselho a alargar, reforçar e aplicar rigorosamente sanções específicas contra </w:t>
      </w:r>
      <w:r w:rsidRPr="007D49B4">
        <w:t>todas as pessoas e entidades responsáveis por ações penais fundadas em motivos políticos, assim como por atos de repressão e de tortura politicamente motivados;</w:t>
      </w:r>
    </w:p>
    <w:p w:rsidR="00DF6DDA" w:rsidRPr="007D49B4" w:rsidP="00DF6DDA" w14:paraId="2652C7AD" w14:textId="184599D7">
      <w:pPr>
        <w:pStyle w:val="NormalHanging12a"/>
      </w:pPr>
      <w:r w:rsidRPr="007D49B4">
        <w:t>8</w:t>
      </w:r>
      <w:r w:rsidRPr="007D49B4">
        <w:t>.</w:t>
      </w:r>
      <w:r w:rsidRPr="007D49B4">
        <w:tab/>
        <w:t>Insta a UE e os seus Estados</w:t>
      </w:r>
      <w:r w:rsidRPr="007D49B4">
        <w:noBreakHyphen/>
        <w:t xml:space="preserve">Membros a aumentarem a documentação dos crimes cometidos pelo regime de </w:t>
      </w:r>
      <w:r w:rsidRPr="007D49B4">
        <w:t>Lukashenko</w:t>
      </w:r>
      <w:r w:rsidRPr="007D49B4">
        <w:t>, incluindo a nível das Nações Unidas, e a reforçarem a responsabilização através de mecanismos internacionais, incluindo o processo no TPI iniciado pela Lituânia e as investigações e processos nacionais com base na jurisdição extraterritorial e universal;</w:t>
      </w:r>
    </w:p>
    <w:p w:rsidR="00073CBE" w:rsidRPr="007D49B4" w:rsidP="00073CBE" w14:paraId="50C30D6A" w14:textId="412B9569">
      <w:pPr>
        <w:pStyle w:val="NormalHanging12a"/>
      </w:pPr>
      <w:r w:rsidRPr="007D49B4">
        <w:t>9</w:t>
      </w:r>
      <w:r w:rsidRPr="007D49B4" w:rsidR="00DF6DDA">
        <w:t>.</w:t>
      </w:r>
      <w:r w:rsidRPr="007D49B4" w:rsidR="00DF6DDA">
        <w:tab/>
        <w:t>Encarrega a sua Presidente de transmitir a presente resolução à Vice</w:t>
      </w:r>
      <w:r w:rsidRPr="007D49B4" w:rsidR="00DF6DDA">
        <w:noBreakHyphen/>
        <w:t>Presidente/Alta Representante da União para os Negócios Estrangeiros e a Política de Segurança, ao Conselho, à Comissão, ao Alto</w:t>
      </w:r>
      <w:r w:rsidRPr="007D49B4" w:rsidR="00DF6DDA">
        <w:noBreakHyphen/>
        <w:t>Comissário das Nações Unidas para os Direitos Humanos e às autoridades de facto da Bielorrússia.</w:t>
      </w:r>
    </w:p>
    <w:p w:rsidR="00E365E1" w:rsidRPr="007D49B4" w:rsidP="00AF160E" w14:paraId="4FE3E9E6" w14:textId="747B202C"/>
    <w:sectPr w:rsidSect="00073CB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46479458">
    <w:abstractNumId w:val="9"/>
  </w:num>
  <w:num w:numId="2" w16cid:durableId="408963122">
    <w:abstractNumId w:val="9"/>
  </w:num>
  <w:num w:numId="3" w16cid:durableId="491415961">
    <w:abstractNumId w:val="7"/>
  </w:num>
  <w:num w:numId="4" w16cid:durableId="721515607">
    <w:abstractNumId w:val="7"/>
  </w:num>
  <w:num w:numId="5" w16cid:durableId="1604221817">
    <w:abstractNumId w:val="6"/>
  </w:num>
  <w:num w:numId="6" w16cid:durableId="407655368">
    <w:abstractNumId w:val="6"/>
  </w:num>
  <w:num w:numId="7" w16cid:durableId="1793328478">
    <w:abstractNumId w:val="5"/>
  </w:num>
  <w:num w:numId="8" w16cid:durableId="851644536">
    <w:abstractNumId w:val="5"/>
  </w:num>
  <w:num w:numId="9" w16cid:durableId="1201162019">
    <w:abstractNumId w:val="4"/>
  </w:num>
  <w:num w:numId="10" w16cid:durableId="841630919">
    <w:abstractNumId w:val="4"/>
  </w:num>
  <w:num w:numId="11" w16cid:durableId="84156180">
    <w:abstractNumId w:val="8"/>
  </w:num>
  <w:num w:numId="12" w16cid:durableId="1247613855">
    <w:abstractNumId w:val="8"/>
  </w:num>
  <w:num w:numId="13" w16cid:durableId="2054422934">
    <w:abstractNumId w:val="3"/>
  </w:num>
  <w:num w:numId="14" w16cid:durableId="4980863">
    <w:abstractNumId w:val="3"/>
  </w:num>
  <w:num w:numId="15" w16cid:durableId="48187392">
    <w:abstractNumId w:val="2"/>
  </w:num>
  <w:num w:numId="16" w16cid:durableId="541867641">
    <w:abstractNumId w:val="2"/>
  </w:num>
  <w:num w:numId="17" w16cid:durableId="1466777425">
    <w:abstractNumId w:val="1"/>
  </w:num>
  <w:num w:numId="18" w16cid:durableId="1991866827">
    <w:abstractNumId w:val="1"/>
  </w:num>
  <w:num w:numId="19" w16cid:durableId="1972205348">
    <w:abstractNumId w:val="0"/>
  </w:num>
  <w:num w:numId="20" w16cid:durableId="228345606">
    <w:abstractNumId w:val="0"/>
  </w:num>
  <w:num w:numId="21" w16cid:durableId="2029865597">
    <w:abstractNumId w:val="9"/>
  </w:num>
  <w:num w:numId="22" w16cid:durableId="1764566165">
    <w:abstractNumId w:val="7"/>
  </w:num>
  <w:num w:numId="23" w16cid:durableId="135756633">
    <w:abstractNumId w:val="6"/>
  </w:num>
  <w:num w:numId="24" w16cid:durableId="479468249">
    <w:abstractNumId w:val="5"/>
  </w:num>
  <w:num w:numId="25" w16cid:durableId="403843120">
    <w:abstractNumId w:val="4"/>
  </w:num>
  <w:num w:numId="26" w16cid:durableId="1156992696">
    <w:abstractNumId w:val="8"/>
  </w:num>
  <w:num w:numId="27" w16cid:durableId="1912277014">
    <w:abstractNumId w:val="3"/>
  </w:num>
  <w:num w:numId="28" w16cid:durableId="1930114998">
    <w:abstractNumId w:val="2"/>
  </w:num>
  <w:num w:numId="29" w16cid:durableId="283775887">
    <w:abstractNumId w:val="1"/>
  </w:num>
  <w:num w:numId="30" w16cid:durableId="1939025951">
    <w:abstractNumId w:val="0"/>
  </w:num>
  <w:num w:numId="31" w16cid:durableId="2088574649">
    <w:abstractNumId w:val="9"/>
  </w:num>
  <w:num w:numId="32" w16cid:durableId="2000309096">
    <w:abstractNumId w:val="7"/>
  </w:num>
  <w:num w:numId="33" w16cid:durableId="2139882803">
    <w:abstractNumId w:val="6"/>
  </w:num>
  <w:num w:numId="34" w16cid:durableId="777793569">
    <w:abstractNumId w:val="5"/>
  </w:num>
  <w:num w:numId="35" w16cid:durableId="527648611">
    <w:abstractNumId w:val="4"/>
  </w:num>
  <w:num w:numId="36" w16cid:durableId="854268875">
    <w:abstractNumId w:val="8"/>
  </w:num>
  <w:num w:numId="37" w16cid:durableId="1903177621">
    <w:abstractNumId w:val="3"/>
  </w:num>
  <w:num w:numId="38" w16cid:durableId="619072027">
    <w:abstractNumId w:val="2"/>
  </w:num>
  <w:num w:numId="39" w16cid:durableId="1078551593">
    <w:abstractNumId w:val="1"/>
  </w:num>
  <w:num w:numId="40" w16cid:durableId="2094006879">
    <w:abstractNumId w:val="0"/>
  </w:num>
  <w:num w:numId="41" w16cid:durableId="252083612">
    <w:abstractNumId w:val="10"/>
  </w:num>
  <w:num w:numId="42" w16cid:durableId="2088336258">
    <w:abstractNumId w:val="10"/>
  </w:num>
  <w:num w:numId="43" w16cid:durableId="1038747020">
    <w:abstractNumId w:val="10"/>
  </w:num>
  <w:num w:numId="44" w16cid:durableId="11743024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60E"/>
    <w:rsid w:val="00002272"/>
    <w:rsid w:val="00064002"/>
    <w:rsid w:val="000677B9"/>
    <w:rsid w:val="00073CBE"/>
    <w:rsid w:val="000831BA"/>
    <w:rsid w:val="000A42CC"/>
    <w:rsid w:val="000E7DD9"/>
    <w:rsid w:val="0010095E"/>
    <w:rsid w:val="00125B37"/>
    <w:rsid w:val="00141DD1"/>
    <w:rsid w:val="00187494"/>
    <w:rsid w:val="001D1022"/>
    <w:rsid w:val="001F32AE"/>
    <w:rsid w:val="002767FF"/>
    <w:rsid w:val="002B18FE"/>
    <w:rsid w:val="002B5493"/>
    <w:rsid w:val="00306550"/>
    <w:rsid w:val="00343214"/>
    <w:rsid w:val="00361C00"/>
    <w:rsid w:val="0038649A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0AB3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1A53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49B4"/>
    <w:rsid w:val="007E22AD"/>
    <w:rsid w:val="00817416"/>
    <w:rsid w:val="00842779"/>
    <w:rsid w:val="00865F67"/>
    <w:rsid w:val="00881A7B"/>
    <w:rsid w:val="008840E5"/>
    <w:rsid w:val="00887B3E"/>
    <w:rsid w:val="008B38BB"/>
    <w:rsid w:val="008C2AC6"/>
    <w:rsid w:val="00901D4E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160E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423C"/>
    <w:rsid w:val="00DA7FCD"/>
    <w:rsid w:val="00DC7F8C"/>
    <w:rsid w:val="00DF6DD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7226"/>
    <w:rsid w:val="00FD0C70"/>
  </w:rsids>
  <w:docVars>
    <w:docVar w:name="dvdocse" w:val="B10-0294, 0324, 0325, 0326, 0327 e 0328/2026"/>
    <w:docVar w:name="dvlangue" w:val="PT"/>
    <w:docVar w:name="dvnumam" w:val="0"/>
    <w:docVar w:name="dvpe" w:val="783.351"/>
    <w:docVar w:name="dvtitre" w:val="Resolução do Parlamento Europeu, de ... de ... de 2026,&#13;_x000a_ sobre a deterioração da situação dos presos políticos na Bielorrússia, em particular o caso de Aliaksandra Pulinovich(2026/2766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34FA54A"/>
  <w15:chartTrackingRefBased/>
  <w15:docId w15:val="{E8718C47-1922-4F8D-9B0C-DA1275E6D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DF6DDA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DF6DDA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DF6DDA"/>
    <w:rPr>
      <w:sz w:val="24"/>
      <w:lang w:val="pt-PT"/>
    </w:rPr>
  </w:style>
  <w:style w:type="character" w:customStyle="1" w:styleId="EPCommaChar">
    <w:name w:val="EPComma Char"/>
    <w:basedOn w:val="DefaultParagraphFont"/>
    <w:link w:val="EPComma"/>
    <w:rsid w:val="00DF6DDA"/>
    <w:rPr>
      <w:sz w:val="24"/>
      <w:lang w:val="pt-PT"/>
    </w:rPr>
  </w:style>
  <w:style w:type="paragraph" w:styleId="Revision">
    <w:name w:val="Revision"/>
    <w:hidden/>
    <w:uiPriority w:val="99"/>
    <w:semiHidden/>
    <w:rsid w:val="00901D4E"/>
    <w:rPr>
      <w:sz w:val="24"/>
      <w:lang w:val="pt-PT"/>
    </w:rPr>
  </w:style>
  <w:style w:type="character" w:styleId="CommentReference">
    <w:name w:val="annotation reference"/>
    <w:basedOn w:val="DefaultParagraphFont"/>
    <w:rsid w:val="001D1022"/>
    <w:rPr>
      <w:sz w:val="16"/>
      <w:szCs w:val="16"/>
    </w:rPr>
  </w:style>
  <w:style w:type="paragraph" w:styleId="CommentText">
    <w:name w:val="annotation text"/>
    <w:basedOn w:val="Normal"/>
    <w:link w:val="CommentTextChar"/>
    <w:rsid w:val="001D102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D1022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1D10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D1022"/>
    <w:rPr>
      <w:b/>
      <w:bCs/>
      <w:lang w:val="pt-PT"/>
    </w:rPr>
  </w:style>
  <w:style w:type="character" w:styleId="Hyperlink">
    <w:name w:val="Hyperlink"/>
    <w:basedOn w:val="DefaultParagraphFont"/>
    <w:rsid w:val="001D102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102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6F1A5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988</Words>
  <Characters>5702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2026-06-18T13:49:00Z</dcterms:created>
  <dcterms:modified xsi:type="dcterms:W3CDTF">2026-06-18T13:49:00Z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B10-0294, 0324, 0325, 0326, 0327 e 0328/2026</vt:lpwstr>
  </property>
  <property fmtid="{D5CDD505-2E9C-101B-9397-08002B2CF9AE}" pid="4" name="&lt;Type&gt;">
    <vt:lpwstr>RR</vt:lpwstr>
  </property>
</Properties>
</file>