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DDD1B6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2934" w:rsidP="0010095E" w14:paraId="43F29D5F" w14:textId="265B2360">
            <w:pPr>
              <w:pStyle w:val="EPName"/>
            </w:pPr>
            <w:r w:rsidRPr="001C2934">
              <w:t>Európsky parlament</w:t>
            </w:r>
          </w:p>
          <w:p w:rsidR="00751A4A" w:rsidRPr="001C2934" w:rsidP="005F1B17" w14:paraId="4D8C194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934">
              <w:t>2024</w:t>
            </w:r>
            <w:r w:rsidRPr="001C2934" w:rsidR="00817416">
              <w:t>-202</w:t>
            </w:r>
            <w:r w:rsidRPr="001C29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2934" w:rsidP="0010095E" w14:paraId="12B2BBD8" w14:textId="77777777">
            <w:pPr>
              <w:pStyle w:val="EPLogo"/>
            </w:pPr>
            <w:r w:rsidRPr="001C293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2934" w:rsidP="004C5D52" w14:paraId="5670C7EF" w14:textId="77777777">
      <w:pPr>
        <w:pStyle w:val="LineTop"/>
      </w:pPr>
    </w:p>
    <w:p w:rsidR="00680577" w:rsidRPr="001C2934" w:rsidP="00680577" w14:paraId="3FB2F85C" w14:textId="00DC365B">
      <w:pPr>
        <w:pStyle w:val="EPBodyTA1"/>
      </w:pPr>
      <w:r w:rsidRPr="001C2934">
        <w:t>PRIJATÉ TEXTY</w:t>
      </w:r>
    </w:p>
    <w:p w:rsidR="00D058B8" w:rsidRPr="001C2934" w:rsidP="00D058B8" w14:paraId="4FEEC7C6" w14:textId="77777777">
      <w:pPr>
        <w:pStyle w:val="LineBottom"/>
      </w:pPr>
    </w:p>
    <w:p w:rsidR="008E3BEE" w:rsidRPr="001C2934" w:rsidP="008E3BEE" w14:paraId="631DAE23" w14:textId="39C621EB">
      <w:pPr>
        <w:pStyle w:val="ATHeading1"/>
      </w:pPr>
      <w:bookmarkStart w:id="0" w:name="TANumber"/>
      <w:r w:rsidRPr="001C2934">
        <w:t>P10_TA(2026)0</w:t>
      </w:r>
      <w:r w:rsidRPr="001C2934" w:rsidR="001C2934">
        <w:t>224</w:t>
      </w:r>
      <w:bookmarkEnd w:id="0"/>
    </w:p>
    <w:p w:rsidR="008E3BEE" w:rsidRPr="001C2934" w:rsidP="008E3BEE" w14:paraId="76A4561F" w14:textId="77777777">
      <w:pPr>
        <w:pStyle w:val="ATHeading2"/>
      </w:pPr>
      <w:bookmarkStart w:id="1" w:name="title"/>
      <w:r w:rsidRPr="001C2934">
        <w:t xml:space="preserve">Zhoršujúca sa situácia politických väzňov v Bielorusku, najmä prípad </w:t>
      </w:r>
      <w:r w:rsidRPr="001C2934">
        <w:t>Aliaksandry</w:t>
      </w:r>
      <w:r w:rsidRPr="001C2934">
        <w:t xml:space="preserve"> </w:t>
      </w:r>
      <w:r w:rsidRPr="001C2934">
        <w:t>Pulinovičovej</w:t>
      </w:r>
      <w:bookmarkEnd w:id="1"/>
    </w:p>
    <w:p w:rsidR="008E3BEE" w:rsidRPr="001C2934" w:rsidP="008E3BEE" w14:paraId="4A676B35" w14:textId="77777777">
      <w:pPr>
        <w:rPr>
          <w:i/>
          <w:vanish/>
        </w:rPr>
      </w:pPr>
      <w:r>
        <w:rPr>
          <w:i/>
        </w:rPr>
        <w:fldChar w:fldCharType="begin"/>
      </w:r>
      <w:r w:rsidRPr="001C2934">
        <w:rPr>
          <w:i/>
        </w:rPr>
        <w:instrText xml:space="preserve"> TC"(</w:instrText>
      </w:r>
      <w:bookmarkStart w:id="2" w:name="DocNumber"/>
      <w:r w:rsidRPr="001C2934">
        <w:rPr>
          <w:i/>
        </w:rPr>
        <w:instrText>B10-0294, 0324, 0325, 0326, 0327 a 0328/2026</w:instrText>
      </w:r>
      <w:bookmarkEnd w:id="2"/>
      <w:r w:rsidRPr="001C293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E3BEE" w:rsidRPr="001C2934" w:rsidP="008E3BEE" w14:paraId="7A0C1417" w14:textId="77777777">
      <w:pPr>
        <w:rPr>
          <w:vanish/>
        </w:rPr>
      </w:pPr>
      <w:bookmarkStart w:id="3" w:name="PE"/>
      <w:r w:rsidRPr="001C2934">
        <w:rPr>
          <w:vanish/>
        </w:rPr>
        <w:t>PE783.351</w:t>
      </w:r>
      <w:bookmarkEnd w:id="3"/>
    </w:p>
    <w:p w:rsidR="008E3BEE" w:rsidRPr="001C2934" w:rsidP="008E3BEE" w14:paraId="49971321" w14:textId="29F90A86">
      <w:pPr>
        <w:pStyle w:val="ATHeading3"/>
      </w:pPr>
      <w:bookmarkStart w:id="4" w:name="Sujet"/>
      <w:r w:rsidRPr="001C2934">
        <w:t xml:space="preserve">Uznesenie Európskeho parlamentu z </w:t>
      </w:r>
      <w:r w:rsidRPr="001C2934" w:rsidR="002C7BB5">
        <w:t>18</w:t>
      </w:r>
      <w:r w:rsidRPr="001C2934">
        <w:t xml:space="preserve">. </w:t>
      </w:r>
      <w:r w:rsidRPr="001C2934" w:rsidR="002C7BB5">
        <w:t xml:space="preserve">júna </w:t>
      </w:r>
      <w:r w:rsidRPr="001C2934">
        <w:t xml:space="preserve">2026 o zhoršujúcej sa situácii politických väzňov v Bielorusku, najmä o prípade </w:t>
      </w:r>
      <w:r w:rsidRPr="001C2934">
        <w:t>Aliaksandry</w:t>
      </w:r>
      <w:r w:rsidRPr="001C2934">
        <w:t xml:space="preserve"> </w:t>
      </w:r>
      <w:r w:rsidRPr="001C2934">
        <w:t>Pulinovičovej</w:t>
      </w:r>
      <w:bookmarkEnd w:id="4"/>
      <w:r w:rsidRPr="001C2934">
        <w:t xml:space="preserve"> </w:t>
      </w:r>
      <w:bookmarkStart w:id="5" w:name="References"/>
      <w:r w:rsidRPr="001C2934">
        <w:t>(2026/2766(RSP))</w:t>
      </w:r>
      <w:bookmarkEnd w:id="5"/>
    </w:p>
    <w:p w:rsidR="00360321" w:rsidRPr="001C2934" w:rsidP="00360321" w14:paraId="48D25F21" w14:textId="77777777">
      <w:pPr>
        <w:pStyle w:val="EPComma"/>
      </w:pPr>
      <w:bookmarkStart w:id="6" w:name="TextBodyBegin"/>
      <w:bookmarkEnd w:id="6"/>
      <w:r w:rsidRPr="001C2934">
        <w:rPr>
          <w:i/>
          <w:iCs/>
        </w:rPr>
        <w:t>Európsky parlament</w:t>
      </w:r>
      <w:r w:rsidRPr="001C2934">
        <w:t>,</w:t>
      </w:r>
    </w:p>
    <w:p w:rsidR="00360321" w:rsidRPr="001C2934" w:rsidP="00360321" w14:paraId="49986202" w14:textId="77777777">
      <w:pPr>
        <w:pStyle w:val="NormalHanging12a"/>
      </w:pPr>
      <w:r w:rsidRPr="001C2934">
        <w:t>–</w:t>
      </w:r>
      <w:r w:rsidRPr="001C2934">
        <w:tab/>
        <w:t>so zreteľom na svoje predchádzajúce uznesenia o Bielorusku,</w:t>
      </w:r>
    </w:p>
    <w:p w:rsidR="00360321" w:rsidRPr="001C2934" w:rsidP="00360321" w14:paraId="75F4CB94" w14:textId="77777777">
      <w:pPr>
        <w:pStyle w:val="NormalHanging12a"/>
      </w:pPr>
      <w:r w:rsidRPr="001C2934">
        <w:t>–</w:t>
      </w:r>
      <w:r w:rsidRPr="001C2934">
        <w:tab/>
        <w:t>so zreteľom na článok 150 ods. 5 a článok 136 ods. 4 rokovacieho poriadku,</w:t>
      </w:r>
    </w:p>
    <w:p w:rsidR="00360321" w:rsidRPr="001C2934" w:rsidP="00360321" w14:paraId="4B32D956" w14:textId="77777777">
      <w:pPr>
        <w:pStyle w:val="NormalHanging12a"/>
      </w:pPr>
      <w:r w:rsidRPr="001C2934">
        <w:t>A.</w:t>
      </w:r>
      <w:r w:rsidRPr="001C2934">
        <w:tab/>
        <w:t xml:space="preserve">keďže v januári 2024 bola 16-ročná </w:t>
      </w:r>
      <w:r w:rsidRPr="001C2934">
        <w:t>Aliaksandra</w:t>
      </w:r>
      <w:r w:rsidRPr="001C2934">
        <w:t xml:space="preserve"> </w:t>
      </w:r>
      <w:r w:rsidRPr="001C2934">
        <w:t>Pulinovičová</w:t>
      </w:r>
      <w:r w:rsidRPr="001C2934">
        <w:t xml:space="preserve"> zadržaná v prípade „Black </w:t>
      </w:r>
      <w:r w:rsidRPr="001C2934">
        <w:t>Nightingales</w:t>
      </w:r>
      <w:r w:rsidRPr="001C2934">
        <w:t xml:space="preserve">“, v ktorom išlo o </w:t>
      </w:r>
      <w:r w:rsidRPr="001C2934">
        <w:t>grafiti</w:t>
      </w:r>
      <w:r w:rsidRPr="001C2934">
        <w:t xml:space="preserve"> s nesúhlasným prejavom voči ruskej útočnej vojne proti Ukrajine, bola umiestnená do cely disciplinárnych trestov a bola jej odopretá právna obhajoba a rodičovská podpora; keďže bola odsúdená na viac ako 10 rokov odňatia slobody v neverejnom konaní a následne zaradená na „zoznam teroristov“;</w:t>
      </w:r>
    </w:p>
    <w:p w:rsidR="00360321" w:rsidRPr="001C2934" w:rsidP="00360321" w14:paraId="78C899B9" w14:textId="77777777">
      <w:pPr>
        <w:pStyle w:val="NormalHanging12a"/>
      </w:pPr>
      <w:r w:rsidRPr="001C2934">
        <w:t>B.</w:t>
      </w:r>
      <w:r w:rsidRPr="001C2934">
        <w:tab/>
        <w:t xml:space="preserve">keďže </w:t>
      </w:r>
      <w:r w:rsidRPr="001C2934">
        <w:t>Pulinovičovej</w:t>
      </w:r>
      <w:r w:rsidRPr="001C2934">
        <w:t xml:space="preserve"> prípad ukazuje, že bieloruské orgány využívajú protiteroristické právne predpisy na </w:t>
      </w:r>
      <w:r w:rsidRPr="001C2934">
        <w:t>kriminalizáciu</w:t>
      </w:r>
      <w:r w:rsidRPr="001C2934">
        <w:t xml:space="preserve"> mladých ľudí z politických dôvodov;</w:t>
      </w:r>
    </w:p>
    <w:p w:rsidR="00360321" w:rsidP="00360321" w14:paraId="42BE341C" w14:textId="77777777">
      <w:pPr>
        <w:pStyle w:val="NormalHanging12a"/>
      </w:pPr>
      <w:r w:rsidRPr="001C2934">
        <w:t>C.</w:t>
      </w:r>
      <w:r w:rsidRPr="001C2934">
        <w:tab/>
        <w:t xml:space="preserve">keďže </w:t>
      </w:r>
      <w:r w:rsidRPr="001C2934">
        <w:t>Lukašenkov</w:t>
      </w:r>
      <w:r w:rsidRPr="001C2934">
        <w:t xml:space="preserve"> režim systematicky utláča politických oponentov, obhajcov ľudských práv, novinárov, odborárov, študentov, národnostné menšiny a občanov uplatňujúcich svoje základné slobody; keďže stále je svojvoľne a v neľudských podmienkach zadržiavaných 853 politických väzňov;</w:t>
      </w:r>
    </w:p>
    <w:p w:rsidR="005A24C9" w:rsidP="00360321" w14:paraId="7154251D" w14:textId="526CA51E">
      <w:pPr>
        <w:pStyle w:val="NormalHanging12a"/>
      </w:pPr>
      <w:r>
        <w:t>D</w:t>
      </w:r>
      <w:r w:rsidRPr="005A24C9">
        <w:t>.</w:t>
      </w:r>
      <w:r>
        <w:tab/>
      </w:r>
      <w:bookmarkStart w:id="7" w:name="_Hlk232678415"/>
      <w:bookmarkStart w:id="8" w:name="_Hlk232690166"/>
      <w:r w:rsidRPr="005A24C9">
        <w:t xml:space="preserve">keďže prípady </w:t>
      </w:r>
      <w:r w:rsidRPr="005A24C9">
        <w:t>Dzianisa</w:t>
      </w:r>
      <w:r w:rsidRPr="005A24C9">
        <w:t xml:space="preserve"> </w:t>
      </w:r>
      <w:r w:rsidRPr="005A24C9">
        <w:t>Iva</w:t>
      </w:r>
      <w:r w:rsidR="009D0CC5">
        <w:t>sh</w:t>
      </w:r>
      <w:r w:rsidRPr="005A24C9">
        <w:t>yna</w:t>
      </w:r>
      <w:r w:rsidRPr="005A24C9">
        <w:t xml:space="preserve">, Pavla </w:t>
      </w:r>
      <w:r w:rsidRPr="005A24C9">
        <w:t>Belavusa</w:t>
      </w:r>
      <w:r w:rsidRPr="005A24C9">
        <w:t xml:space="preserve">, </w:t>
      </w:r>
      <w:r w:rsidRPr="005A24C9">
        <w:t>Ihara</w:t>
      </w:r>
      <w:r w:rsidRPr="005A24C9">
        <w:t xml:space="preserve"> </w:t>
      </w:r>
      <w:r w:rsidRPr="005A24C9">
        <w:t>Alinevi</w:t>
      </w:r>
      <w:r w:rsidR="009D0CC5">
        <w:t>ch</w:t>
      </w:r>
      <w:r w:rsidRPr="005A24C9">
        <w:t>a</w:t>
      </w:r>
      <w:r w:rsidRPr="005A24C9">
        <w:t xml:space="preserve">, </w:t>
      </w:r>
      <w:r w:rsidRPr="005A24C9">
        <w:t>Volhy</w:t>
      </w:r>
      <w:r w:rsidRPr="005A24C9">
        <w:t xml:space="preserve"> </w:t>
      </w:r>
      <w:r w:rsidRPr="005A24C9">
        <w:t>Mayoravovej</w:t>
      </w:r>
      <w:r w:rsidRPr="005A24C9">
        <w:t xml:space="preserve">, Aleny </w:t>
      </w:r>
      <w:r w:rsidRPr="005A24C9">
        <w:t>Lazar</w:t>
      </w:r>
      <w:r w:rsidR="009D0CC5">
        <w:t>ch</w:t>
      </w:r>
      <w:r w:rsidRPr="005A24C9">
        <w:t>ykovej</w:t>
      </w:r>
      <w:r w:rsidRPr="005A24C9">
        <w:t xml:space="preserve">, </w:t>
      </w:r>
      <w:r w:rsidRPr="005A24C9">
        <w:t>A</w:t>
      </w:r>
      <w:r w:rsidR="009D0CC5">
        <w:t>li</w:t>
      </w:r>
      <w:r w:rsidRPr="005A24C9">
        <w:t>aksandra</w:t>
      </w:r>
      <w:r w:rsidRPr="005A24C9">
        <w:t xml:space="preserve"> </w:t>
      </w:r>
      <w:r w:rsidRPr="005A24C9">
        <w:t>Frantskevi</w:t>
      </w:r>
      <w:r w:rsidR="009D0CC5">
        <w:t>ch</w:t>
      </w:r>
      <w:r w:rsidRPr="005A24C9">
        <w:t>a</w:t>
      </w:r>
      <w:r w:rsidRPr="005A24C9">
        <w:t xml:space="preserve">, </w:t>
      </w:r>
      <w:r w:rsidRPr="005A24C9">
        <w:t>Viktara</w:t>
      </w:r>
      <w:r w:rsidRPr="005A24C9">
        <w:t xml:space="preserve"> </w:t>
      </w:r>
      <w:r w:rsidRPr="005A24C9">
        <w:t>Snehura</w:t>
      </w:r>
      <w:r w:rsidRPr="005A24C9">
        <w:t xml:space="preserve">, Eduarda </w:t>
      </w:r>
      <w:r w:rsidRPr="005A24C9">
        <w:t>Babaryku</w:t>
      </w:r>
      <w:r w:rsidRPr="005A24C9">
        <w:t xml:space="preserve">, </w:t>
      </w:r>
      <w:r w:rsidRPr="005A24C9">
        <w:t>Mikalaja</w:t>
      </w:r>
      <w:r w:rsidRPr="005A24C9">
        <w:t xml:space="preserve"> </w:t>
      </w:r>
      <w:r w:rsidRPr="005A24C9">
        <w:t>Autuchovi</w:t>
      </w:r>
      <w:r w:rsidR="009D0CC5">
        <w:t>ch</w:t>
      </w:r>
      <w:r w:rsidRPr="005A24C9">
        <w:t>a</w:t>
      </w:r>
      <w:r w:rsidRPr="005A24C9">
        <w:t xml:space="preserve">, </w:t>
      </w:r>
      <w:r w:rsidRPr="005A24C9">
        <w:t>Uladzimira</w:t>
      </w:r>
      <w:r w:rsidRPr="005A24C9">
        <w:t xml:space="preserve"> </w:t>
      </w:r>
      <w:r w:rsidRPr="005A24C9">
        <w:t>Hundara</w:t>
      </w:r>
      <w:r w:rsidRPr="005A24C9">
        <w:t xml:space="preserve">, </w:t>
      </w:r>
      <w:r w:rsidRPr="005A24C9">
        <w:t>Iryny</w:t>
      </w:r>
      <w:r w:rsidRPr="005A24C9">
        <w:t xml:space="preserve"> </w:t>
      </w:r>
      <w:r w:rsidRPr="005A24C9">
        <w:t>Melkherovej</w:t>
      </w:r>
      <w:r w:rsidRPr="005A24C9">
        <w:t xml:space="preserve">, členov rodín </w:t>
      </w:r>
      <w:r w:rsidRPr="005A24C9">
        <w:t>Rezanovi</w:t>
      </w:r>
      <w:r w:rsidR="009D0CC5">
        <w:t>ch</w:t>
      </w:r>
      <w:r w:rsidRPr="005A24C9">
        <w:t>a</w:t>
      </w:r>
      <w:r w:rsidRPr="005A24C9">
        <w:t xml:space="preserve"> a </w:t>
      </w:r>
      <w:r w:rsidRPr="005A24C9">
        <w:t>Karsakoua</w:t>
      </w:r>
      <w:r w:rsidRPr="005A24C9">
        <w:t xml:space="preserve">, </w:t>
      </w:r>
      <w:r w:rsidRPr="005A24C9">
        <w:t>Stsiapana</w:t>
      </w:r>
      <w:r w:rsidRPr="005A24C9">
        <w:t xml:space="preserve"> </w:t>
      </w:r>
      <w:r w:rsidRPr="005A24C9">
        <w:t>Latypaua</w:t>
      </w:r>
      <w:r w:rsidRPr="005A24C9">
        <w:t xml:space="preserve">, </w:t>
      </w:r>
      <w:r w:rsidRPr="005A24C9">
        <w:t>Viachaslaua</w:t>
      </w:r>
      <w:r w:rsidRPr="005A24C9">
        <w:t xml:space="preserve"> </w:t>
      </w:r>
      <w:r w:rsidRPr="005A24C9">
        <w:t>Areshku</w:t>
      </w:r>
      <w:r w:rsidRPr="005A24C9">
        <w:t xml:space="preserve"> a mnohých ďalších poukazujú na vážne zhoršenie zdravia a ničivé dôsledky neľudských väzenských podmienok, dlhotrvajúcu izoláciu a odopieranie primeranej zdravotnej starostlivosti</w:t>
      </w:r>
      <w:bookmarkEnd w:id="8"/>
      <w:r w:rsidRPr="005A24C9">
        <w:t>;</w:t>
      </w:r>
    </w:p>
    <w:bookmarkEnd w:id="7"/>
    <w:p w:rsidR="005A24C9" w:rsidRPr="001C2934" w:rsidP="00360321" w14:paraId="60FF92B0" w14:textId="7B97F3E3">
      <w:pPr>
        <w:pStyle w:val="NormalHanging12a"/>
      </w:pPr>
      <w:r>
        <w:t>E</w:t>
      </w:r>
      <w:r w:rsidRPr="005A24C9">
        <w:t>.</w:t>
      </w:r>
      <w:r w:rsidRPr="005A24C9">
        <w:tab/>
        <w:t xml:space="preserve">keďže článok 411 trestného zákona Bieloruska sa systematicky používa proti politickým väzňom na svojvoľné predlžovanie ich väzby na základe vykonštruovaných </w:t>
      </w:r>
      <w:r w:rsidRPr="005A24C9">
        <w:t>disciplinárnych priestupkov, čím sa vytvára mechanizmus neobmedzeného zadržiavania a nátlaku; keďže od roku 2020 bolo na základe tohto ustanovenia odsúdených viac ako 80 politických väzňov, pričom niektorí z nich boli odsúdení opakovane; keďže článok 411 sa používa na vydieranie zadržaných osôb, núti ich žiadať režim o milosť, zúčastňovať sa na propagandistických činnostiach alebo spolupracovať s orgánmi a stal sa nástrojom psychického mučenia a politickej represie;</w:t>
      </w:r>
    </w:p>
    <w:p w:rsidR="00360321" w:rsidRPr="001C2934" w:rsidP="00360321" w14:paraId="15E1F136" w14:textId="77777777">
      <w:pPr>
        <w:pStyle w:val="NormalHanging12a"/>
      </w:pPr>
      <w:r w:rsidRPr="001C2934">
        <w:t>1.</w:t>
      </w:r>
      <w:r w:rsidRPr="001C2934">
        <w:tab/>
        <w:t xml:space="preserve">požaduje okamžité a bezpodmienečné prepustenie </w:t>
      </w:r>
      <w:r w:rsidRPr="001C2934">
        <w:t>Pulinovičovej</w:t>
      </w:r>
      <w:r w:rsidRPr="001C2934">
        <w:t xml:space="preserve"> a všetkých politických väzňov, ich úplnú rehabilitáciu a úplné obnovenie ich práv; opakuje svoju neochvejnú solidaritu so všetkými politickými väzňami a ich rodinami;</w:t>
      </w:r>
    </w:p>
    <w:p w:rsidR="00360321" w:rsidRPr="001C2934" w:rsidP="00360321" w14:paraId="17EF72B2" w14:textId="77777777">
      <w:pPr>
        <w:pStyle w:val="NormalHanging12a"/>
      </w:pPr>
      <w:r w:rsidRPr="001C2934">
        <w:t>2.</w:t>
      </w:r>
      <w:r w:rsidRPr="001C2934">
        <w:tab/>
        <w:t>naliehavo vyzýva orgány, aby ukončili všetky formy zlého zaobchádzania s politickými väzňami, zadržiavania v izolácii, odopierania lekárskej starostlivosti a prístupu k právnikom a rodinným príslušníkom a nútenej práce a aby vyšetrili prípady úmrtia vo väzbe a obvinenia z mučenia;</w:t>
      </w:r>
    </w:p>
    <w:p w:rsidR="00360321" w:rsidP="00360321" w14:paraId="580FD47B" w14:textId="77777777">
      <w:pPr>
        <w:pStyle w:val="NormalHanging12a"/>
      </w:pPr>
      <w:r w:rsidRPr="001C2934">
        <w:t>3.</w:t>
      </w:r>
      <w:r w:rsidRPr="001C2934">
        <w:tab/>
        <w:t xml:space="preserve">dôrazne odsudzuje politicky motivované stíhanie Bielorusov, najmä väznenie maloletých osôb, ako je </w:t>
      </w:r>
      <w:r w:rsidRPr="001C2934">
        <w:t>Pulinovičová</w:t>
      </w:r>
      <w:r w:rsidRPr="001C2934">
        <w:t xml:space="preserve">; odsudzuje zneužívanie protiteroristických a </w:t>
      </w:r>
      <w:r w:rsidRPr="001C2934">
        <w:t>protiextrémistických</w:t>
      </w:r>
      <w:r w:rsidRPr="001C2934">
        <w:t xml:space="preserve"> právnych predpisov na </w:t>
      </w:r>
      <w:r w:rsidRPr="001C2934">
        <w:t>kriminalizáciu</w:t>
      </w:r>
      <w:r w:rsidRPr="001C2934">
        <w:t xml:space="preserve"> protivojnových prejavov, nesúhlasných prejavov mladých ľudí a solidarity s Ukrajinou a na potláčanie pokojného disentu vrátane prísnych obvinení proti mladým ľuďom s cieľom zastrašiť ich; žiada, aby sa zrušili zoznamy teroristov a extrémistov; naliehavo vyzýva bieloruské orgány, aby dodržiavali Dohovor OSN o právach dieťaťa;</w:t>
      </w:r>
    </w:p>
    <w:p w:rsidR="005A24C9" w:rsidRPr="001C2934" w:rsidP="00360321" w14:paraId="1F113A8F" w14:textId="0F743664">
      <w:pPr>
        <w:pStyle w:val="NormalHanging12a"/>
      </w:pPr>
      <w:r>
        <w:t>4</w:t>
      </w:r>
      <w:r w:rsidRPr="005A24C9">
        <w:t>.</w:t>
      </w:r>
      <w:r w:rsidRPr="005A24C9">
        <w:tab/>
        <w:t>odsudzuje systematické zneužívanie článku 411 trestného zákona Bieloruska ako nástroja politického prenasledovania a svojvoľného predlžovania trestu; vyzýva na jeho okamžité zrušenie; požaduje prepustenie a úplnú právnu rehabilitáciu všetkých osôb odsúdených podľa tohto ustanovenia; vyjadruje hlboké znepokojenie nad osudom približne 50 politických väzňov, ktorí sú naďalej väznení podľa článku 411 a ktorých životy a zdravie sú vážne ohrozené v dôsledku dlhodobého zadržiavania, samoväzby a iných foriem neľudského a ponižujúceho zaobchádzania;</w:t>
      </w:r>
    </w:p>
    <w:p w:rsidR="00360321" w:rsidRPr="001C2934" w:rsidP="00360321" w14:paraId="725746E6" w14:textId="78575598">
      <w:pPr>
        <w:pStyle w:val="NormalHanging12a"/>
      </w:pPr>
      <w:r>
        <w:t>5</w:t>
      </w:r>
      <w:r w:rsidRPr="001C2934">
        <w:t>.</w:t>
      </w:r>
      <w:r w:rsidRPr="001C2934">
        <w:tab/>
        <w:t>berie na vedomie úsilie USA o zabezpečenie prepustenia politických väzňov; zdôrazňuje však, že prepustenie väzňov je motivované obavami režimu o hospodárske prežitie a nie je spojené s politickou transformáciou alebo reformou, ktorá by odôvodňovala normalizáciu vzťahov; trvá na tom, že predpokladom politického dialógu a hospodárskej spolupráce je aj naďalej prepustenie všetkých politických väzňov a ukončenie represií; požaduje ukončenie nútenej deportácie prepustených politických väzňov a represií voči ich príbuzným;</w:t>
      </w:r>
    </w:p>
    <w:p w:rsidR="00360321" w:rsidRPr="001C2934" w:rsidP="00360321" w14:paraId="1947EC0E" w14:textId="497B9C0F">
      <w:pPr>
        <w:pStyle w:val="NormalHanging12a"/>
      </w:pPr>
      <w:r>
        <w:t>6</w:t>
      </w:r>
      <w:r w:rsidRPr="001C2934">
        <w:t>.</w:t>
      </w:r>
      <w:r w:rsidRPr="001C2934">
        <w:tab/>
        <w:t>naliehavo vyzýva EÚ, jej členské štáty a medzinárodných partnerov, aby zintenzívnili úsilie o zabezpečenie prepustenia všetkých politických väzňov, predvolali veľvyslancov režimu s cieľom určiť stav a miesto pobytu väzňov, monitorovali prípady politických väzňov, udelili im humanitárne víza a zabezpečili rehabilitáciu a praktickú a finančnú podporu;</w:t>
      </w:r>
    </w:p>
    <w:p w:rsidR="00360321" w:rsidRPr="001C2934" w:rsidP="00360321" w14:paraId="77378A5B" w14:textId="261EBE66">
      <w:pPr>
        <w:pStyle w:val="NormalHanging12a"/>
      </w:pPr>
      <w:r>
        <w:t>7</w:t>
      </w:r>
      <w:r w:rsidRPr="001C2934">
        <w:t>.</w:t>
      </w:r>
      <w:r w:rsidRPr="001C2934">
        <w:tab/>
        <w:t>vyzýva Radu, aby rozšírila, posilnila a prísne presadzovala cielené sankcie voči všetkým osobám a subjektom zodpovedným za politicky motivované stíhanie, represie a mučenie;</w:t>
      </w:r>
    </w:p>
    <w:p w:rsidR="00360321" w:rsidRPr="001C2934" w:rsidP="00360321" w14:paraId="28C3CAE2" w14:textId="047B0575">
      <w:pPr>
        <w:pStyle w:val="NormalHanging12a"/>
      </w:pPr>
      <w:r>
        <w:t>8</w:t>
      </w:r>
      <w:r w:rsidRPr="001C2934">
        <w:t>.</w:t>
      </w:r>
      <w:r w:rsidRPr="001C2934">
        <w:tab/>
        <w:t xml:space="preserve">vyzýva EÚ a jej členské štáty, aby podporovali dokumentovanie zločinov spáchaných </w:t>
      </w:r>
      <w:r w:rsidRPr="001C2934">
        <w:t>Lukašenkovým</w:t>
      </w:r>
      <w:r w:rsidRPr="001C2934">
        <w:t xml:space="preserve"> režimom, a to aj na úrovni OSN, a aby ďalej vyvodzovali zodpovednosť prostredníctvom medzinárodných mechanizmov vrátane postúpenia veci medzinárodnému trestnému súdu Litvou a vyšetrovaní a vnútroštátnych konaní založených na </w:t>
      </w:r>
      <w:r w:rsidRPr="001C2934">
        <w:t>extrateritoriálnej</w:t>
      </w:r>
      <w:r w:rsidRPr="001C2934">
        <w:t xml:space="preserve"> a univerzálnej jurisdikcii;</w:t>
      </w:r>
    </w:p>
    <w:p w:rsidR="00E365E1" w:rsidRPr="001C2934" w:rsidP="002C7BB5" w14:paraId="6902119C" w14:textId="7E8D0808">
      <w:pPr>
        <w:pStyle w:val="NormalHanging12a"/>
      </w:pPr>
      <w:r>
        <w:t>9</w:t>
      </w:r>
      <w:r w:rsidRPr="001C2934" w:rsidR="00360321">
        <w:t>.</w:t>
      </w:r>
      <w:r w:rsidRPr="001C2934" w:rsidR="00360321">
        <w:tab/>
        <w:t xml:space="preserve">poveruje svoju predsedníčku, aby postúpila toto uznesenie PK/VP, Rade, Komisii, vysokému komisárovi OSN pre ľudské práva a de </w:t>
      </w:r>
      <w:r w:rsidRPr="001C2934" w:rsidR="00360321">
        <w:t>facto</w:t>
      </w:r>
      <w:r w:rsidRPr="001C2934" w:rsidR="00360321">
        <w:t xml:space="preserve"> orgánom Bieloruska.</w:t>
      </w:r>
    </w:p>
    <w:sectPr w:rsidSect="00AB31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17381CF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519EE79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464F4D2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39E45E8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0E96E50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B3146" w14:paraId="5D7FDC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8648579">
    <w:abstractNumId w:val="9"/>
  </w:num>
  <w:num w:numId="2" w16cid:durableId="468134252">
    <w:abstractNumId w:val="9"/>
  </w:num>
  <w:num w:numId="3" w16cid:durableId="267591628">
    <w:abstractNumId w:val="7"/>
  </w:num>
  <w:num w:numId="4" w16cid:durableId="1028411333">
    <w:abstractNumId w:val="7"/>
  </w:num>
  <w:num w:numId="5" w16cid:durableId="1009327735">
    <w:abstractNumId w:val="6"/>
  </w:num>
  <w:num w:numId="6" w16cid:durableId="1796481433">
    <w:abstractNumId w:val="6"/>
  </w:num>
  <w:num w:numId="7" w16cid:durableId="117646354">
    <w:abstractNumId w:val="5"/>
  </w:num>
  <w:num w:numId="8" w16cid:durableId="95759897">
    <w:abstractNumId w:val="5"/>
  </w:num>
  <w:num w:numId="9" w16cid:durableId="1418555449">
    <w:abstractNumId w:val="4"/>
  </w:num>
  <w:num w:numId="10" w16cid:durableId="292291102">
    <w:abstractNumId w:val="4"/>
  </w:num>
  <w:num w:numId="11" w16cid:durableId="1161703332">
    <w:abstractNumId w:val="8"/>
  </w:num>
  <w:num w:numId="12" w16cid:durableId="740104290">
    <w:abstractNumId w:val="8"/>
  </w:num>
  <w:num w:numId="13" w16cid:durableId="58749624">
    <w:abstractNumId w:val="3"/>
  </w:num>
  <w:num w:numId="14" w16cid:durableId="1554393423">
    <w:abstractNumId w:val="3"/>
  </w:num>
  <w:num w:numId="15" w16cid:durableId="230308227">
    <w:abstractNumId w:val="2"/>
  </w:num>
  <w:num w:numId="16" w16cid:durableId="179053903">
    <w:abstractNumId w:val="2"/>
  </w:num>
  <w:num w:numId="17" w16cid:durableId="1196890774">
    <w:abstractNumId w:val="1"/>
  </w:num>
  <w:num w:numId="18" w16cid:durableId="536698249">
    <w:abstractNumId w:val="1"/>
  </w:num>
  <w:num w:numId="19" w16cid:durableId="1215504125">
    <w:abstractNumId w:val="0"/>
  </w:num>
  <w:num w:numId="20" w16cid:durableId="658195780">
    <w:abstractNumId w:val="0"/>
  </w:num>
  <w:num w:numId="21" w16cid:durableId="952513035">
    <w:abstractNumId w:val="9"/>
  </w:num>
  <w:num w:numId="22" w16cid:durableId="1823347739">
    <w:abstractNumId w:val="7"/>
  </w:num>
  <w:num w:numId="23" w16cid:durableId="1067070022">
    <w:abstractNumId w:val="6"/>
  </w:num>
  <w:num w:numId="24" w16cid:durableId="435715048">
    <w:abstractNumId w:val="5"/>
  </w:num>
  <w:num w:numId="25" w16cid:durableId="1333223541">
    <w:abstractNumId w:val="4"/>
  </w:num>
  <w:num w:numId="26" w16cid:durableId="872376675">
    <w:abstractNumId w:val="8"/>
  </w:num>
  <w:num w:numId="27" w16cid:durableId="1234850333">
    <w:abstractNumId w:val="3"/>
  </w:num>
  <w:num w:numId="28" w16cid:durableId="1451782159">
    <w:abstractNumId w:val="2"/>
  </w:num>
  <w:num w:numId="29" w16cid:durableId="595090784">
    <w:abstractNumId w:val="1"/>
  </w:num>
  <w:num w:numId="30" w16cid:durableId="516698097">
    <w:abstractNumId w:val="0"/>
  </w:num>
  <w:num w:numId="31" w16cid:durableId="92631238">
    <w:abstractNumId w:val="9"/>
  </w:num>
  <w:num w:numId="32" w16cid:durableId="952325674">
    <w:abstractNumId w:val="7"/>
  </w:num>
  <w:num w:numId="33" w16cid:durableId="554119060">
    <w:abstractNumId w:val="6"/>
  </w:num>
  <w:num w:numId="34" w16cid:durableId="518933066">
    <w:abstractNumId w:val="5"/>
  </w:num>
  <w:num w:numId="35" w16cid:durableId="2003003667">
    <w:abstractNumId w:val="4"/>
  </w:num>
  <w:num w:numId="36" w16cid:durableId="1612012177">
    <w:abstractNumId w:val="8"/>
  </w:num>
  <w:num w:numId="37" w16cid:durableId="25373257">
    <w:abstractNumId w:val="3"/>
  </w:num>
  <w:num w:numId="38" w16cid:durableId="413167199">
    <w:abstractNumId w:val="2"/>
  </w:num>
  <w:num w:numId="39" w16cid:durableId="592979165">
    <w:abstractNumId w:val="1"/>
  </w:num>
  <w:num w:numId="40" w16cid:durableId="1707556924">
    <w:abstractNumId w:val="0"/>
  </w:num>
  <w:num w:numId="41" w16cid:durableId="663053681">
    <w:abstractNumId w:val="10"/>
  </w:num>
  <w:num w:numId="42" w16cid:durableId="1166556601">
    <w:abstractNumId w:val="10"/>
  </w:num>
  <w:num w:numId="43" w16cid:durableId="55278206">
    <w:abstractNumId w:val="10"/>
  </w:num>
  <w:num w:numId="44" w16cid:durableId="1214847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EE"/>
    <w:rsid w:val="00002272"/>
    <w:rsid w:val="000215B8"/>
    <w:rsid w:val="00064002"/>
    <w:rsid w:val="000677B9"/>
    <w:rsid w:val="000831BA"/>
    <w:rsid w:val="000A42CC"/>
    <w:rsid w:val="000E7DD9"/>
    <w:rsid w:val="0010095E"/>
    <w:rsid w:val="00125B37"/>
    <w:rsid w:val="00187494"/>
    <w:rsid w:val="001C2934"/>
    <w:rsid w:val="001F32AE"/>
    <w:rsid w:val="002767FF"/>
    <w:rsid w:val="002B18FE"/>
    <w:rsid w:val="002B5493"/>
    <w:rsid w:val="002C7BB5"/>
    <w:rsid w:val="00343214"/>
    <w:rsid w:val="0036032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BE6"/>
    <w:rsid w:val="004C5D52"/>
    <w:rsid w:val="0050519A"/>
    <w:rsid w:val="005072A1"/>
    <w:rsid w:val="00514517"/>
    <w:rsid w:val="00545827"/>
    <w:rsid w:val="00560270"/>
    <w:rsid w:val="005A24C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BEE"/>
    <w:rsid w:val="00930C23"/>
    <w:rsid w:val="0093193B"/>
    <w:rsid w:val="009509D8"/>
    <w:rsid w:val="00950B64"/>
    <w:rsid w:val="00981893"/>
    <w:rsid w:val="009D0CC5"/>
    <w:rsid w:val="00A1687D"/>
    <w:rsid w:val="00A43E52"/>
    <w:rsid w:val="00A4678D"/>
    <w:rsid w:val="00A619BD"/>
    <w:rsid w:val="00A778C7"/>
    <w:rsid w:val="00AB314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6B5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26E3"/>
    <w:rsid w:val="00F74202"/>
    <w:rsid w:val="00F87713"/>
    <w:rsid w:val="00FB4360"/>
    <w:rsid w:val="00FD0C70"/>
  </w:rsids>
  <w:docVars>
    <w:docVar w:name="dvdocse" w:val="B10-0294, 0324, 0325, 0326, 0327 a 0328/2026"/>
    <w:docVar w:name="dvlangue" w:val="SK"/>
    <w:docVar w:name="dvnumam" w:val="0"/>
    <w:docVar w:name="dvpe" w:val="783.351"/>
    <w:docVar w:name="dvtitre" w:val="Uznesenie Európskeho parlamentu z/zo xx. xxx 2026 o zhoršujúcej sa situácii politických väzňov v Bielorusku, najmä o prípade Aliaksandry Pulinovičovej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3E94AAA"/>
  <w15:chartTrackingRefBased/>
  <w15:docId w15:val="{9A793EFA-33E7-42CC-9182-C4D9C5F4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6032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6032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60321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360321"/>
    <w:rPr>
      <w:sz w:val="24"/>
      <w:lang w:val="sk-SK"/>
    </w:rPr>
  </w:style>
  <w:style w:type="paragraph" w:styleId="Revision">
    <w:name w:val="Revision"/>
    <w:hidden/>
    <w:uiPriority w:val="99"/>
    <w:semiHidden/>
    <w:rsid w:val="002C7BB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2026-06-18T13:49:00Z</dcterms:created>
  <dcterms:modified xsi:type="dcterms:W3CDTF">2026-06-18T13:49:00Z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B10-0294, 0324, 0325, 0326, 0327 a 0328/2026</vt:lpwstr>
  </property>
  <property fmtid="{D5CDD505-2E9C-101B-9397-08002B2CF9AE}" pid="4" name="&lt;Type&gt;">
    <vt:lpwstr>RR</vt:lpwstr>
  </property>
</Properties>
</file>