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0A16A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7259" w:rsidP="0010095E" w14:paraId="5EFFCE80" w14:textId="77777777">
            <w:pPr>
              <w:pStyle w:val="EPName"/>
            </w:pPr>
            <w:r w:rsidRPr="00D27259">
              <w:t>Parlament Europejski</w:t>
            </w:r>
          </w:p>
          <w:p w:rsidR="00751A4A" w:rsidRPr="00D27259" w:rsidP="005F1B17" w14:paraId="16A1E8F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7259">
              <w:t>2024</w:t>
            </w:r>
            <w:r w:rsidRPr="00D27259" w:rsidR="00817416">
              <w:t>-202</w:t>
            </w:r>
            <w:r w:rsidRPr="00D2725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27259" w:rsidP="0010095E" w14:paraId="5C73AEE9" w14:textId="77777777">
            <w:pPr>
              <w:pStyle w:val="EPLogo"/>
            </w:pPr>
            <w:r w:rsidRPr="00D2725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7259" w:rsidP="004C5D52" w14:paraId="67140817" w14:textId="77777777">
      <w:pPr>
        <w:pStyle w:val="LineTop"/>
      </w:pPr>
    </w:p>
    <w:p w:rsidR="00680577" w:rsidRPr="00D27259" w:rsidP="00680577" w14:paraId="06874B20" w14:textId="77777777">
      <w:pPr>
        <w:pStyle w:val="EPBodyTA1"/>
      </w:pPr>
      <w:r w:rsidRPr="00D27259">
        <w:t>TEKSTY PRZYJĘTE</w:t>
      </w:r>
    </w:p>
    <w:p w:rsidR="00D058B8" w:rsidRPr="00D27259" w:rsidP="00D058B8" w14:paraId="0F59CC44" w14:textId="77777777">
      <w:pPr>
        <w:pStyle w:val="LineBottom"/>
      </w:pPr>
    </w:p>
    <w:p w:rsidR="00C430C2" w:rsidRPr="00D27259" w:rsidP="00C430C2" w14:paraId="02FE04AE" w14:textId="0CA3522B">
      <w:pPr>
        <w:pStyle w:val="ATHeading1"/>
      </w:pPr>
      <w:bookmarkStart w:id="0" w:name="TANumber"/>
      <w:r w:rsidRPr="00D27259">
        <w:t>P10_TA(2026)0</w:t>
      </w:r>
      <w:bookmarkEnd w:id="0"/>
      <w:r w:rsidR="00BE1651">
        <w:t>225</w:t>
      </w:r>
    </w:p>
    <w:p w:rsidR="00C430C2" w:rsidRPr="00D27259" w:rsidP="00C430C2" w14:paraId="66062E9F" w14:textId="77777777">
      <w:pPr>
        <w:pStyle w:val="ATHeading2"/>
      </w:pPr>
      <w:bookmarkStart w:id="1" w:name="title"/>
      <w:r w:rsidRPr="00D27259">
        <w:t>Ciągłe ograniczanie przestrzeni społeczeństwa obywatelskiego i podstawowych wolności w Burkinie Faso</w:t>
      </w:r>
      <w:bookmarkEnd w:id="1"/>
    </w:p>
    <w:p w:rsidR="00C430C2" w:rsidRPr="00D27259" w:rsidP="00C430C2" w14:paraId="16377870" w14:textId="5A171723">
      <w:pPr>
        <w:rPr>
          <w:i/>
          <w:vanish/>
        </w:rPr>
      </w:pPr>
      <w:r>
        <w:rPr>
          <w:i/>
        </w:rPr>
        <w:fldChar w:fldCharType="begin"/>
      </w:r>
      <w:r w:rsidRPr="00D27259">
        <w:rPr>
          <w:i/>
        </w:rPr>
        <w:instrText xml:space="preserve"> TC"(</w:instrText>
      </w:r>
      <w:bookmarkStart w:id="2" w:name="DocNumber"/>
      <w:r w:rsidRPr="009D1BC7" w:rsidR="00F30DEB">
        <w:rPr>
          <w:i/>
        </w:rPr>
        <w:instrText>B10-0318</w:instrText>
      </w:r>
      <w:r w:rsidR="00F30DEB">
        <w:rPr>
          <w:i/>
        </w:rPr>
        <w:instrText>, 0320, 0321 0raz 0329</w:instrText>
      </w:r>
      <w:r w:rsidRPr="009D1BC7" w:rsidR="00F30DEB">
        <w:rPr>
          <w:i/>
        </w:rPr>
        <w:instrText>/2026</w:instrText>
      </w:r>
      <w:bookmarkEnd w:id="2"/>
      <w:r w:rsidRPr="00D2725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430C2" w:rsidRPr="00D27259" w:rsidP="00C430C2" w14:paraId="69140FAA" w14:textId="77777777">
      <w:pPr>
        <w:rPr>
          <w:vanish/>
        </w:rPr>
      </w:pPr>
      <w:bookmarkStart w:id="3" w:name="PE"/>
      <w:r w:rsidRPr="00D27259">
        <w:rPr>
          <w:vanish/>
        </w:rPr>
        <w:t>PE783.374</w:t>
      </w:r>
      <w:bookmarkEnd w:id="3"/>
    </w:p>
    <w:p w:rsidR="00C430C2" w:rsidRPr="00D27259" w:rsidP="00C430C2" w14:paraId="41A9E8B0" w14:textId="5A825A70">
      <w:pPr>
        <w:pStyle w:val="ATHeading3"/>
      </w:pPr>
      <w:bookmarkStart w:id="4" w:name="Sujet"/>
      <w:r w:rsidRPr="00D27259">
        <w:t xml:space="preserve">Rezolucja Parlamentu Europejskiego z dnia </w:t>
      </w:r>
      <w:r w:rsidR="00F30DEB">
        <w:t>18 czerwca</w:t>
      </w:r>
      <w:r w:rsidRPr="00D27259">
        <w:t xml:space="preserve"> 2026 r. w sprawie ciągłego ograniczania przestrzeni społeczeństwa obywatelskiego i podstawowych wolności w Burkinie Faso</w:t>
      </w:r>
      <w:bookmarkEnd w:id="4"/>
      <w:r w:rsidRPr="00D27259">
        <w:t xml:space="preserve"> </w:t>
      </w:r>
      <w:bookmarkStart w:id="5" w:name="References"/>
      <w:r w:rsidRPr="00D27259">
        <w:t>(2026/2767(RSP))</w:t>
      </w:r>
      <w:bookmarkEnd w:id="5"/>
    </w:p>
    <w:p w:rsidR="00B01262" w:rsidRPr="00D27259" w:rsidP="00B01262" w14:paraId="46C37F18" w14:textId="77777777">
      <w:pPr>
        <w:pStyle w:val="EPComma"/>
      </w:pPr>
      <w:bookmarkStart w:id="6" w:name="TextBodyBegin"/>
      <w:bookmarkEnd w:id="6"/>
      <w:r w:rsidRPr="00D27259">
        <w:rPr>
          <w:i/>
        </w:rPr>
        <w:t>Parlament Europejski</w:t>
      </w:r>
      <w:r w:rsidRPr="00D27259">
        <w:t>,</w:t>
      </w:r>
    </w:p>
    <w:p w:rsidR="00B01262" w:rsidRPr="00D27259" w:rsidP="00B01262" w14:paraId="54EFA358" w14:textId="77777777">
      <w:pPr>
        <w:pStyle w:val="NormalHanging12a"/>
      </w:pPr>
      <w:r w:rsidRPr="00D27259">
        <w:t>–</w:t>
      </w:r>
      <w:r w:rsidRPr="00D27259">
        <w:tab/>
        <w:t>uwzględniając art. 150 ust. 5 i art. 136 ust. 4 Regulaminu,</w:t>
      </w:r>
    </w:p>
    <w:p w:rsidR="00B01262" w:rsidRPr="00D27259" w:rsidP="00B01262" w14:paraId="085A48D4" w14:textId="77777777">
      <w:pPr>
        <w:pStyle w:val="NormalHanging12a"/>
        <w:rPr>
          <w:bCs/>
        </w:rPr>
      </w:pPr>
      <w:r w:rsidRPr="00D27259">
        <w:t>A.</w:t>
      </w:r>
      <w:r w:rsidRPr="00D27259">
        <w:tab/>
        <w:t>mając na uwadze, że od czasu wojskowego zamachu stanu w 2022 r. sytuacja polityczna, sytuacja w zakresie praw człowieka i bezpieczeństwa oraz przestrzeń obywatelska i demokratyczna w Burkinie Faso znacznie się pogorszyły;</w:t>
      </w:r>
    </w:p>
    <w:p w:rsidR="00B01262" w:rsidRPr="00D27259" w:rsidP="00B01262" w14:paraId="0AA8A909" w14:textId="77777777">
      <w:pPr>
        <w:pStyle w:val="NormalHanging12a"/>
      </w:pPr>
      <w:r w:rsidRPr="00D27259">
        <w:t>B.</w:t>
      </w:r>
      <w:r w:rsidRPr="00D27259">
        <w:tab/>
        <w:t>mając na uwadze, że rząd burkiński stosował zastraszanie, bezprawny pobór do wojska, wymuszone zaginięcia i arbitralne zatrzymania wobec dziennikarzy, oponentów, członków społeczeństwa obywatelskiego i sędziów; mając na uwadze, że społeczności Fulani są poddawane czystkom etnicznym; mając na uwadze, że ataki na media doprowadziły do zawieszenia kanałów telewizyjnych, stacji radiowych i gazet, w tym ostatnio TV5Monde;</w:t>
      </w:r>
    </w:p>
    <w:p w:rsidR="00B01262" w:rsidRPr="00D27259" w:rsidP="00B01262" w14:paraId="036984B5" w14:textId="77777777">
      <w:pPr>
        <w:pStyle w:val="NormalHanging12a"/>
      </w:pPr>
      <w:r w:rsidRPr="00D27259">
        <w:t>C.</w:t>
      </w:r>
      <w:r w:rsidRPr="00D27259">
        <w:tab/>
        <w:t>mając na uwadze, że rząd burkiński rozwiązał wszystkie partie polityczne i 118 organizacji społeczeństwa obywatelskiego, zawiesił setki stowarzyszeń, w tym Powszechny Związek Studentów Burkińskich, jeszcze bardziej zmniejszając przestrzeń społeczeństwa obywatelskiego, oraz nakazał organizacjom społeczeństwa obywatelskiego zamknięcie rachunków i przeniesienie ich do banku kontrolowanego przez państwo; mając na uwadze, że ustawa nr 011-2025/ALT o wolności zrzeszania się nakłada na organizacje społeczeństwa obywatelskiego restrykcyjne wymogi; mając na uwadze, że nowy kodeks osobowy i rodzinny kryminalizuje „promowanie” związków osób tej samej płci; mając na uwadze, że projekt ustawy przywraca karę śmierci za niektóre przestępstwa;</w:t>
      </w:r>
    </w:p>
    <w:p w:rsidR="00B01262" w:rsidRPr="00D27259" w:rsidP="00B01262" w14:paraId="0214BD58" w14:textId="77777777">
      <w:pPr>
        <w:pStyle w:val="NormalHanging12a"/>
      </w:pPr>
      <w:r w:rsidRPr="00D27259">
        <w:t>D.</w:t>
      </w:r>
      <w:r w:rsidRPr="00D27259">
        <w:tab/>
        <w:t xml:space="preserve">mając na uwadze, że sytuacja w zakresie bezpieczeństwa jest nadal dramatyczna w związku z brutalnymi atakami terrorystycznymi, w wyniku których miliony osób zostały przesiedlone i są zależne od pomocy humanitarnej; mając na uwadze, że partnerzy europejscy w znacznym stopniu wsparli wysiłki na rzecz zwalczania </w:t>
      </w:r>
      <w:r w:rsidRPr="00D27259">
        <w:t>terroryzmu w Sahelu, co wiązało się z ogromnymi kosztami ludzkimi;</w:t>
      </w:r>
    </w:p>
    <w:p w:rsidR="00B01262" w:rsidRPr="00D27259" w:rsidP="00B01262" w14:paraId="70B0852C" w14:textId="77777777">
      <w:pPr>
        <w:pStyle w:val="NormalHanging12a"/>
        <w:rPr>
          <w:bCs/>
        </w:rPr>
      </w:pPr>
      <w:r w:rsidRPr="00D27259">
        <w:t>1.</w:t>
      </w:r>
      <w:r w:rsidRPr="00D27259">
        <w:tab/>
        <w:t>zdecydowanie potępia rozwiązanie i zawieszenie organizacji społeczeństwa obywatelskiego; wzywa władze burkińskie do natychmiastowego wycofania tych środków i utrzymania wolności zrzeszania się, zgromadzeń i wypowiedzi, w tym poprzez zmianę ustawy nr 011-2025/ALT i innych powiązanych przepisów;</w:t>
      </w:r>
    </w:p>
    <w:p w:rsidR="00B01262" w:rsidRPr="00D27259" w:rsidP="00B01262" w14:paraId="3EF1EFA2" w14:textId="77777777">
      <w:pPr>
        <w:pStyle w:val="NormalHanging12a"/>
      </w:pPr>
      <w:r w:rsidRPr="00D27259">
        <w:t>2.</w:t>
      </w:r>
      <w:r w:rsidRPr="00D27259">
        <w:tab/>
        <w:t>wzywa do natychmiastowego zaprzestania zastraszania, bezprawnego poboru, nękania, arbitralnych zatrzymań i wymuszonych zaginięć podmiotów społeczeństwa obywatelskiego, dziennikarzy, obrońców praw człowieka, pracowników organizacji humanitarnych i przeciwników politycznych; wzywa do przeprowadzenia niezależnych dochodzeń w sprawie wszystkich zarzutów dotyczących przestępstw i naruszeń praw człowieka;</w:t>
      </w:r>
    </w:p>
    <w:p w:rsidR="00B01262" w:rsidRPr="00D27259" w:rsidP="00B01262" w14:paraId="6282F3FD" w14:textId="77777777">
      <w:pPr>
        <w:pStyle w:val="NormalHanging12a"/>
      </w:pPr>
      <w:r w:rsidRPr="00D27259">
        <w:t>3.</w:t>
      </w:r>
      <w:r w:rsidRPr="00D27259">
        <w:tab/>
        <w:t>wzywa władze burkińskie, aby stały na straży wolności prasy, zniosły ograniczenia nałożone na media oraz umożliwiły dziennikarzom swobodną i bezpieczną pracę;</w:t>
      </w:r>
    </w:p>
    <w:p w:rsidR="00B01262" w:rsidRPr="00D27259" w:rsidP="00B01262" w14:paraId="54D71E74" w14:textId="77777777">
      <w:pPr>
        <w:pStyle w:val="NormalHanging12a"/>
      </w:pPr>
      <w:r w:rsidRPr="00D27259">
        <w:t>4.</w:t>
      </w:r>
      <w:r w:rsidRPr="00D27259">
        <w:tab/>
        <w:t>wzywa władze burkińskie do przywrócenia organizacjom studenckim i partiom politycznym prawa do organizowania się oraz do przedstawienia wiarygodnego planu działania na rzecz wolnych i przejrzystych wyborów i rządów cywilnych;</w:t>
      </w:r>
    </w:p>
    <w:p w:rsidR="00B01262" w:rsidRPr="00D27259" w:rsidP="00B01262" w14:paraId="5BB83768" w14:textId="77777777">
      <w:pPr>
        <w:pStyle w:val="NormalHanging12a"/>
      </w:pPr>
      <w:r w:rsidRPr="00D27259">
        <w:t>5.</w:t>
      </w:r>
      <w:r w:rsidRPr="00D27259">
        <w:tab/>
        <w:t>wzywa władze burkińskie do nieprzywracania kary śmierci, do cofnięcia decyzji o wycofaniu się z Międzynarodowego Trybunału Karnego oraz do depenalizacji działań społeczeństwa obywatelskiego na rzecz przestrzegania praw człowieka, równości i niedyskryminacji z jakichkolwiek względów;</w:t>
      </w:r>
    </w:p>
    <w:p w:rsidR="00B01262" w:rsidRPr="00D27259" w:rsidP="00B01262" w14:paraId="453286DE" w14:textId="77777777">
      <w:pPr>
        <w:pStyle w:val="NormalHanging12a"/>
        <w:rPr>
          <w:bCs/>
        </w:rPr>
      </w:pPr>
      <w:r w:rsidRPr="00D27259">
        <w:t>6.</w:t>
      </w:r>
      <w:r w:rsidRPr="00D27259">
        <w:tab/>
        <w:t>potwierdza, że wysiłki na rzecz zwalczania terroryzmu muszą być prowadzone z pełnym poszanowaniem międzynarodowych praw człowieka i prawa humanitarnego; zauważa, że wydalenie sił europejskich i rozwiązanie partnerstw na rzecz bezpieczeństwa oraz dążenie do partnerstwa z Rosją nie przyniosło żadnych korzyści w zakresie bezpieczeństwa; wyraża zaniepokojenie rosnącymi wpływami Rosji w dziedzinie bezpieczeństwa i kwestii politycznych, co przyczynia się do łamania praw człowieka i autorytarnych tendencji; wzywa UE do koordynacji działań z partnerami afrykańskimi w celu sprostania wyzwaniom związanym z bezpieczeństwem i sprawowaniem rządów oraz zwiększenia wsparcia dla społeczeństwa obywatelskiego i podmiotów humanitarnych;</w:t>
      </w:r>
    </w:p>
    <w:p w:rsidR="00D27259" w:rsidRPr="00D27259" w:rsidP="00D27259" w14:paraId="3E6CD6AE" w14:textId="71E2E881">
      <w:pPr>
        <w:pStyle w:val="NormalHanging12a"/>
      </w:pPr>
      <w:r w:rsidRPr="00D27259">
        <w:t>7.</w:t>
      </w:r>
      <w:r w:rsidRPr="00D27259">
        <w:tab/>
        <w:t>zobowiązuje swoją przewodniczącą do przekazania niniejszej rezolucji Radzie, Komisji, wiceprzewodniczącej / wysokiej przedstawicielce, państwom członkowskim, władzom Burkiny Faso, Unii Afrykańskiej i Organizacji Narodów Zjednoczonych.</w:t>
      </w:r>
    </w:p>
    <w:p w:rsidR="00E365E1" w:rsidRPr="00D27259" w:rsidP="00C430C2" w14:paraId="7A6330D8" w14:textId="59D33C53"/>
    <w:sectPr w:rsidSect="00D272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7259" w14:paraId="7F5743C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7259" w14:paraId="4C16AC9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7259" w14:paraId="4D0370D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7259" w14:paraId="0C0D3C3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7259" w14:paraId="378D7B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7259" w14:paraId="185216A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2119292">
    <w:abstractNumId w:val="9"/>
  </w:num>
  <w:num w:numId="2" w16cid:durableId="1178691635">
    <w:abstractNumId w:val="9"/>
  </w:num>
  <w:num w:numId="3" w16cid:durableId="147327294">
    <w:abstractNumId w:val="7"/>
  </w:num>
  <w:num w:numId="4" w16cid:durableId="581186437">
    <w:abstractNumId w:val="7"/>
  </w:num>
  <w:num w:numId="5" w16cid:durableId="1847403068">
    <w:abstractNumId w:val="6"/>
  </w:num>
  <w:num w:numId="6" w16cid:durableId="508524809">
    <w:abstractNumId w:val="6"/>
  </w:num>
  <w:num w:numId="7" w16cid:durableId="2080397188">
    <w:abstractNumId w:val="5"/>
  </w:num>
  <w:num w:numId="8" w16cid:durableId="1918708384">
    <w:abstractNumId w:val="5"/>
  </w:num>
  <w:num w:numId="9" w16cid:durableId="1530755374">
    <w:abstractNumId w:val="4"/>
  </w:num>
  <w:num w:numId="10" w16cid:durableId="908614556">
    <w:abstractNumId w:val="4"/>
  </w:num>
  <w:num w:numId="11" w16cid:durableId="1710103376">
    <w:abstractNumId w:val="8"/>
  </w:num>
  <w:num w:numId="12" w16cid:durableId="1815442265">
    <w:abstractNumId w:val="8"/>
  </w:num>
  <w:num w:numId="13" w16cid:durableId="1202748463">
    <w:abstractNumId w:val="3"/>
  </w:num>
  <w:num w:numId="14" w16cid:durableId="1133256965">
    <w:abstractNumId w:val="3"/>
  </w:num>
  <w:num w:numId="15" w16cid:durableId="1222446176">
    <w:abstractNumId w:val="2"/>
  </w:num>
  <w:num w:numId="16" w16cid:durableId="1868978803">
    <w:abstractNumId w:val="2"/>
  </w:num>
  <w:num w:numId="17" w16cid:durableId="690255359">
    <w:abstractNumId w:val="1"/>
  </w:num>
  <w:num w:numId="18" w16cid:durableId="1300769082">
    <w:abstractNumId w:val="1"/>
  </w:num>
  <w:num w:numId="19" w16cid:durableId="1922836325">
    <w:abstractNumId w:val="0"/>
  </w:num>
  <w:num w:numId="20" w16cid:durableId="1061296229">
    <w:abstractNumId w:val="0"/>
  </w:num>
  <w:num w:numId="21" w16cid:durableId="1144470771">
    <w:abstractNumId w:val="9"/>
  </w:num>
  <w:num w:numId="22" w16cid:durableId="1295023692">
    <w:abstractNumId w:val="7"/>
  </w:num>
  <w:num w:numId="23" w16cid:durableId="426343670">
    <w:abstractNumId w:val="6"/>
  </w:num>
  <w:num w:numId="24" w16cid:durableId="1359308712">
    <w:abstractNumId w:val="5"/>
  </w:num>
  <w:num w:numId="25" w16cid:durableId="788595990">
    <w:abstractNumId w:val="4"/>
  </w:num>
  <w:num w:numId="26" w16cid:durableId="155998467">
    <w:abstractNumId w:val="8"/>
  </w:num>
  <w:num w:numId="27" w16cid:durableId="1235045114">
    <w:abstractNumId w:val="3"/>
  </w:num>
  <w:num w:numId="28" w16cid:durableId="1746298192">
    <w:abstractNumId w:val="2"/>
  </w:num>
  <w:num w:numId="29" w16cid:durableId="1409768889">
    <w:abstractNumId w:val="1"/>
  </w:num>
  <w:num w:numId="30" w16cid:durableId="2005165016">
    <w:abstractNumId w:val="0"/>
  </w:num>
  <w:num w:numId="31" w16cid:durableId="2078673242">
    <w:abstractNumId w:val="9"/>
  </w:num>
  <w:num w:numId="32" w16cid:durableId="276838122">
    <w:abstractNumId w:val="7"/>
  </w:num>
  <w:num w:numId="33" w16cid:durableId="1638682291">
    <w:abstractNumId w:val="6"/>
  </w:num>
  <w:num w:numId="34" w16cid:durableId="2090498802">
    <w:abstractNumId w:val="5"/>
  </w:num>
  <w:num w:numId="35" w16cid:durableId="172647216">
    <w:abstractNumId w:val="4"/>
  </w:num>
  <w:num w:numId="36" w16cid:durableId="334843754">
    <w:abstractNumId w:val="8"/>
  </w:num>
  <w:num w:numId="37" w16cid:durableId="1928271350">
    <w:abstractNumId w:val="3"/>
  </w:num>
  <w:num w:numId="38" w16cid:durableId="1087531682">
    <w:abstractNumId w:val="2"/>
  </w:num>
  <w:num w:numId="39" w16cid:durableId="1526021501">
    <w:abstractNumId w:val="1"/>
  </w:num>
  <w:num w:numId="40" w16cid:durableId="816845329">
    <w:abstractNumId w:val="0"/>
  </w:num>
  <w:num w:numId="41" w16cid:durableId="1011447747">
    <w:abstractNumId w:val="10"/>
  </w:num>
  <w:num w:numId="42" w16cid:durableId="1615015130">
    <w:abstractNumId w:val="10"/>
  </w:num>
  <w:num w:numId="43" w16cid:durableId="268511458">
    <w:abstractNumId w:val="10"/>
  </w:num>
  <w:num w:numId="44" w16cid:durableId="1491562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doNotDisplayPageBoundaries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91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BC7"/>
    <w:rsid w:val="00A1687D"/>
    <w:rsid w:val="00A43E52"/>
    <w:rsid w:val="00A4678D"/>
    <w:rsid w:val="00A778C7"/>
    <w:rsid w:val="00AB441E"/>
    <w:rsid w:val="00AB6293"/>
    <w:rsid w:val="00AE0928"/>
    <w:rsid w:val="00AF3B82"/>
    <w:rsid w:val="00B01262"/>
    <w:rsid w:val="00B12E95"/>
    <w:rsid w:val="00B22876"/>
    <w:rsid w:val="00B558F0"/>
    <w:rsid w:val="00BD48FE"/>
    <w:rsid w:val="00BD7BD8"/>
    <w:rsid w:val="00BE1651"/>
    <w:rsid w:val="00BE6ADC"/>
    <w:rsid w:val="00C05BFE"/>
    <w:rsid w:val="00C23CD4"/>
    <w:rsid w:val="00C430C2"/>
    <w:rsid w:val="00C61C0C"/>
    <w:rsid w:val="00C941CB"/>
    <w:rsid w:val="00CC2357"/>
    <w:rsid w:val="00CF071A"/>
    <w:rsid w:val="00D058B8"/>
    <w:rsid w:val="00D2725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DEB"/>
    <w:rsid w:val="00F5134D"/>
    <w:rsid w:val="00F74202"/>
    <w:rsid w:val="00F87713"/>
    <w:rsid w:val="00FB1AEE"/>
    <w:rsid w:val="00FB4360"/>
    <w:rsid w:val="00FD0C70"/>
  </w:rsids>
  <w:docVars>
    <w:docVar w:name="dvdocse" w:val="B10-0318/2026"/>
    <w:docVar w:name="dvlangue" w:val="PL"/>
    <w:docVar w:name="dvnumam" w:val="0"/>
    <w:docVar w:name="dvpe" w:val="783.374"/>
    <w:docVar w:name="dvtitre" w:val="Rezolucja Parlamentu Europejskiego z dnia  2026 r. w sprawie ciągłego ograniczania przestrzeni społeczeństwa obywatelskiego i podstawowych wolności w Burkinie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CEFD64"/>
  <w15:chartTrackingRefBased/>
  <w15:docId w15:val="{EA8729FB-1DA4-42AF-934B-4B991D2F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01262"/>
    <w:pPr>
      <w:spacing w:after="240"/>
      <w:ind w:left="567" w:hanging="567"/>
    </w:pPr>
  </w:style>
  <w:style w:type="paragraph" w:customStyle="1" w:styleId="EPComma">
    <w:name w:val="EPComma"/>
    <w:basedOn w:val="Normal"/>
    <w:rsid w:val="00B0126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0126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2026-06-18T13:36:00Z</dcterms:created>
  <dcterms:modified xsi:type="dcterms:W3CDTF">2026-06-18T13:36:00Z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