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B3AC10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FC23F2" w:rsidP="00425111" w14:paraId="2E922114" w14:textId="77777777">
            <w:pPr>
              <w:pStyle w:val="EPName"/>
              <w:rPr>
                <w:lang w:val="bg-BG"/>
              </w:rPr>
            </w:pPr>
            <w:r w:rsidRPr="00FC23F2">
              <w:rPr>
                <w:lang w:val="bg-BG"/>
              </w:rPr>
              <w:t>Европейски парламент</w:t>
            </w:r>
          </w:p>
          <w:p w:rsidR="00757DD5" w:rsidRPr="00FC23F2" w:rsidP="00425111" w14:paraId="370BC9D1" w14:textId="4D43CDA7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FC23F2">
              <w:rPr>
                <w:lang w:val="bg-BG"/>
              </w:rPr>
              <w:t>2024 – 2029</w:t>
            </w:r>
          </w:p>
        </w:tc>
        <w:tc>
          <w:tcPr>
            <w:tcW w:w="2268" w:type="dxa"/>
            <w:shd w:val="clear" w:color="auto" w:fill="auto"/>
          </w:tcPr>
          <w:p w:rsidR="00757DD5" w:rsidRPr="00FC23F2" w:rsidP="00425111" w14:paraId="5A4A30B0" w14:textId="77777777">
            <w:pPr>
              <w:pStyle w:val="EPLogo"/>
              <w:rPr>
                <w:lang w:val="bg-BG"/>
              </w:rPr>
            </w:pPr>
            <w:r w:rsidRPr="00FC23F2">
              <w:rPr>
                <w:noProof/>
                <w:lang w:val="bg-BG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FC23F2" w:rsidP="008E7632" w14:paraId="480B20E0" w14:textId="77777777">
      <w:pPr>
        <w:pStyle w:val="LineTop"/>
        <w:rPr>
          <w:lang w:val="bg-BG"/>
        </w:rPr>
      </w:pPr>
    </w:p>
    <w:p w:rsidR="008E7632" w:rsidRPr="00FC23F2" w:rsidP="008E7632" w14:paraId="6DF8FF39" w14:textId="77777777">
      <w:pPr>
        <w:pStyle w:val="ZSessionDoc"/>
        <w:rPr>
          <w:b/>
          <w:i w:val="0"/>
          <w:lang w:val="bg-BG"/>
        </w:rPr>
      </w:pPr>
      <w:r w:rsidRPr="00FC23F2">
        <w:rPr>
          <w:b/>
          <w:i w:val="0"/>
          <w:lang w:val="bg-BG"/>
        </w:rPr>
        <w:t>ПРИЕТИ ТЕКСТОВЕ</w:t>
      </w:r>
    </w:p>
    <w:p w:rsidR="008E7632" w:rsidRPr="00FC23F2" w:rsidP="008E7632" w14:paraId="04642359" w14:textId="77777777">
      <w:pPr>
        <w:pStyle w:val="LineBottom"/>
        <w:rPr>
          <w:lang w:val="bg-BG"/>
        </w:rPr>
      </w:pPr>
      <w:r w:rsidRPr="00FC23F2">
        <w:rPr>
          <w:rFonts w:cs="Arial"/>
          <w:i/>
          <w:sz w:val="20"/>
          <w:szCs w:val="22"/>
          <w:lang w:val="bg-BG"/>
        </w:rPr>
        <w:t xml:space="preserve"> </w:t>
      </w:r>
    </w:p>
    <w:p w:rsidR="009C4014" w:rsidRPr="00FC23F2" w:rsidP="008E7632" w14:paraId="10ACC7B4" w14:textId="76876D26">
      <w:pPr>
        <w:pStyle w:val="ATHeading1"/>
        <w:spacing w:before="480"/>
        <w:rPr>
          <w:lang w:val="bg-BG"/>
        </w:rPr>
      </w:pPr>
      <w:bookmarkStart w:id="0" w:name="TA_Heading"/>
      <w:r w:rsidRPr="00FC23F2">
        <w:rPr>
          <w:lang w:val="bg-BG"/>
        </w:rPr>
        <w:t>P10_TA(2026)</w:t>
      </w:r>
      <w:bookmarkStart w:id="1" w:name="TANumber"/>
      <w:bookmarkEnd w:id="0"/>
      <w:r w:rsidRPr="00FC23F2">
        <w:rPr>
          <w:lang w:val="bg-BG"/>
        </w:rPr>
        <w:t>0</w:t>
      </w:r>
      <w:r w:rsidR="00C15DC4">
        <w:rPr>
          <w:lang w:val="bg-BG"/>
        </w:rPr>
        <w:t>22</w:t>
      </w:r>
      <w:bookmarkEnd w:id="1"/>
      <w:r w:rsidR="00560AD5">
        <w:rPr>
          <w:lang w:val="bg-BG"/>
        </w:rPr>
        <w:t>6</w:t>
      </w:r>
    </w:p>
    <w:p w:rsidR="009C4014" w:rsidRPr="00FC23F2" w:rsidP="00FC23F2" w14:paraId="4F760AF9" w14:textId="75D88C38">
      <w:pPr>
        <w:pStyle w:val="ATHeading2"/>
        <w:rPr>
          <w:lang w:val="bg-BG"/>
        </w:rPr>
      </w:pPr>
      <w:r w:rsidRPr="001769B0">
        <w:rPr>
          <w:lang w:val="bg-BG"/>
        </w:rPr>
        <w:t>Превоз на отпадъци: износ на смесени битови отпадъци за оползотворяване в Швейцария</w:t>
      </w:r>
    </w:p>
    <w:p w:rsidR="009C4014" w:rsidRPr="00FC23F2" w:rsidP="009C4014" w14:paraId="7E8FD057" w14:textId="4BA65280">
      <w:pPr>
        <w:rPr>
          <w:i/>
          <w:vanish/>
          <w:lang w:val="bg-BG"/>
        </w:rPr>
      </w:pPr>
      <w:r>
        <w:rPr>
          <w:i/>
          <w:lang w:val="bg-BG"/>
        </w:rPr>
        <w:fldChar w:fldCharType="begin"/>
      </w:r>
      <w:r w:rsidRPr="00FC23F2">
        <w:rPr>
          <w:i/>
          <w:lang w:val="bg-BG"/>
        </w:rPr>
        <w:instrText xml:space="preserve"> TC"</w:instrText>
      </w:r>
      <w:bookmarkStart w:id="2" w:name="DocNumber"/>
      <w:r w:rsidRPr="00FC23F2" w:rsidR="00FC23F2">
        <w:rPr>
          <w:i/>
          <w:lang w:val="bg-BG"/>
        </w:rPr>
        <w:instrText>(C10-0</w:instrText>
      </w:r>
      <w:r w:rsidR="001769B0">
        <w:rPr>
          <w:i/>
          <w:lang w:val="bg-BG"/>
        </w:rPr>
        <w:instrText>108</w:instrText>
      </w:r>
      <w:r w:rsidRPr="00FC23F2" w:rsidR="00FC23F2">
        <w:rPr>
          <w:i/>
          <w:lang w:val="bg-BG"/>
        </w:rPr>
        <w:instrText>/202</w:instrText>
      </w:r>
      <w:r w:rsidR="001769B0">
        <w:rPr>
          <w:i/>
          <w:lang w:val="bg-BG"/>
        </w:rPr>
        <w:instrText>6</w:instrText>
      </w:r>
      <w:r w:rsidRPr="00FC23F2" w:rsidR="00FC23F2">
        <w:rPr>
          <w:i/>
          <w:lang w:val="bg-BG"/>
        </w:rPr>
        <w:instrText>)</w:instrText>
      </w:r>
      <w:bookmarkEnd w:id="2"/>
      <w:r w:rsidRPr="00FC23F2">
        <w:rPr>
          <w:i/>
          <w:lang w:val="bg-BG"/>
        </w:rPr>
        <w:instrText xml:space="preserve">"\l3 \n&gt; \* MERGEFORMAT </w:instrText>
      </w:r>
      <w:r>
        <w:rPr>
          <w:i/>
          <w:lang w:val="bg-BG"/>
        </w:rPr>
        <w:fldChar w:fldCharType="end"/>
      </w:r>
    </w:p>
    <w:p w:rsidR="00FC23F2" w:rsidRPr="00FC23F2" w:rsidP="009C4014" w14:paraId="6E388A4C" w14:textId="77777777">
      <w:pPr>
        <w:rPr>
          <w:vanish/>
          <w:lang w:val="bg-BG"/>
        </w:rPr>
      </w:pPr>
      <w:bookmarkStart w:id="3" w:name="Commission"/>
      <w:r w:rsidRPr="00FC23F2">
        <w:rPr>
          <w:vanish/>
          <w:lang w:val="bg-BG"/>
        </w:rPr>
        <w:t>Комисия по околна среда, климат и безопасност на храните</w:t>
      </w:r>
    </w:p>
    <w:p w:rsidR="009C4014" w:rsidRPr="00FC23F2" w:rsidP="009C4014" w14:paraId="0A1E66A5" w14:textId="5FA216EF">
      <w:pPr>
        <w:rPr>
          <w:vanish/>
          <w:lang w:val="bg-BG"/>
        </w:rPr>
      </w:pPr>
      <w:bookmarkStart w:id="4" w:name="PE"/>
      <w:bookmarkEnd w:id="3"/>
      <w:r w:rsidRPr="00FC23F2">
        <w:rPr>
          <w:vanish/>
          <w:lang w:val="bg-BG"/>
        </w:rPr>
        <w:t>PE7</w:t>
      </w:r>
      <w:r w:rsidR="001769B0">
        <w:rPr>
          <w:vanish/>
          <w:lang w:val="bg-BG"/>
        </w:rPr>
        <w:t>89</w:t>
      </w:r>
      <w:r w:rsidRPr="00FC23F2">
        <w:rPr>
          <w:vanish/>
          <w:lang w:val="bg-BG"/>
        </w:rPr>
        <w:t>.</w:t>
      </w:r>
      <w:r w:rsidR="001769B0">
        <w:rPr>
          <w:vanish/>
          <w:lang w:val="bg-BG"/>
        </w:rPr>
        <w:t>799</w:t>
      </w:r>
      <w:bookmarkEnd w:id="4"/>
    </w:p>
    <w:p w:rsidR="00FC23F2" w:rsidRPr="00FC23F2" w:rsidP="00FC23F2" w14:paraId="48E58CC2" w14:textId="23928A6D">
      <w:pPr>
        <w:pStyle w:val="ATHeading3"/>
        <w:rPr>
          <w:lang w:val="bg-BG"/>
        </w:rPr>
      </w:pPr>
      <w:bookmarkStart w:id="5" w:name="Sujet"/>
      <w:r w:rsidRPr="00FC23F2">
        <w:rPr>
          <w:lang w:val="bg-BG"/>
        </w:rPr>
        <w:t xml:space="preserve">Законодателна резолюция на Европейския парламент от </w:t>
      </w:r>
      <w:r w:rsidRPr="00FC23F2" w:rsidR="000A6F35">
        <w:rPr>
          <w:lang w:val="bg-BG"/>
        </w:rPr>
        <w:t>1</w:t>
      </w:r>
      <w:r w:rsidRPr="00012963" w:rsidR="000A6F35">
        <w:rPr>
          <w:lang w:val="ru-RU"/>
        </w:rPr>
        <w:t>8</w:t>
      </w:r>
      <w:r w:rsidRPr="00FC23F2" w:rsidR="000A6F35">
        <w:rPr>
          <w:lang w:val="bg-BG"/>
        </w:rPr>
        <w:t xml:space="preserve"> </w:t>
      </w:r>
      <w:r w:rsidR="000A6F35">
        <w:rPr>
          <w:lang w:val="bg-BG"/>
        </w:rPr>
        <w:t>юни</w:t>
      </w:r>
      <w:r w:rsidRPr="00FC23F2" w:rsidR="000A6F35">
        <w:rPr>
          <w:lang w:val="bg-BG"/>
        </w:rPr>
        <w:t xml:space="preserve"> </w:t>
      </w:r>
      <w:r w:rsidRPr="00FC23F2">
        <w:rPr>
          <w:lang w:val="bg-BG"/>
        </w:rPr>
        <w:t xml:space="preserve">2026 г. относно предложението за регламент на Европеския парламент и на Съвета </w:t>
      </w:r>
      <w:r w:rsidRPr="001769B0" w:rsidR="001769B0">
        <w:rPr>
          <w:lang w:val="bg-BG"/>
        </w:rPr>
        <w:t>за изменение на Регламент (ЕС) 2024/1157 по отношение на забраната за износ на смесени битови отпадъци, предназначени за оползотворяване</w:t>
      </w:r>
      <w:r w:rsidRPr="00FC23F2">
        <w:rPr>
          <w:lang w:val="bg-BG"/>
        </w:rPr>
        <w:t xml:space="preserve"> </w:t>
      </w:r>
      <w:bookmarkStart w:id="6" w:name="References"/>
      <w:bookmarkEnd w:id="5"/>
      <w:r w:rsidRPr="001769B0" w:rsidR="001769B0">
        <w:rPr>
          <w:lang w:val="bg-BG"/>
        </w:rPr>
        <w:t>(COM(2026)0183 – C10-0108/2026 – 2026/0099(COD))</w:t>
      </w:r>
    </w:p>
    <w:p w:rsidR="009C4014" w:rsidRPr="00FC23F2" w:rsidP="00FC23F2" w14:paraId="4B54841C" w14:textId="43A91709">
      <w:pPr>
        <w:pStyle w:val="ATHeading3"/>
        <w:rPr>
          <w:lang w:val="bg-BG"/>
        </w:rPr>
      </w:pPr>
      <w:r w:rsidRPr="00FC23F2">
        <w:rPr>
          <w:lang w:val="bg-BG"/>
        </w:rPr>
        <w:t>(Обикновена законодателна процедура: първо четене)</w:t>
      </w:r>
      <w:bookmarkEnd w:id="6"/>
    </w:p>
    <w:p w:rsidR="006E5420" w:rsidRPr="00FC23F2" w:rsidP="008B1C2E" w14:paraId="045CFA8C" w14:textId="77777777">
      <w:pPr>
        <w:pStyle w:val="Normal12"/>
        <w:spacing w:before="360"/>
        <w:rPr>
          <w:i/>
          <w:szCs w:val="24"/>
          <w:lang w:val="bg-BG"/>
        </w:rPr>
      </w:pPr>
      <w:bookmarkStart w:id="7" w:name="TextBodyBegin"/>
      <w:bookmarkEnd w:id="7"/>
      <w:r w:rsidRPr="00FC23F2">
        <w:rPr>
          <w:i/>
          <w:szCs w:val="24"/>
          <w:lang w:val="bg-BG"/>
        </w:rPr>
        <w:t>Европейският парламент,</w:t>
      </w:r>
    </w:p>
    <w:p w:rsidR="00FC23F2" w:rsidRPr="00FC23F2" w:rsidP="00FC23F2" w14:paraId="034EB892" w14:textId="4CB9FB54">
      <w:pPr>
        <w:pStyle w:val="Normal12Hanging"/>
        <w:widowControl/>
        <w:ind w:left="567" w:hanging="567"/>
        <w:rPr>
          <w:lang w:val="bg-BG"/>
        </w:rPr>
      </w:pPr>
      <w:r w:rsidRPr="00FC23F2">
        <w:rPr>
          <w:lang w:val="bg-BG"/>
        </w:rPr>
        <w:t>–</w:t>
      </w:r>
      <w:r w:rsidRPr="00FC23F2">
        <w:rPr>
          <w:lang w:val="bg-BG"/>
        </w:rPr>
        <w:tab/>
      </w:r>
      <w:r w:rsidRPr="00FC23F2">
        <w:rPr>
          <w:szCs w:val="24"/>
          <w:lang w:val="bg-BG"/>
        </w:rPr>
        <w:t xml:space="preserve">като взе предвид предложението на Комисията до Парламента и до Съвета </w:t>
      </w:r>
      <w:r w:rsidRPr="001769B0" w:rsidR="001769B0">
        <w:rPr>
          <w:lang w:val="bg-BG"/>
        </w:rPr>
        <w:t>(COM(2026)0183)</w:t>
      </w:r>
      <w:r w:rsidRPr="00FC23F2">
        <w:rPr>
          <w:lang w:val="bg-BG"/>
        </w:rPr>
        <w:t>,</w:t>
      </w:r>
    </w:p>
    <w:p w:rsidR="009F28EF" w:rsidRPr="00FC23F2" w:rsidP="00FC23F2" w14:paraId="7E046E33" w14:textId="39071875">
      <w:pPr>
        <w:pStyle w:val="Normal12"/>
        <w:ind w:left="567" w:hanging="567"/>
        <w:rPr>
          <w:lang w:val="bg-BG"/>
        </w:rPr>
      </w:pPr>
      <w:r w:rsidRPr="00FC23F2">
        <w:rPr>
          <w:szCs w:val="24"/>
          <w:lang w:val="bg-BG"/>
        </w:rPr>
        <w:t>–</w:t>
      </w:r>
      <w:r w:rsidRPr="00FC23F2">
        <w:rPr>
          <w:szCs w:val="24"/>
          <w:lang w:val="bg-BG"/>
        </w:rPr>
        <w:tab/>
      </w:r>
      <w:r w:rsidRPr="00FC23F2">
        <w:rPr>
          <w:lang w:val="bg-BG"/>
        </w:rPr>
        <w:t xml:space="preserve">като взе предвид член 294, параграф 2 и член 192, параграф 1 от Договора за функционирането на Европейския съюз, съгласно които Комисията е внесла предложението в Парламента </w:t>
      </w:r>
      <w:r w:rsidRPr="001769B0" w:rsidR="001769B0">
        <w:rPr>
          <w:lang w:val="bg-BG"/>
        </w:rPr>
        <w:t>(C10-0108/2026)</w:t>
      </w:r>
      <w:r w:rsidRPr="00FC23F2">
        <w:rPr>
          <w:lang w:val="bg-BG"/>
        </w:rPr>
        <w:t xml:space="preserve">, </w:t>
      </w:r>
    </w:p>
    <w:p w:rsidR="00FC23F2" w:rsidRPr="00FC23F2" w:rsidP="00FC23F2" w14:paraId="2346F1CB" w14:textId="0B6DC05C">
      <w:pPr>
        <w:pStyle w:val="Normal12"/>
        <w:ind w:left="567" w:hanging="567"/>
        <w:rPr>
          <w:lang w:val="bg-BG"/>
        </w:rPr>
      </w:pPr>
      <w:r w:rsidRPr="00FC23F2">
        <w:rPr>
          <w:lang w:val="bg-BG"/>
        </w:rPr>
        <w:t>–</w:t>
      </w:r>
      <w:r w:rsidRPr="00FC23F2">
        <w:rPr>
          <w:lang w:val="bg-BG"/>
        </w:rPr>
        <w:tab/>
        <w:t>като взе предвид член 294, параграф 3 от Договора за функционирането на Европейския съюз,</w:t>
      </w:r>
    </w:p>
    <w:p w:rsidR="00FC23F2" w:rsidRPr="00FC23F2" w:rsidP="00FC23F2" w14:paraId="21F9D70A" w14:textId="1E44FAF3">
      <w:pPr>
        <w:pStyle w:val="Normal12"/>
        <w:ind w:left="567" w:hanging="567"/>
        <w:rPr>
          <w:lang w:val="bg-BG"/>
        </w:rPr>
      </w:pPr>
      <w:r w:rsidRPr="00FC23F2">
        <w:rPr>
          <w:lang w:val="bg-BG"/>
        </w:rPr>
        <w:t>–</w:t>
      </w:r>
      <w:r w:rsidRPr="00FC23F2">
        <w:rPr>
          <w:lang w:val="bg-BG"/>
        </w:rPr>
        <w:tab/>
      </w:r>
      <w:r w:rsidRPr="00FC23F2" w:rsidR="001769B0">
        <w:rPr>
          <w:lang w:val="bg-BG"/>
        </w:rPr>
        <w:t xml:space="preserve">като взе предвид </w:t>
      </w:r>
      <w:r w:rsidR="001769B0">
        <w:rPr>
          <w:lang w:val="bg-BG"/>
        </w:rPr>
        <w:t>становището на</w:t>
      </w:r>
      <w:r w:rsidRPr="00FC23F2">
        <w:rPr>
          <w:lang w:val="bg-BG"/>
        </w:rPr>
        <w:t xml:space="preserve"> </w:t>
      </w:r>
      <w:r w:rsidRPr="00FC23F2">
        <w:rPr>
          <w:szCs w:val="24"/>
          <w:lang w:val="bg-BG"/>
        </w:rPr>
        <w:t>Европейския икономически и социален комитет</w:t>
      </w:r>
      <w:r w:rsidR="001769B0">
        <w:rPr>
          <w:szCs w:val="24"/>
          <w:lang w:val="bg-BG"/>
        </w:rPr>
        <w:t xml:space="preserve"> от 17 юни 2026</w:t>
      </w:r>
      <w:r w:rsidR="000A6F35">
        <w:rPr>
          <w:szCs w:val="24"/>
          <w:lang w:val="bg-BG"/>
        </w:rPr>
        <w:t xml:space="preserve"> г.</w:t>
      </w:r>
      <w:r>
        <w:rPr>
          <w:rStyle w:val="FootnoteReference"/>
          <w:szCs w:val="24"/>
          <w:lang w:val="bg-BG"/>
        </w:rPr>
        <w:footnoteReference w:id="2"/>
      </w:r>
      <w:r w:rsidRPr="00FC23F2">
        <w:rPr>
          <w:lang w:val="bg-BG"/>
        </w:rPr>
        <w:t>,</w:t>
      </w:r>
    </w:p>
    <w:p w:rsidR="00FC23F2" w:rsidRPr="00FC23F2" w:rsidP="00FC23F2" w14:paraId="099808BE" w14:textId="79FC321A">
      <w:pPr>
        <w:pStyle w:val="Normal12"/>
        <w:ind w:left="567" w:hanging="567"/>
        <w:rPr>
          <w:lang w:val="bg-BG"/>
        </w:rPr>
      </w:pPr>
      <w:r w:rsidRPr="00FC23F2">
        <w:rPr>
          <w:lang w:val="bg-BG"/>
        </w:rPr>
        <w:t>–</w:t>
      </w:r>
      <w:r w:rsidRPr="00FC23F2">
        <w:rPr>
          <w:lang w:val="bg-BG"/>
        </w:rPr>
        <w:tab/>
        <w:t>след консултация с Комитета на регионите,</w:t>
      </w:r>
    </w:p>
    <w:p w:rsidR="00FC23F2" w:rsidRPr="00FC23F2" w:rsidP="00FC23F2" w14:paraId="528D59E4" w14:textId="67374383">
      <w:pPr>
        <w:pStyle w:val="Normal12"/>
        <w:ind w:left="567" w:hanging="567"/>
        <w:rPr>
          <w:lang w:val="bg-BG"/>
        </w:rPr>
      </w:pPr>
      <w:r w:rsidRPr="00FC23F2">
        <w:rPr>
          <w:lang w:val="bg-BG"/>
        </w:rPr>
        <w:t>–</w:t>
      </w:r>
      <w:r w:rsidRPr="00FC23F2">
        <w:rPr>
          <w:lang w:val="bg-BG"/>
        </w:rPr>
        <w:tab/>
        <w:t>като взе предвид членове 60 и 170 от своя Правилник за дейността,</w:t>
      </w:r>
    </w:p>
    <w:p w:rsidR="00FC23F2" w:rsidRPr="00FC23F2" w:rsidP="00FC23F2" w14:paraId="1C3D352E" w14:textId="597647E9">
      <w:pPr>
        <w:pStyle w:val="Normal12"/>
        <w:ind w:left="567" w:hanging="567"/>
        <w:rPr>
          <w:szCs w:val="24"/>
          <w:lang w:val="bg-BG"/>
        </w:rPr>
      </w:pPr>
      <w:r w:rsidRPr="00FC23F2">
        <w:rPr>
          <w:lang w:val="bg-BG"/>
        </w:rPr>
        <w:t>1.</w:t>
      </w:r>
      <w:r w:rsidRPr="00FC23F2">
        <w:rPr>
          <w:lang w:val="bg-BG"/>
        </w:rPr>
        <w:tab/>
      </w:r>
      <w:r w:rsidRPr="00FC23F2">
        <w:rPr>
          <w:szCs w:val="24"/>
          <w:lang w:val="bg-BG"/>
        </w:rPr>
        <w:t>приема изложената по-долу позиция на първо четене;</w:t>
      </w:r>
    </w:p>
    <w:p w:rsidR="00FC23F2" w:rsidRPr="00FC23F2" w:rsidP="00FC23F2" w14:paraId="17E5EEA3" w14:textId="5FF70797">
      <w:pPr>
        <w:pStyle w:val="Normal12"/>
        <w:ind w:left="567" w:hanging="567"/>
        <w:rPr>
          <w:szCs w:val="24"/>
          <w:lang w:val="bg-BG"/>
        </w:rPr>
      </w:pPr>
      <w:r w:rsidRPr="00FC23F2">
        <w:rPr>
          <w:szCs w:val="24"/>
          <w:lang w:val="bg-BG"/>
        </w:rPr>
        <w:t>2.</w:t>
      </w:r>
      <w:r w:rsidRPr="00FC23F2">
        <w:rPr>
          <w:szCs w:val="24"/>
          <w:lang w:val="bg-BG"/>
        </w:rPr>
        <w:tab/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</w:t>
      </w:r>
      <w:r w:rsidRPr="00FC23F2">
        <w:rPr>
          <w:szCs w:val="24"/>
          <w:lang w:val="bg-BG"/>
        </w:rPr>
        <w:t xml:space="preserve">това предложение; </w:t>
      </w:r>
    </w:p>
    <w:p w:rsidR="00FC23F2" w:rsidP="00FC23F2" w14:paraId="2CE7739B" w14:textId="6BF4488B">
      <w:pPr>
        <w:pStyle w:val="Normal12"/>
        <w:ind w:left="567" w:hanging="567"/>
        <w:rPr>
          <w:lang w:val="bg-BG"/>
        </w:rPr>
      </w:pPr>
      <w:r w:rsidRPr="00FC23F2">
        <w:rPr>
          <w:szCs w:val="24"/>
          <w:lang w:val="bg-BG"/>
        </w:rPr>
        <w:t>3.</w:t>
      </w:r>
      <w:r w:rsidRPr="00FC23F2">
        <w:rPr>
          <w:szCs w:val="24"/>
          <w:lang w:val="bg-BG"/>
        </w:rPr>
        <w:tab/>
      </w:r>
      <w:r w:rsidRPr="00FC23F2">
        <w:rPr>
          <w:lang w:val="bg-BG"/>
        </w:rPr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550184" w:rsidP="00FC23F2" w14:paraId="524535F3" w14:textId="77777777">
      <w:pPr>
        <w:pStyle w:val="Normal12"/>
        <w:ind w:left="567" w:hanging="567"/>
        <w:rPr>
          <w:szCs w:val="24"/>
          <w:lang w:val="bg-BG"/>
        </w:rPr>
        <w:sectPr w:rsidSect="00666512">
          <w:footerReference w:type="even" r:id="rId7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1769B0" w:rsidP="00550184" w14:paraId="518921FB" w14:textId="77777777">
      <w:pPr>
        <w:pStyle w:val="Normal12"/>
        <w:rPr>
          <w:rFonts w:eastAsia="Calibri"/>
          <w:b/>
          <w:bCs/>
          <w:color w:val="000000"/>
          <w:szCs w:val="24"/>
          <w:lang w:val="bg-BG"/>
        </w:rPr>
      </w:pPr>
      <w:r w:rsidRPr="001769B0">
        <w:rPr>
          <w:rFonts w:eastAsia="Calibri"/>
          <w:b/>
          <w:bCs/>
          <w:color w:val="000000"/>
          <w:szCs w:val="24"/>
        </w:rPr>
        <w:t>P</w:t>
      </w:r>
      <w:r w:rsidRPr="00012963">
        <w:rPr>
          <w:rFonts w:eastAsia="Calibri"/>
          <w:b/>
          <w:bCs/>
          <w:color w:val="000000"/>
          <w:szCs w:val="24"/>
          <w:lang w:val="ru-RU"/>
        </w:rPr>
        <w:t>10_</w:t>
      </w:r>
      <w:r w:rsidRPr="001769B0">
        <w:rPr>
          <w:rFonts w:eastAsia="Calibri"/>
          <w:b/>
          <w:bCs/>
          <w:color w:val="000000"/>
          <w:szCs w:val="24"/>
        </w:rPr>
        <w:t>TC</w:t>
      </w:r>
      <w:r w:rsidRPr="00012963">
        <w:rPr>
          <w:rFonts w:eastAsia="Calibri"/>
          <w:b/>
          <w:bCs/>
          <w:color w:val="000000"/>
          <w:szCs w:val="24"/>
          <w:lang w:val="ru-RU"/>
        </w:rPr>
        <w:t>1-</w:t>
      </w:r>
      <w:r w:rsidRPr="001769B0">
        <w:rPr>
          <w:rFonts w:eastAsia="Calibri"/>
          <w:b/>
          <w:bCs/>
          <w:color w:val="000000"/>
          <w:szCs w:val="24"/>
        </w:rPr>
        <w:t>COD</w:t>
      </w:r>
      <w:r w:rsidRPr="00012963">
        <w:rPr>
          <w:rFonts w:eastAsia="Calibri"/>
          <w:b/>
          <w:bCs/>
          <w:color w:val="000000"/>
          <w:szCs w:val="24"/>
          <w:lang w:val="ru-RU"/>
        </w:rPr>
        <w:t>(</w:t>
      </w:r>
      <w:r w:rsidRPr="00012963">
        <w:rPr>
          <w:rFonts w:eastAsia="Calibri"/>
          <w:b/>
          <w:bCs/>
          <w:color w:val="000000"/>
          <w:szCs w:val="24"/>
          <w:lang w:val="ru-RU"/>
        </w:rPr>
        <w:t>2026)0099</w:t>
      </w:r>
    </w:p>
    <w:p w:rsidR="001769B0" w:rsidP="001769B0" w14:paraId="4332E788" w14:textId="58FD837C">
      <w:pPr>
        <w:pStyle w:val="Normal12"/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  <w:lang w:val="bg-BG"/>
        </w:rPr>
        <w:t xml:space="preserve">Позиция на Европейския парламент, приета на първо </w:t>
      </w:r>
      <w:r w:rsidRPr="00550184">
        <w:rPr>
          <w:b/>
          <w:szCs w:val="24"/>
          <w:lang w:val="bg-BG"/>
        </w:rPr>
        <w:t>четене на 1</w:t>
      </w:r>
      <w:r>
        <w:rPr>
          <w:b/>
          <w:szCs w:val="24"/>
          <w:lang w:val="bg-BG"/>
        </w:rPr>
        <w:t>8</w:t>
      </w:r>
      <w:r w:rsidRPr="00550184">
        <w:rPr>
          <w:b/>
          <w:szCs w:val="24"/>
          <w:lang w:val="bg-BG"/>
        </w:rPr>
        <w:t xml:space="preserve"> </w:t>
      </w:r>
      <w:r>
        <w:rPr>
          <w:b/>
          <w:szCs w:val="24"/>
          <w:lang w:val="bg-BG"/>
        </w:rPr>
        <w:t>юни</w:t>
      </w:r>
      <w:r w:rsidRPr="00012963">
        <w:rPr>
          <w:b/>
          <w:szCs w:val="24"/>
          <w:lang w:val="ru-RU"/>
        </w:rPr>
        <w:t xml:space="preserve"> </w:t>
      </w:r>
      <w:r w:rsidRPr="00550184">
        <w:rPr>
          <w:b/>
          <w:szCs w:val="24"/>
          <w:lang w:val="bg-BG"/>
        </w:rPr>
        <w:t>2026 г. с оглед на приемането на Регламент (ЕС) 2026/... на Европе</w:t>
      </w:r>
      <w:r w:rsidRPr="00900F1D">
        <w:rPr>
          <w:b/>
          <w:szCs w:val="24"/>
          <w:lang w:val="bg-BG"/>
        </w:rPr>
        <w:t xml:space="preserve">йския парламент и на Съвета </w:t>
      </w:r>
      <w:r w:rsidRPr="001769B0">
        <w:rPr>
          <w:rFonts w:eastAsia="Calibri"/>
          <w:b/>
          <w:noProof/>
          <w:color w:val="000000"/>
          <w:szCs w:val="22"/>
          <w:lang w:val="bg-BG" w:eastAsia="en-US"/>
        </w:rPr>
        <w:t>за изменение на Регламент (ЕС) 2024/1157 по отношение на забраната за износ на смесени битови отпадъци, предназначени за оползотворяване</w:t>
      </w:r>
    </w:p>
    <w:p w:rsidR="00C8476F" w:rsidRPr="00C8476F" w:rsidP="001769B0" w14:paraId="302B17FB" w14:textId="0594A607">
      <w:pPr>
        <w:pStyle w:val="Normal12"/>
        <w:rPr>
          <w:b/>
          <w:szCs w:val="24"/>
        </w:rPr>
      </w:pPr>
      <w:r w:rsidRPr="0051470D">
        <w:rPr>
          <w:i/>
          <w:szCs w:val="24"/>
          <w:lang w:val="bg-BG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C8476F">
        <w:rPr>
          <w:i/>
          <w:szCs w:val="24"/>
          <w:lang w:val="bg-BG"/>
        </w:rPr>
        <w:t xml:space="preserve">законодателен акт, </w:t>
      </w:r>
      <w:r w:rsidRPr="00C8476F">
        <w:rPr>
          <w:i/>
          <w:szCs w:val="24"/>
          <w:lang w:val="lt-LT"/>
        </w:rPr>
        <w:t>Регламент</w:t>
      </w:r>
      <w:r w:rsidRPr="00C8476F">
        <w:rPr>
          <w:i/>
          <w:szCs w:val="24"/>
          <w:lang w:val="lt-LT"/>
        </w:rPr>
        <w:t xml:space="preserve"> (ЕС) 2026/1703.)</w:t>
      </w:r>
    </w:p>
    <w:sectPr w:rsidSect="001769B0">
      <w:footerReference w:type="even" r:id="rId8"/>
      <w:footerReference w:type="default" r:id="rId9"/>
      <w:footerReference w:type="first" r:id="rId10"/>
      <w:footnotePr>
        <w:numRestart w:val="eachSect"/>
      </w:footnotePr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BF9549B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0184" w:rsidRPr="00EB56F1" w:rsidP="00EB56F1" w14:paraId="29483088" w14:textId="77777777">
    <w:pPr>
      <w:pStyle w:val="Footer"/>
      <w:tabs>
        <w:tab w:val="center" w:pos="4819"/>
        <w:tab w:val="right" w:pos="8504"/>
        <w:tab w:val="right" w:pos="9638"/>
        <w:tab w:val="clear" w:pos="9639"/>
      </w:tabs>
    </w:pPr>
    <w:r>
      <w:t>PE-CONS No/YY</w:t>
    </w:r>
    <w:r>
      <w:tab/>
      <w:t>YYYY/NNNN(COD)</w:t>
    </w:r>
    <w:r>
      <w:tab/>
      <w:t>XYZ-AB/OP-QR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0184" w:rsidRPr="00550184" w:rsidP="00550184" w14:paraId="65739652" w14:textId="38DE32C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50184" w:rsidRPr="00EB56F1" w:rsidP="00EB56F1" w14:paraId="1AA8F91B" w14:textId="77777777">
    <w:pPr>
      <w:pStyle w:val="Footer"/>
      <w:tabs>
        <w:tab w:val="center" w:pos="4819"/>
        <w:tab w:val="right" w:pos="8504"/>
        <w:tab w:val="right" w:pos="9638"/>
        <w:tab w:val="clear" w:pos="9639"/>
      </w:tabs>
    </w:pPr>
    <w:r>
      <w:t>PE-CONS No/YY</w:t>
    </w:r>
    <w:r>
      <w:tab/>
      <w:t>YYYY/NNNN(COD)</w:t>
    </w:r>
    <w:r>
      <w:tab/>
      <w:t>XYZ-AB/OP-QR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C23F2" w:rsidP="009C4014" w14:paraId="75A71C6A" w14:textId="77777777">
      <w:r>
        <w:separator/>
      </w:r>
    </w:p>
  </w:footnote>
  <w:footnote w:type="continuationSeparator" w:id="1">
    <w:p w:rsidR="00FC23F2" w:rsidP="009C4014" w14:paraId="61B17242" w14:textId="77777777">
      <w:r>
        <w:continuationSeparator/>
      </w:r>
    </w:p>
  </w:footnote>
  <w:footnote w:id="2">
    <w:p w:rsidR="001769B0" w:rsidRPr="001769B0" w:rsidP="001769B0" w14:paraId="6D6FBE82" w14:textId="764E4FB2">
      <w:pPr>
        <w:pStyle w:val="FootnoteText"/>
        <w:ind w:left="567" w:hanging="567"/>
        <w:rPr>
          <w:lang w:val="bg-BG"/>
        </w:rPr>
      </w:pPr>
      <w:r w:rsidRPr="001769B0">
        <w:rPr>
          <w:rStyle w:val="FootnoteReference"/>
          <w:lang w:val="bg-BG"/>
        </w:rPr>
        <w:footnoteRef/>
      </w:r>
      <w:r w:rsidRPr="001769B0">
        <w:rPr>
          <w:lang w:val="bg-BG"/>
        </w:rPr>
        <w:t xml:space="preserve"> </w:t>
      </w:r>
      <w:r w:rsidRPr="001769B0">
        <w:rPr>
          <w:lang w:val="bg-BG"/>
        </w:rPr>
        <w:tab/>
      </w:r>
      <w:r w:rsidRPr="001769B0">
        <w:rPr>
          <w:sz w:val="24"/>
          <w:szCs w:val="24"/>
          <w:lang w:val="bg-BG"/>
        </w:rPr>
        <w:t>Все още непубликувано в Официален вестник.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6218412">
    <w:abstractNumId w:val="3"/>
  </w:num>
  <w:num w:numId="2" w16cid:durableId="1465082217">
    <w:abstractNumId w:val="2"/>
  </w:num>
  <w:num w:numId="3" w16cid:durableId="2067607764">
    <w:abstractNumId w:val="1"/>
  </w:num>
  <w:num w:numId="4" w16cid:durableId="1263344541">
    <w:abstractNumId w:val="0"/>
  </w:num>
  <w:num w:numId="5" w16cid:durableId="1962765607">
    <w:abstractNumId w:val="6"/>
  </w:num>
  <w:num w:numId="6" w16cid:durableId="632517488">
    <w:abstractNumId w:val="5"/>
  </w:num>
  <w:num w:numId="7" w16cid:durableId="2102329597">
    <w:abstractNumId w:val="4"/>
  </w:num>
  <w:num w:numId="8" w16cid:durableId="1248730161">
    <w:abstractNumId w:val="7"/>
  </w:num>
  <w:num w:numId="9" w16cid:durableId="17238214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F2"/>
    <w:rsid w:val="00012963"/>
    <w:rsid w:val="00013B2A"/>
    <w:rsid w:val="000A6F35"/>
    <w:rsid w:val="000C2BFE"/>
    <w:rsid w:val="000D506E"/>
    <w:rsid w:val="000E4F47"/>
    <w:rsid w:val="000F27A9"/>
    <w:rsid w:val="000F6208"/>
    <w:rsid w:val="00125CBC"/>
    <w:rsid w:val="00172070"/>
    <w:rsid w:val="001769B0"/>
    <w:rsid w:val="00185E15"/>
    <w:rsid w:val="001D4BBF"/>
    <w:rsid w:val="001D63A8"/>
    <w:rsid w:val="002924A9"/>
    <w:rsid w:val="0029418F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12156"/>
    <w:rsid w:val="00425111"/>
    <w:rsid w:val="00451C48"/>
    <w:rsid w:val="0047030E"/>
    <w:rsid w:val="004E6A17"/>
    <w:rsid w:val="004F2EA7"/>
    <w:rsid w:val="0051470D"/>
    <w:rsid w:val="00520780"/>
    <w:rsid w:val="00525ED0"/>
    <w:rsid w:val="00534CAB"/>
    <w:rsid w:val="00547BB1"/>
    <w:rsid w:val="00550184"/>
    <w:rsid w:val="00560AD5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219C7"/>
    <w:rsid w:val="00751383"/>
    <w:rsid w:val="00757DD5"/>
    <w:rsid w:val="00760EC5"/>
    <w:rsid w:val="007713FD"/>
    <w:rsid w:val="00774A9B"/>
    <w:rsid w:val="007906DB"/>
    <w:rsid w:val="007B16FE"/>
    <w:rsid w:val="007C3388"/>
    <w:rsid w:val="007F6A2C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0F1D"/>
    <w:rsid w:val="00907FE0"/>
    <w:rsid w:val="009865B7"/>
    <w:rsid w:val="009B7E10"/>
    <w:rsid w:val="009C4014"/>
    <w:rsid w:val="009F28EF"/>
    <w:rsid w:val="00A1739E"/>
    <w:rsid w:val="00B54C72"/>
    <w:rsid w:val="00B7099F"/>
    <w:rsid w:val="00B85C1E"/>
    <w:rsid w:val="00B93683"/>
    <w:rsid w:val="00C15516"/>
    <w:rsid w:val="00C15DC4"/>
    <w:rsid w:val="00C16C81"/>
    <w:rsid w:val="00C57739"/>
    <w:rsid w:val="00C65BE8"/>
    <w:rsid w:val="00C8476F"/>
    <w:rsid w:val="00CB451F"/>
    <w:rsid w:val="00CC4897"/>
    <w:rsid w:val="00CE0B78"/>
    <w:rsid w:val="00D202A4"/>
    <w:rsid w:val="00D91669"/>
    <w:rsid w:val="00DF097A"/>
    <w:rsid w:val="00DF53A8"/>
    <w:rsid w:val="00DF6C12"/>
    <w:rsid w:val="00E039BF"/>
    <w:rsid w:val="00E11822"/>
    <w:rsid w:val="00E73B02"/>
    <w:rsid w:val="00E74BF3"/>
    <w:rsid w:val="00EB56F1"/>
    <w:rsid w:val="00EF3610"/>
    <w:rsid w:val="00F177A4"/>
    <w:rsid w:val="00F97E29"/>
    <w:rsid w:val="00FB1507"/>
    <w:rsid w:val="00FB3609"/>
    <w:rsid w:val="00FC23F2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F1E969"/>
  <w15:chartTrackingRefBased/>
  <w15:docId w15:val="{6CDC8419-634B-48A0-914F-3BDE95AB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550184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550184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550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E0B78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2026-09-02T08:36:00Z</dcterms:created>
  <dcterms:modified xsi:type="dcterms:W3CDTF">2026-09-02T08:36:00Z</dcterms:modified>
</cp:coreProperties>
</file>