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19124E6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A2FF1" w:rsidP="00425111" w14:paraId="5A160671" w14:textId="77777777">
            <w:pPr>
              <w:pStyle w:val="EPName"/>
              <w:rPr>
                <w:lang w:val="en-GB"/>
              </w:rPr>
            </w:pPr>
            <w:r w:rsidRPr="006A2FF1">
              <w:rPr>
                <w:lang w:val="en-GB"/>
              </w:rPr>
              <w:t>European Parliament</w:t>
            </w:r>
          </w:p>
          <w:p w:rsidR="00757DD5" w:rsidRPr="006A2FF1" w:rsidP="00425111" w14:paraId="1A020547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6A2FF1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A2FF1" w:rsidP="00425111" w14:paraId="5A9141AB" w14:textId="77777777">
            <w:pPr>
              <w:pStyle w:val="EPLogo"/>
            </w:pPr>
            <w:r w:rsidRPr="006A2FF1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6A2FF1" w:rsidP="008E7632" w14:paraId="084154FD" w14:textId="77777777">
      <w:pPr>
        <w:pStyle w:val="LineTop"/>
        <w:rPr>
          <w:lang w:val="en-GB"/>
        </w:rPr>
      </w:pPr>
    </w:p>
    <w:p w:rsidR="008E7632" w:rsidRPr="006A2FF1" w:rsidP="008E7632" w14:paraId="4D6621AF" w14:textId="77777777">
      <w:pPr>
        <w:pStyle w:val="ZSessionDoc"/>
        <w:rPr>
          <w:b/>
          <w:i w:val="0"/>
        </w:rPr>
      </w:pPr>
      <w:r w:rsidRPr="006A2FF1">
        <w:rPr>
          <w:b/>
          <w:i w:val="0"/>
        </w:rPr>
        <w:t>TEXTS ADOPTED</w:t>
      </w:r>
    </w:p>
    <w:p w:rsidR="008E7632" w:rsidRPr="006A2FF1" w:rsidP="008E7632" w14:paraId="6227241E" w14:textId="77777777">
      <w:pPr>
        <w:pStyle w:val="LineBottom"/>
      </w:pPr>
      <w:r w:rsidRPr="006A2FF1">
        <w:rPr>
          <w:rFonts w:cs="Arial"/>
          <w:i/>
          <w:sz w:val="20"/>
          <w:szCs w:val="22"/>
        </w:rPr>
        <w:t xml:space="preserve"> </w:t>
      </w:r>
    </w:p>
    <w:p w:rsidR="009C4014" w:rsidRPr="006A2FF1" w:rsidP="006A2FF1" w14:paraId="12A1822C" w14:textId="77777777">
      <w:pPr>
        <w:pStyle w:val="ATHeading1"/>
        <w:rPr>
          <w:lang w:val="en-GB"/>
        </w:rPr>
      </w:pPr>
      <w:bookmarkStart w:id="0" w:name="TA_Heading"/>
      <w:r w:rsidRPr="006A2FF1">
        <w:rPr>
          <w:lang w:val="en-GB"/>
        </w:rPr>
        <w:t>P10_TA(2026)</w:t>
      </w:r>
      <w:bookmarkEnd w:id="0"/>
      <w:r w:rsidR="001E4939">
        <w:rPr>
          <w:lang w:val="en-GB"/>
        </w:rPr>
        <w:t>0226</w:t>
      </w:r>
    </w:p>
    <w:p w:rsidR="009C4014" w:rsidRPr="006A2FF1" w:rsidP="000F6835" w14:paraId="590B7B58" w14:textId="77777777">
      <w:pPr>
        <w:pStyle w:val="ATHeading2"/>
        <w:rPr>
          <w:lang w:val="en-GB"/>
        </w:rPr>
      </w:pPr>
      <w:bookmarkStart w:id="1" w:name="title"/>
      <w:r w:rsidRPr="006A2FF1">
        <w:rPr>
          <w:lang w:val="en-GB"/>
        </w:rPr>
        <w:t>Shipments of waste: export of mixed municipal waste for recovery to Switzerland</w:t>
      </w:r>
      <w:bookmarkEnd w:id="1"/>
      <w:r w:rsidRPr="006A2FF1">
        <w:rPr>
          <w:lang w:val="en-GB"/>
        </w:rPr>
        <w:t xml:space="preserve"> </w:t>
      </w:r>
      <w:bookmarkStart w:id="2" w:name="Etoiles"/>
      <w:bookmarkEnd w:id="2"/>
    </w:p>
    <w:p w:rsidR="009C4014" w:rsidRPr="006A2FF1" w:rsidP="009C4014" w14:paraId="2887C300" w14:textId="77777777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A2FF1">
        <w:rPr>
          <w:i/>
          <w:lang w:val="en-GB"/>
        </w:rPr>
        <w:instrText xml:space="preserve"> TC"</w:instrText>
      </w:r>
      <w:bookmarkStart w:id="3" w:name="DocNumber"/>
      <w:r w:rsidRPr="006A2FF1" w:rsidR="000F6835">
        <w:rPr>
          <w:i/>
          <w:lang w:val="en-GB"/>
        </w:rPr>
        <w:instrText>(C10-0108/2026)</w:instrText>
      </w:r>
      <w:bookmarkEnd w:id="3"/>
      <w:r w:rsidRPr="006A2FF1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:rsidR="000F6835" w:rsidRPr="006A2FF1" w:rsidP="009C4014" w14:paraId="7B509D48" w14:textId="77777777">
      <w:pPr>
        <w:rPr>
          <w:vanish/>
          <w:lang w:val="en-GB"/>
        </w:rPr>
      </w:pPr>
      <w:bookmarkStart w:id="4" w:name="Commission"/>
      <w:r w:rsidRPr="006A2FF1">
        <w:rPr>
          <w:vanish/>
          <w:lang w:val="en-GB"/>
        </w:rPr>
        <w:t>Committee on the Environment, Climate and Food Safety</w:t>
      </w:r>
    </w:p>
    <w:p w:rsidR="009C4014" w:rsidRPr="006A2FF1" w:rsidP="009C4014" w14:paraId="5EAEBB88" w14:textId="77777777">
      <w:pPr>
        <w:rPr>
          <w:vanish/>
          <w:lang w:val="en-GB"/>
        </w:rPr>
      </w:pPr>
      <w:bookmarkStart w:id="5" w:name="PE"/>
      <w:bookmarkEnd w:id="4"/>
      <w:r w:rsidRPr="006A2FF1">
        <w:rPr>
          <w:vanish/>
          <w:lang w:val="en-GB"/>
        </w:rPr>
        <w:t>PE789</w:t>
      </w:r>
      <w:r w:rsidRPr="006A2FF1" w:rsidR="000F6835">
        <w:rPr>
          <w:vanish/>
          <w:lang w:val="en-GB"/>
        </w:rPr>
        <w:t>.</w:t>
      </w:r>
      <w:r w:rsidRPr="006A2FF1">
        <w:rPr>
          <w:vanish/>
          <w:lang w:val="en-GB"/>
        </w:rPr>
        <w:t>799</w:t>
      </w:r>
      <w:bookmarkEnd w:id="5"/>
    </w:p>
    <w:p w:rsidR="000F6835" w:rsidRPr="006A2FF1" w:rsidP="000F6835" w14:paraId="705D2B4B" w14:textId="77777777">
      <w:pPr>
        <w:pStyle w:val="ATHeading3"/>
        <w:rPr>
          <w:lang w:val="en-GB"/>
        </w:rPr>
      </w:pPr>
      <w:bookmarkStart w:id="6" w:name="Sujet"/>
      <w:r w:rsidRPr="006A2FF1">
        <w:rPr>
          <w:lang w:val="en-GB"/>
        </w:rPr>
        <w:t>European Parliament legislative resolution of 18 June 2026</w:t>
      </w:r>
      <w:bookmarkStart w:id="7" w:name="References"/>
      <w:bookmarkEnd w:id="6"/>
      <w:bookmarkEnd w:id="7"/>
      <w:r w:rsidRPr="006A2FF1">
        <w:rPr>
          <w:lang w:val="en-GB"/>
        </w:rPr>
        <w:t xml:space="preserve"> on the proposal for a regulation of the European Parliament and of the Council amending Regulation (EU) 2024/1157 as regards the prohibition to export mixed municipal waste destined for recovery (COM(202</w:t>
      </w:r>
      <w:r w:rsidRPr="006A2FF1" w:rsidR="00421B1C">
        <w:rPr>
          <w:lang w:val="en-GB"/>
        </w:rPr>
        <w:t>6</w:t>
      </w:r>
      <w:r w:rsidRPr="006A2FF1">
        <w:rPr>
          <w:lang w:val="en-GB"/>
        </w:rPr>
        <w:t>)0</w:t>
      </w:r>
      <w:r w:rsidRPr="006A2FF1" w:rsidR="00421B1C">
        <w:rPr>
          <w:lang w:val="en-GB"/>
        </w:rPr>
        <w:t>183</w:t>
      </w:r>
      <w:r w:rsidRPr="006A2FF1">
        <w:rPr>
          <w:lang w:val="en-GB"/>
        </w:rPr>
        <w:t xml:space="preserve"> – C10-</w:t>
      </w:r>
      <w:r w:rsidRPr="006A2FF1" w:rsidR="00421B1C">
        <w:rPr>
          <w:lang w:val="en-GB"/>
        </w:rPr>
        <w:t>0108/2026</w:t>
      </w:r>
      <w:r w:rsidRPr="006A2FF1">
        <w:rPr>
          <w:lang w:val="en-GB"/>
        </w:rPr>
        <w:t xml:space="preserve"> – 202</w:t>
      </w:r>
      <w:r w:rsidRPr="006A2FF1" w:rsidR="00421B1C">
        <w:rPr>
          <w:lang w:val="en-GB"/>
        </w:rPr>
        <w:t>6</w:t>
      </w:r>
      <w:r w:rsidRPr="006A2FF1">
        <w:rPr>
          <w:lang w:val="en-GB"/>
        </w:rPr>
        <w:t>/</w:t>
      </w:r>
      <w:r w:rsidRPr="006A2FF1" w:rsidR="0053252C">
        <w:rPr>
          <w:lang w:val="en-GB"/>
        </w:rPr>
        <w:t>0099</w:t>
      </w:r>
      <w:r w:rsidRPr="006A2FF1">
        <w:rPr>
          <w:lang w:val="en-GB"/>
        </w:rPr>
        <w:t>(COD))</w:t>
      </w:r>
    </w:p>
    <w:p w:rsidR="009C4014" w:rsidRPr="006A2FF1" w:rsidP="000F6835" w14:paraId="4152C2C0" w14:textId="77777777">
      <w:pPr>
        <w:pStyle w:val="ATHeading3"/>
        <w:rPr>
          <w:lang w:val="en-GB"/>
        </w:rPr>
      </w:pPr>
      <w:r w:rsidRPr="006A2FF1">
        <w:rPr>
          <w:lang w:val="en-GB"/>
        </w:rPr>
        <w:t>(Ordinary legislative procedure: first reading)</w:t>
      </w:r>
    </w:p>
    <w:p w:rsidR="006E5420" w:rsidRPr="006A2FF1" w:rsidP="008B1C2E" w14:paraId="1F0605CF" w14:textId="77777777">
      <w:pPr>
        <w:pStyle w:val="Normal12"/>
        <w:spacing w:before="360"/>
        <w:rPr>
          <w:i/>
          <w:szCs w:val="24"/>
        </w:rPr>
      </w:pPr>
      <w:bookmarkStart w:id="8" w:name="TextBodyBegin"/>
      <w:bookmarkEnd w:id="8"/>
      <w:r w:rsidRPr="006A2FF1">
        <w:rPr>
          <w:i/>
          <w:szCs w:val="24"/>
        </w:rPr>
        <w:t>The European Parliament,</w:t>
      </w:r>
    </w:p>
    <w:p w:rsidR="00421B1C" w:rsidRPr="006A2FF1" w:rsidP="00421B1C" w14:paraId="4519A9AB" w14:textId="77777777">
      <w:pPr>
        <w:spacing w:after="240"/>
        <w:ind w:left="567" w:hanging="567"/>
        <w:rPr>
          <w:snapToGrid w:val="0"/>
          <w:lang w:val="en-GB"/>
        </w:rPr>
      </w:pPr>
      <w:r w:rsidRPr="006A2FF1">
        <w:rPr>
          <w:snapToGrid w:val="0"/>
          <w:lang w:val="en-GB"/>
        </w:rPr>
        <w:t>–</w:t>
      </w:r>
      <w:r w:rsidRPr="006A2FF1">
        <w:rPr>
          <w:snapToGrid w:val="0"/>
          <w:lang w:val="en-GB"/>
        </w:rPr>
        <w:tab/>
        <w:t>having regard to the Commission proposal to Parliament and the Council (COM(2026)0183),</w:t>
      </w:r>
    </w:p>
    <w:p w:rsidR="00421B1C" w:rsidRPr="006A2FF1" w:rsidP="00421B1C" w14:paraId="048EEC4D" w14:textId="77777777">
      <w:pPr>
        <w:spacing w:after="240"/>
        <w:ind w:left="567" w:hanging="567"/>
        <w:rPr>
          <w:snapToGrid w:val="0"/>
          <w:lang w:val="en-GB"/>
        </w:rPr>
      </w:pPr>
      <w:r w:rsidRPr="006A2FF1">
        <w:rPr>
          <w:snapToGrid w:val="0"/>
          <w:lang w:val="en-GB"/>
        </w:rPr>
        <w:t>–</w:t>
      </w:r>
      <w:r w:rsidRPr="006A2FF1">
        <w:rPr>
          <w:snapToGrid w:val="0"/>
          <w:lang w:val="en-GB"/>
        </w:rPr>
        <w:tab/>
        <w:t>having regard to Article 294(2) and Article 192(1) of the Treaty on the Functioning of the European Union, pursuant to which the Commission submitted the proposal to Parliament (C10-0108/2026),</w:t>
      </w:r>
    </w:p>
    <w:p w:rsidR="00421B1C" w:rsidRPr="006A2FF1" w:rsidP="00421B1C" w14:paraId="7A0BFE04" w14:textId="77777777">
      <w:pPr>
        <w:spacing w:after="240"/>
        <w:ind w:left="567" w:hanging="567"/>
        <w:rPr>
          <w:snapToGrid w:val="0"/>
          <w:lang w:val="en-GB"/>
        </w:rPr>
      </w:pPr>
      <w:r w:rsidRPr="006A2FF1">
        <w:rPr>
          <w:snapToGrid w:val="0"/>
          <w:lang w:val="en-GB"/>
        </w:rPr>
        <w:t>–</w:t>
      </w:r>
      <w:r w:rsidRPr="006A2FF1">
        <w:rPr>
          <w:snapToGrid w:val="0"/>
          <w:lang w:val="en-GB"/>
        </w:rPr>
        <w:tab/>
        <w:t>having regard to Article 294(3) of the Treaty on the Functioning of the European Union,</w:t>
      </w:r>
    </w:p>
    <w:p w:rsidR="00421B1C" w:rsidRPr="006A2FF1" w:rsidP="00421B1C" w14:paraId="391CDA90" w14:textId="77777777">
      <w:pPr>
        <w:spacing w:after="240"/>
        <w:ind w:left="567" w:hanging="567"/>
        <w:rPr>
          <w:snapToGrid w:val="0"/>
          <w:lang w:val="en-GB"/>
        </w:rPr>
      </w:pPr>
      <w:r w:rsidRPr="006A2FF1">
        <w:rPr>
          <w:snapToGrid w:val="0"/>
          <w:lang w:val="en-GB"/>
        </w:rPr>
        <w:t>–</w:t>
      </w:r>
      <w:r w:rsidRPr="006A2FF1">
        <w:rPr>
          <w:snapToGrid w:val="0"/>
          <w:lang w:val="en-GB"/>
        </w:rPr>
        <w:tab/>
        <w:t xml:space="preserve">having regard to the opinion of the European Economic and Social Committee of </w:t>
      </w:r>
      <w:r w:rsidRPr="006A2FF1" w:rsidR="00AF3BC7">
        <w:rPr>
          <w:snapToGrid w:val="0"/>
          <w:szCs w:val="24"/>
          <w:lang w:val="en-US"/>
        </w:rPr>
        <w:t xml:space="preserve">17 June </w:t>
      </w:r>
      <w:r w:rsidRPr="006A2FF1" w:rsidR="00AF3BC7">
        <w:rPr>
          <w:snapToGrid w:val="0"/>
          <w:lang w:val="en-GB"/>
        </w:rPr>
        <w:t>2026</w:t>
      </w:r>
      <w:r>
        <w:rPr>
          <w:snapToGrid w:val="0"/>
          <w:vertAlign w:val="superscript"/>
          <w:lang w:val="en-GB"/>
        </w:rPr>
        <w:footnoteReference w:id="2"/>
      </w:r>
      <w:r w:rsidRPr="006A2FF1">
        <w:rPr>
          <w:snapToGrid w:val="0"/>
          <w:lang w:val="en-GB"/>
        </w:rPr>
        <w:t>,</w:t>
      </w:r>
    </w:p>
    <w:p w:rsidR="00421B1C" w:rsidRPr="006A2FF1" w:rsidP="00421B1C" w14:paraId="22F98A93" w14:textId="77777777">
      <w:pPr>
        <w:spacing w:after="240"/>
        <w:ind w:left="567" w:hanging="567"/>
        <w:rPr>
          <w:snapToGrid w:val="0"/>
          <w:lang w:val="en-GB"/>
        </w:rPr>
      </w:pPr>
      <w:r w:rsidRPr="006A2FF1">
        <w:rPr>
          <w:snapToGrid w:val="0"/>
          <w:lang w:val="en-GB"/>
        </w:rPr>
        <w:t>–</w:t>
      </w:r>
      <w:r w:rsidRPr="006A2FF1">
        <w:rPr>
          <w:snapToGrid w:val="0"/>
          <w:lang w:val="en-GB"/>
        </w:rPr>
        <w:tab/>
        <w:t>after consulting the Committee of the Regions,</w:t>
      </w:r>
    </w:p>
    <w:p w:rsidR="00421B1C" w:rsidRPr="006A2FF1" w:rsidP="00421B1C" w14:paraId="5A45EF16" w14:textId="77777777">
      <w:pPr>
        <w:spacing w:after="240"/>
        <w:ind w:left="567" w:hanging="567"/>
        <w:rPr>
          <w:snapToGrid w:val="0"/>
          <w:lang w:val="en-GB"/>
        </w:rPr>
      </w:pPr>
      <w:r w:rsidRPr="006A2FF1">
        <w:rPr>
          <w:snapToGrid w:val="0"/>
          <w:lang w:val="en-GB"/>
        </w:rPr>
        <w:t>–</w:t>
      </w:r>
      <w:r w:rsidRPr="006A2FF1">
        <w:rPr>
          <w:snapToGrid w:val="0"/>
          <w:lang w:val="en-GB"/>
        </w:rPr>
        <w:tab/>
        <w:t>having regard to Rules 60 and 170 of its Rules of Procedure,</w:t>
      </w:r>
    </w:p>
    <w:p w:rsidR="00421B1C" w:rsidRPr="006A2FF1" w:rsidP="00421B1C" w14:paraId="47F1F5FC" w14:textId="77777777">
      <w:pPr>
        <w:spacing w:after="240"/>
        <w:ind w:left="567" w:hanging="567"/>
        <w:rPr>
          <w:snapToGrid w:val="0"/>
          <w:lang w:val="en-GB"/>
        </w:rPr>
      </w:pPr>
      <w:r w:rsidRPr="006A2FF1">
        <w:rPr>
          <w:snapToGrid w:val="0"/>
          <w:lang w:val="en-GB"/>
        </w:rPr>
        <w:t>1.</w:t>
      </w:r>
      <w:r w:rsidRPr="006A2FF1">
        <w:rPr>
          <w:snapToGrid w:val="0"/>
          <w:lang w:val="en-GB"/>
        </w:rPr>
        <w:tab/>
        <w:t>Adopts its position at first reading hereinafter set out,</w:t>
      </w:r>
    </w:p>
    <w:p w:rsidR="00421B1C" w:rsidRPr="006A2FF1" w:rsidP="00421B1C" w14:paraId="287699F8" w14:textId="77777777">
      <w:pPr>
        <w:spacing w:after="240"/>
        <w:ind w:left="567" w:hanging="567"/>
        <w:rPr>
          <w:snapToGrid w:val="0"/>
          <w:lang w:val="en-GB"/>
        </w:rPr>
      </w:pPr>
      <w:r w:rsidRPr="006A2FF1">
        <w:rPr>
          <w:snapToGrid w:val="0"/>
          <w:lang w:val="en-GB"/>
        </w:rPr>
        <w:t>2.</w:t>
      </w:r>
      <w:r w:rsidRPr="006A2FF1">
        <w:rPr>
          <w:snapToGrid w:val="0"/>
          <w:lang w:val="en-GB"/>
        </w:rPr>
        <w:tab/>
        <w:t>Calls on the Commission to refer the matter to Parliament again if it replaces, substantially amends or intends to substantially amend its proposal;</w:t>
      </w:r>
    </w:p>
    <w:p w:rsidR="00421B1C" w:rsidRPr="006A2FF1" w:rsidP="00421B1C" w14:paraId="68FD7544" w14:textId="77777777">
      <w:pPr>
        <w:widowControl w:val="0"/>
        <w:spacing w:after="240"/>
        <w:ind w:left="567" w:hanging="567"/>
        <w:rPr>
          <w:snapToGrid w:val="0"/>
          <w:lang w:val="en-GB"/>
        </w:rPr>
        <w:sectPr w:rsidSect="006665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6A2FF1">
        <w:rPr>
          <w:snapToGrid w:val="0"/>
          <w:lang w:val="en-GB"/>
        </w:rPr>
        <w:t>3.</w:t>
      </w:r>
      <w:r w:rsidRPr="006A2FF1">
        <w:rPr>
          <w:snapToGrid w:val="0"/>
          <w:lang w:val="en-GB"/>
        </w:rPr>
        <w:tab/>
        <w:t>Instructs its President to forward its position to the Council, the Commission and the national parliaments.</w:t>
      </w:r>
      <w:bookmarkStart w:id="9" w:name="_DV_M1"/>
      <w:bookmarkStart w:id="10" w:name="_DV_M2"/>
      <w:bookmarkEnd w:id="9"/>
      <w:bookmarkEnd w:id="10"/>
    </w:p>
    <w:p w:rsidR="00421B1C" w:rsidRPr="006A2FF1" w:rsidP="00421B1C" w14:paraId="5E88980E" w14:textId="77777777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en-GB"/>
        </w:rPr>
      </w:pPr>
      <w:r w:rsidRPr="006A2FF1">
        <w:rPr>
          <w:b/>
          <w:bCs/>
          <w:color w:val="000000"/>
          <w:lang w:val="en-GB"/>
        </w:rPr>
        <w:t>P10_TC1-COD(2026)0099</w:t>
      </w:r>
    </w:p>
    <w:p w:rsidR="00421B1C" w:rsidP="00421B1C" w14:paraId="393E2F92" w14:textId="77777777">
      <w:pPr>
        <w:widowControl w:val="0"/>
        <w:spacing w:after="240"/>
        <w:rPr>
          <w:rFonts w:eastAsia="Calibri"/>
          <w:b/>
          <w:noProof/>
          <w:szCs w:val="22"/>
          <w:lang w:val="en-GB" w:eastAsia="en-US"/>
        </w:rPr>
      </w:pPr>
      <w:r w:rsidRPr="006A2FF1">
        <w:rPr>
          <w:b/>
          <w:bCs/>
          <w:lang w:val="en-GB"/>
        </w:rPr>
        <w:t xml:space="preserve">Position of the European Parliament adopted at first reading on 18 June 2026 with a view to the adoption of Regulation (EU) </w:t>
      </w:r>
      <w:r w:rsidRPr="006A2FF1" w:rsidR="00E91400">
        <w:rPr>
          <w:b/>
          <w:bCs/>
          <w:lang w:val="en-GB"/>
        </w:rPr>
        <w:t>202</w:t>
      </w:r>
      <w:r w:rsidRPr="006A2FF1" w:rsidR="00E91400">
        <w:rPr>
          <w:b/>
          <w:bCs/>
          <w:lang w:val="ga-IE"/>
        </w:rPr>
        <w:t>6</w:t>
      </w:r>
      <w:r w:rsidRPr="006A2FF1">
        <w:rPr>
          <w:b/>
          <w:bCs/>
          <w:lang w:val="en-GB"/>
        </w:rPr>
        <w:t xml:space="preserve">/… of the European Parliament and of the Council </w:t>
      </w:r>
      <w:r w:rsidRPr="006A2FF1">
        <w:rPr>
          <w:rFonts w:eastAsia="Calibri"/>
          <w:b/>
          <w:noProof/>
          <w:szCs w:val="22"/>
          <w:lang w:val="en-GB" w:eastAsia="en-US"/>
        </w:rPr>
        <w:t>amending Regulation (EU) 2024/1157 as regards the prohibition on the export of mixed municipal waste destined for recovery</w:t>
      </w:r>
    </w:p>
    <w:p w:rsidR="00A91D5A" w:rsidRPr="00A91D5A" w:rsidP="00421B1C" w14:paraId="21B3CFC1" w14:textId="77777777">
      <w:pPr>
        <w:widowControl w:val="0"/>
        <w:spacing w:after="240"/>
        <w:rPr>
          <w:rFonts w:eastAsia="Calibri"/>
          <w:bCs/>
          <w:i/>
          <w:iCs/>
          <w:noProof/>
          <w:szCs w:val="22"/>
          <w:lang w:val="en-GB" w:eastAsia="en-US"/>
        </w:rPr>
      </w:pPr>
      <w:r w:rsidRPr="00A91D5A">
        <w:rPr>
          <w:rFonts w:eastAsia="Calibri"/>
          <w:bCs/>
          <w:i/>
          <w:iCs/>
          <w:noProof/>
          <w:szCs w:val="22"/>
          <w:lang w:val="en-GB" w:eastAsia="en-US"/>
        </w:rPr>
        <w:t>(As an agreement was reached between Parliament and Council, Parliament's position corresponds to the final legislative act, Regulation (EU) 2026/1703)</w:t>
      </w:r>
    </w:p>
    <w:sectPr w:rsidSect="00421B1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7E093FE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1E7B11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79C139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43D8B" w:rsidP="009C4014" w14:paraId="4A6B7CE9" w14:textId="77777777">
      <w:r>
        <w:separator/>
      </w:r>
    </w:p>
  </w:footnote>
  <w:footnote w:type="continuationSeparator" w:id="1">
    <w:p w:rsidR="00243D8B" w:rsidP="009C4014" w14:paraId="6164E0FE" w14:textId="77777777">
      <w:r>
        <w:continuationSeparator/>
      </w:r>
    </w:p>
  </w:footnote>
  <w:footnote w:id="2">
    <w:p w:rsidR="00421B1C" w:rsidRPr="00B23840" w:rsidP="006A2FF1" w14:paraId="0E09B81A" w14:textId="77777777">
      <w:pPr>
        <w:pStyle w:val="FootnoteText"/>
        <w:keepLines w:val="0"/>
        <w:ind w:left="709" w:hanging="709"/>
        <w:rPr>
          <w:sz w:val="24"/>
          <w:szCs w:val="24"/>
          <w:lang w:val="en-GB"/>
        </w:rPr>
      </w:pPr>
      <w:r w:rsidRPr="00B23840">
        <w:rPr>
          <w:rStyle w:val="FootnoteReference"/>
          <w:sz w:val="24"/>
          <w:szCs w:val="24"/>
        </w:rPr>
        <w:footnoteRef/>
      </w:r>
      <w:r w:rsidRPr="00B23840">
        <w:rPr>
          <w:sz w:val="24"/>
          <w:szCs w:val="24"/>
          <w:lang w:val="en-GB"/>
        </w:rPr>
        <w:t xml:space="preserve"> </w:t>
      </w:r>
      <w:r w:rsidRPr="00B23840">
        <w:rPr>
          <w:sz w:val="24"/>
          <w:szCs w:val="24"/>
          <w:lang w:val="en-GB"/>
        </w:rPr>
        <w:tab/>
        <w:t>Not yet published in the Official Journal.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31F657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FCB276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CD7D09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31384509">
    <w:abstractNumId w:val="3"/>
  </w:num>
  <w:num w:numId="2" w16cid:durableId="1106654138">
    <w:abstractNumId w:val="2"/>
  </w:num>
  <w:num w:numId="3" w16cid:durableId="1729108077">
    <w:abstractNumId w:val="1"/>
  </w:num>
  <w:num w:numId="4" w16cid:durableId="1099375417">
    <w:abstractNumId w:val="0"/>
  </w:num>
  <w:num w:numId="5" w16cid:durableId="222520515">
    <w:abstractNumId w:val="6"/>
  </w:num>
  <w:num w:numId="6" w16cid:durableId="1724449107">
    <w:abstractNumId w:val="5"/>
  </w:num>
  <w:num w:numId="7" w16cid:durableId="182594668">
    <w:abstractNumId w:val="4"/>
  </w:num>
  <w:num w:numId="8" w16cid:durableId="1103261792">
    <w:abstractNumId w:val="7"/>
  </w:num>
  <w:num w:numId="9" w16cid:durableId="15613314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835"/>
    <w:rsid w:val="00013B2A"/>
    <w:rsid w:val="000C2BFE"/>
    <w:rsid w:val="000F27A9"/>
    <w:rsid w:val="000F4AFF"/>
    <w:rsid w:val="000F6208"/>
    <w:rsid w:val="000F6835"/>
    <w:rsid w:val="00125CBC"/>
    <w:rsid w:val="00172070"/>
    <w:rsid w:val="00185E15"/>
    <w:rsid w:val="001D4BBF"/>
    <w:rsid w:val="001D63A8"/>
    <w:rsid w:val="001E4939"/>
    <w:rsid w:val="00243D8B"/>
    <w:rsid w:val="002924A9"/>
    <w:rsid w:val="002A1D4E"/>
    <w:rsid w:val="002B4BCF"/>
    <w:rsid w:val="002F1925"/>
    <w:rsid w:val="00300C61"/>
    <w:rsid w:val="00312A38"/>
    <w:rsid w:val="003202DD"/>
    <w:rsid w:val="00341F7C"/>
    <w:rsid w:val="003775B9"/>
    <w:rsid w:val="00384804"/>
    <w:rsid w:val="00397B2A"/>
    <w:rsid w:val="003E1189"/>
    <w:rsid w:val="003F4DFE"/>
    <w:rsid w:val="00421B1C"/>
    <w:rsid w:val="00425111"/>
    <w:rsid w:val="00451C48"/>
    <w:rsid w:val="0047030E"/>
    <w:rsid w:val="004E6A17"/>
    <w:rsid w:val="004F2EA7"/>
    <w:rsid w:val="00520780"/>
    <w:rsid w:val="00525ED0"/>
    <w:rsid w:val="0053252C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73C80"/>
    <w:rsid w:val="00683F78"/>
    <w:rsid w:val="006A1E82"/>
    <w:rsid w:val="006A2FF1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E47A9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101CC"/>
    <w:rsid w:val="00952AF4"/>
    <w:rsid w:val="009865B7"/>
    <w:rsid w:val="009B7E10"/>
    <w:rsid w:val="009C4014"/>
    <w:rsid w:val="009F28EF"/>
    <w:rsid w:val="00A1739E"/>
    <w:rsid w:val="00A91D5A"/>
    <w:rsid w:val="00AC5355"/>
    <w:rsid w:val="00AE3D1E"/>
    <w:rsid w:val="00AF3BC7"/>
    <w:rsid w:val="00B23840"/>
    <w:rsid w:val="00B54C72"/>
    <w:rsid w:val="00B85C1E"/>
    <w:rsid w:val="00C15516"/>
    <w:rsid w:val="00C16C81"/>
    <w:rsid w:val="00C57739"/>
    <w:rsid w:val="00C65BE8"/>
    <w:rsid w:val="00CA63D1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91400"/>
    <w:rsid w:val="00ED5B25"/>
    <w:rsid w:val="00EF3610"/>
    <w:rsid w:val="00F177A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CCC5C17"/>
  <w15:chartTrackingRefBased/>
  <w15:docId w15:val="{2AE01826-7346-45A6-AEBD-301AE906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1B1C"/>
    <w:rPr>
      <w:sz w:val="22"/>
      <w:lang w:val="fr-FR"/>
    </w:rPr>
  </w:style>
  <w:style w:type="character" w:customStyle="1" w:styleId="Hyperlink1">
    <w:name w:val="Hyperlink1"/>
    <w:basedOn w:val="DefaultParagraphFont"/>
    <w:uiPriority w:val="99"/>
    <w:unhideWhenUsed/>
    <w:rsid w:val="00421B1C"/>
    <w:rPr>
      <w:color w:val="0000FF"/>
      <w:u w:val="single"/>
    </w:rPr>
  </w:style>
  <w:style w:type="character" w:styleId="Hyperlink">
    <w:name w:val="Hyperlink"/>
    <w:basedOn w:val="DefaultParagraphFont"/>
    <w:rsid w:val="00421B1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21B1C"/>
    <w:rPr>
      <w:sz w:val="24"/>
      <w:lang w:val="fr-FR"/>
    </w:rPr>
  </w:style>
  <w:style w:type="character" w:styleId="CommentReference">
    <w:name w:val="annotation reference"/>
    <w:basedOn w:val="DefaultParagraphFont"/>
    <w:rsid w:val="00AF3BC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3BC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F3BC7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AF3B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3BC7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3</cp:revision>
  <cp:lastPrinted>2014-08-07T13:15:00Z</cp:lastPrinted>
  <dcterms:created xsi:type="dcterms:W3CDTF">2026-09-02T13:22:00Z</dcterms:created>
  <dcterms:modified xsi:type="dcterms:W3CDTF">2026-09-04T08:00:00Z</dcterms:modified>
</cp:coreProperties>
</file>