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698336D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FD6269" w:rsidP="00425111" w14:paraId="323F887C" w14:textId="77777777">
            <w:pPr>
              <w:pStyle w:val="EPName"/>
              <w:rPr>
                <w:lang w:val="en-GB"/>
              </w:rPr>
            </w:pPr>
            <w:r w:rsidRPr="00FD6269">
              <w:rPr>
                <w:lang w:val="en-GB"/>
              </w:rPr>
              <w:t>Parlamento</w:t>
            </w:r>
            <w:r w:rsidRPr="00FD6269">
              <w:rPr>
                <w:lang w:val="en-GB"/>
              </w:rPr>
              <w:t xml:space="preserve"> </w:t>
            </w:r>
            <w:r w:rsidRPr="00FD6269">
              <w:rPr>
                <w:lang w:val="en-GB"/>
              </w:rPr>
              <w:t>europeo</w:t>
            </w:r>
          </w:p>
          <w:p w:rsidR="00757DD5" w:rsidRPr="00FD6269" w:rsidP="00425111" w14:paraId="4A63C846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FD626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FD6269" w:rsidP="00425111" w14:paraId="71070D5A" w14:textId="77777777">
            <w:pPr>
              <w:pStyle w:val="EPLogo"/>
            </w:pPr>
            <w:r w:rsidRPr="00FD6269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FD6269" w:rsidP="008E7632" w14:paraId="07F9AEA6" w14:textId="77777777">
      <w:pPr>
        <w:pStyle w:val="LineTop"/>
        <w:rPr>
          <w:lang w:val="en-GB"/>
        </w:rPr>
      </w:pPr>
    </w:p>
    <w:p w:rsidR="008E7632" w:rsidRPr="00FD6269" w:rsidP="008E7632" w14:paraId="10ADC5D0" w14:textId="77777777">
      <w:pPr>
        <w:pStyle w:val="ZSessionDoc"/>
        <w:rPr>
          <w:b/>
          <w:i w:val="0"/>
          <w:lang w:val="it-IT"/>
        </w:rPr>
      </w:pPr>
      <w:r w:rsidRPr="00FD6269">
        <w:rPr>
          <w:b/>
          <w:i w:val="0"/>
          <w:lang w:val="it-IT"/>
        </w:rPr>
        <w:t>TESTI APPROVATI</w:t>
      </w:r>
    </w:p>
    <w:p w:rsidR="008E7632" w:rsidRPr="00FD6269" w:rsidP="008E7632" w14:paraId="758A762E" w14:textId="77777777">
      <w:pPr>
        <w:pStyle w:val="LineBottom"/>
        <w:rPr>
          <w:lang w:val="it-IT"/>
        </w:rPr>
      </w:pPr>
      <w:r w:rsidRPr="00FD6269">
        <w:rPr>
          <w:rFonts w:cs="Arial"/>
          <w:i/>
          <w:sz w:val="20"/>
          <w:szCs w:val="22"/>
          <w:lang w:val="it-IT"/>
        </w:rPr>
        <w:t xml:space="preserve"> </w:t>
      </w:r>
    </w:p>
    <w:p w:rsidR="009C4014" w:rsidRPr="00FD6269" w:rsidP="008E7632" w14:paraId="5BE4B6B3" w14:textId="5E6B57EA">
      <w:pPr>
        <w:pStyle w:val="ATHeading1"/>
        <w:spacing w:before="480"/>
        <w:rPr>
          <w:lang w:val="it-IT"/>
        </w:rPr>
      </w:pPr>
      <w:bookmarkStart w:id="0" w:name="TA_Heading"/>
      <w:r w:rsidRPr="00FD6269">
        <w:rPr>
          <w:lang w:val="it-IT"/>
        </w:rPr>
        <w:t>P10_TA(2026)</w:t>
      </w:r>
      <w:bookmarkStart w:id="1" w:name="TANumber"/>
      <w:bookmarkEnd w:id="0"/>
      <w:r w:rsidRPr="00FD6269">
        <w:rPr>
          <w:lang w:val="it-IT"/>
        </w:rPr>
        <w:t>0</w:t>
      </w:r>
      <w:bookmarkEnd w:id="1"/>
      <w:r w:rsidRPr="00FD6269" w:rsidR="00FD6269">
        <w:rPr>
          <w:lang w:val="it-IT"/>
        </w:rPr>
        <w:t>226</w:t>
      </w:r>
    </w:p>
    <w:p w:rsidR="009C4014" w:rsidRPr="00FD6269" w:rsidP="002822E5" w14:paraId="7041D1C2" w14:textId="3BF9387B">
      <w:pPr>
        <w:pStyle w:val="ATHeading2"/>
        <w:rPr>
          <w:lang w:val="it-IT"/>
        </w:rPr>
      </w:pPr>
      <w:bookmarkStart w:id="2" w:name="title"/>
      <w:bookmarkStart w:id="3" w:name="_Hlk232681066"/>
      <w:r w:rsidRPr="00FD6269">
        <w:rPr>
          <w:lang w:val="it-IT"/>
        </w:rPr>
        <w:t xml:space="preserve">Spedizioni di rifiuti: esportazione </w:t>
      </w:r>
      <w:r w:rsidRPr="00FD6269" w:rsidR="00D50CF6">
        <w:rPr>
          <w:lang w:val="it-IT"/>
        </w:rPr>
        <w:t xml:space="preserve">verso la Svizzera </w:t>
      </w:r>
      <w:r w:rsidRPr="00FD6269">
        <w:rPr>
          <w:lang w:val="it-IT"/>
        </w:rPr>
        <w:t xml:space="preserve">di rifiuti urbani non differenziati destinati al recupero </w:t>
      </w:r>
      <w:bookmarkStart w:id="4" w:name="Etoiles"/>
      <w:bookmarkEnd w:id="2"/>
      <w:bookmarkEnd w:id="4"/>
    </w:p>
    <w:bookmarkEnd w:id="3"/>
    <w:p w:rsidR="009C4014" w:rsidRPr="00FD6269" w:rsidP="009C4014" w14:paraId="2818EC6D" w14:textId="77777777">
      <w:pPr>
        <w:rPr>
          <w:i/>
          <w:vanish/>
          <w:lang w:val="it-IT"/>
        </w:rPr>
      </w:pPr>
      <w:r>
        <w:rPr>
          <w:i/>
        </w:rPr>
        <w:fldChar w:fldCharType="begin"/>
      </w:r>
      <w:r w:rsidRPr="00FD6269">
        <w:rPr>
          <w:i/>
          <w:lang w:val="it-IT"/>
        </w:rPr>
        <w:instrText xml:space="preserve"> TC"</w:instrText>
      </w:r>
      <w:bookmarkStart w:id="5" w:name="DocNumber"/>
      <w:r w:rsidRPr="00FD6269" w:rsidR="002822E5">
        <w:rPr>
          <w:i/>
          <w:lang w:val="it-IT"/>
        </w:rPr>
        <w:instrText>(C10-0108/2026)</w:instrText>
      </w:r>
      <w:bookmarkEnd w:id="5"/>
      <w:r w:rsidRPr="00FD6269">
        <w:rPr>
          <w:i/>
          <w:lang w:val="it-IT"/>
        </w:rPr>
        <w:instrText xml:space="preserve">"\l3 \n&gt; \* MERGEFORMAT </w:instrText>
      </w:r>
      <w:r>
        <w:rPr>
          <w:i/>
        </w:rPr>
        <w:fldChar w:fldCharType="end"/>
      </w:r>
    </w:p>
    <w:p w:rsidR="002822E5" w:rsidRPr="00FD6269" w:rsidP="009C4014" w14:paraId="5F32C945" w14:textId="77777777">
      <w:pPr>
        <w:rPr>
          <w:vanish/>
          <w:lang w:val="it-IT"/>
        </w:rPr>
      </w:pPr>
      <w:bookmarkStart w:id="6" w:name="Commission"/>
      <w:r w:rsidRPr="00FD6269">
        <w:rPr>
          <w:vanish/>
          <w:lang w:val="it-IT"/>
        </w:rPr>
        <w:t>Commissione per l'ambiente, il clima e la sicurezza alimentare</w:t>
      </w:r>
    </w:p>
    <w:p w:rsidR="009C4014" w:rsidRPr="00FD6269" w:rsidP="009C4014" w14:paraId="3A603455" w14:textId="77777777">
      <w:pPr>
        <w:rPr>
          <w:vanish/>
          <w:lang w:val="it-IT"/>
        </w:rPr>
      </w:pPr>
      <w:bookmarkStart w:id="7" w:name="PE"/>
      <w:bookmarkEnd w:id="6"/>
      <w:r w:rsidRPr="00FD6269">
        <w:rPr>
          <w:vanish/>
          <w:lang w:val="it-IT"/>
        </w:rPr>
        <w:t>PE789.799</w:t>
      </w:r>
      <w:bookmarkEnd w:id="7"/>
    </w:p>
    <w:p w:rsidR="002822E5" w:rsidRPr="00FD6269" w:rsidP="002822E5" w14:paraId="0D182C22" w14:textId="1A105519">
      <w:pPr>
        <w:pStyle w:val="ATHeading3"/>
        <w:rPr>
          <w:lang w:val="it-IT"/>
        </w:rPr>
      </w:pPr>
      <w:bookmarkStart w:id="8" w:name="Sujet"/>
      <w:r w:rsidRPr="00FD6269">
        <w:rPr>
          <w:lang w:val="it-IT"/>
        </w:rPr>
        <w:t>Risoluzione</w:t>
      </w:r>
      <w:bookmarkEnd w:id="8"/>
      <w:r w:rsidRPr="00FD6269" w:rsidR="00E73B02">
        <w:rPr>
          <w:lang w:val="it-IT"/>
        </w:rPr>
        <w:t xml:space="preserve"> </w:t>
      </w:r>
      <w:bookmarkStart w:id="9" w:name="TextBodyBegin"/>
      <w:bookmarkEnd w:id="9"/>
      <w:r w:rsidRPr="00FD6269">
        <w:rPr>
          <w:lang w:val="it-IT"/>
        </w:rPr>
        <w:t xml:space="preserve">legislativa del Parlamento europeo del 18 giugno 2026 </w:t>
      </w:r>
      <w:bookmarkStart w:id="10" w:name="_Hlk212037576"/>
      <w:r w:rsidRPr="00FD6269">
        <w:rPr>
          <w:lang w:val="it-IT"/>
        </w:rPr>
        <w:t xml:space="preserve">sulla proposta di regolamento del Parlamento europeo e del Consiglio </w:t>
      </w:r>
      <w:bookmarkEnd w:id="10"/>
      <w:r w:rsidRPr="00FD6269">
        <w:rPr>
          <w:lang w:val="it-IT"/>
        </w:rPr>
        <w:t>che modifica il regolamento (UE) 2024/1157 per quanto riguarda il divieto di esportare rifiuti urbani non differenziati destinati al recupero (COM(2026)0183 – C10-0108/2026 – 2026/0099(COD))</w:t>
      </w:r>
    </w:p>
    <w:p w:rsidR="002822E5" w:rsidRPr="00FD6269" w:rsidP="002822E5" w14:paraId="7361DDA1" w14:textId="77777777">
      <w:pPr>
        <w:spacing w:before="240"/>
        <w:rPr>
          <w:b/>
          <w:lang w:val="it-IT"/>
        </w:rPr>
      </w:pPr>
      <w:bookmarkStart w:id="11" w:name="_Hlk212037641"/>
      <w:r w:rsidRPr="00FD6269">
        <w:rPr>
          <w:b/>
          <w:lang w:val="it-IT"/>
        </w:rPr>
        <w:t>(Procedura legislativa ordinaria: prima lettura)</w:t>
      </w:r>
    </w:p>
    <w:p w:rsidR="002822E5" w:rsidRPr="00FD6269" w:rsidP="002822E5" w14:paraId="0C805C0F" w14:textId="77777777">
      <w:pPr>
        <w:widowControl w:val="0"/>
        <w:spacing w:before="360" w:after="240"/>
        <w:rPr>
          <w:i/>
          <w:snapToGrid w:val="0"/>
          <w:lang w:val="it-IT"/>
        </w:rPr>
      </w:pPr>
      <w:r w:rsidRPr="00FD6269">
        <w:rPr>
          <w:i/>
          <w:snapToGrid w:val="0"/>
          <w:lang w:val="it-IT"/>
        </w:rPr>
        <w:t>Il Parlamento europeo,</w:t>
      </w:r>
    </w:p>
    <w:p w:rsidR="002822E5" w:rsidRPr="00FD6269" w:rsidP="002822E5" w14:paraId="33585496" w14:textId="12149BBA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>vista la proposta della Commissione al Parlamento europeo e al Consiglio (</w:t>
      </w:r>
      <w:r w:rsidRPr="00FD6269">
        <w:rPr>
          <w:snapToGrid w:val="0"/>
          <w:lang w:val="it-IT"/>
        </w:rPr>
        <w:t>COM(2026)0183</w:t>
      </w:r>
      <w:r w:rsidRPr="00FD6269">
        <w:rPr>
          <w:lang w:val="it-IT"/>
        </w:rPr>
        <w:t>),</w:t>
      </w:r>
    </w:p>
    <w:p w:rsidR="002822E5" w:rsidRPr="00FD6269" w:rsidP="002822E5" w14:paraId="5EB1CD9D" w14:textId="2BB0A911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>visti l'articolo 294, paragrafo 2, e l’articolo 192, paragrafo 1, del trattato sul funzionamento dell'Unione europea, a norma dei quali la proposta gli è stata presentata dalla Commissione (C10-0108/2026),</w:t>
      </w:r>
    </w:p>
    <w:p w:rsidR="002822E5" w:rsidRPr="00FD6269" w:rsidP="002822E5" w14:paraId="6629F90B" w14:textId="77777777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>visto l'articolo 294, paragrafo 3, del trattato sul funzionamento dell'Unione europea,</w:t>
      </w:r>
    </w:p>
    <w:p w:rsidR="002822E5" w:rsidRPr="00FD6269" w:rsidP="002822E5" w14:paraId="7344023F" w14:textId="07748A76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>visto il parere del Comitato economico e sociale europeo del 17 giugno 2026</w:t>
      </w:r>
      <w:r>
        <w:rPr>
          <w:vertAlign w:val="superscript"/>
          <w:lang w:val="it-IT"/>
        </w:rPr>
        <w:footnoteReference w:id="2"/>
      </w:r>
      <w:r w:rsidRPr="00FD6269">
        <w:rPr>
          <w:lang w:val="it-IT"/>
        </w:rPr>
        <w:t xml:space="preserve">, </w:t>
      </w:r>
    </w:p>
    <w:p w:rsidR="002822E5" w:rsidRPr="00FD6269" w:rsidP="002822E5" w14:paraId="13171045" w14:textId="77777777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 xml:space="preserve">previa consultazione del Comitato delle regioni, </w:t>
      </w:r>
    </w:p>
    <w:p w:rsidR="002822E5" w:rsidRPr="00FD6269" w:rsidP="002822E5" w14:paraId="6BA9A877" w14:textId="77777777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–</w:t>
      </w:r>
      <w:r w:rsidRPr="00FD6269">
        <w:rPr>
          <w:lang w:val="it-IT"/>
        </w:rPr>
        <w:tab/>
        <w:t>visti gli articoli 60 e 170 del suo regolamento,</w:t>
      </w:r>
    </w:p>
    <w:p w:rsidR="002822E5" w:rsidRPr="00FD6269" w:rsidP="002822E5" w14:paraId="38CE4C5A" w14:textId="77777777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1.</w:t>
      </w:r>
      <w:r w:rsidRPr="00FD6269">
        <w:rPr>
          <w:lang w:val="it-IT"/>
        </w:rPr>
        <w:tab/>
        <w:t xml:space="preserve">adotta la posizione in prima lettura figurante </w:t>
      </w:r>
      <w:r w:rsidRPr="00FD6269">
        <w:rPr>
          <w:lang w:val="it-IT"/>
        </w:rPr>
        <w:t>in appresso</w:t>
      </w:r>
      <w:r w:rsidRPr="00FD6269">
        <w:rPr>
          <w:lang w:val="it-IT"/>
        </w:rPr>
        <w:t>;</w:t>
      </w:r>
    </w:p>
    <w:p w:rsidR="002822E5" w:rsidRPr="00FD6269" w:rsidP="002822E5" w14:paraId="5D53DF93" w14:textId="77777777">
      <w:pPr>
        <w:widowControl w:val="0"/>
        <w:spacing w:after="240"/>
        <w:ind w:left="567" w:hanging="567"/>
        <w:rPr>
          <w:lang w:val="it-IT"/>
        </w:rPr>
      </w:pPr>
      <w:r w:rsidRPr="00FD6269">
        <w:rPr>
          <w:lang w:val="it-IT"/>
        </w:rPr>
        <w:t>2.</w:t>
      </w:r>
      <w:r w:rsidRPr="00FD6269">
        <w:rPr>
          <w:lang w:val="it-IT"/>
        </w:rPr>
        <w:tab/>
        <w:t>chiede alla Commissione di presentargli nuovamente la proposta qualora la sostituisca, la modifichi sostanzialmente o intenda modificarla sostanzialmente;</w:t>
      </w:r>
    </w:p>
    <w:p w:rsidR="009F28EF" w:rsidRPr="00FD6269" w:rsidP="002822E5" w14:paraId="2D20F4E0" w14:textId="28615AF4">
      <w:pPr>
        <w:ind w:left="567" w:hanging="567"/>
        <w:rPr>
          <w:lang w:val="it-IT"/>
        </w:rPr>
      </w:pPr>
      <w:r w:rsidRPr="00FD6269">
        <w:rPr>
          <w:lang w:val="it-IT"/>
        </w:rPr>
        <w:t>3.</w:t>
      </w:r>
      <w:r w:rsidRPr="00FD6269">
        <w:rPr>
          <w:lang w:val="it-IT"/>
        </w:rPr>
        <w:tab/>
        <w:t>incarica la sua Presidente di trasmettere la posizione del Parlamento al Consiglio e alla Commissione nonché ai parlamenti nazionali.</w:t>
      </w:r>
      <w:bookmarkEnd w:id="11"/>
    </w:p>
    <w:p w:rsidR="002822E5" w:rsidRPr="00FD6269" w:rsidP="002822E5" w14:paraId="11D3CBB9" w14:textId="77777777">
      <w:pPr>
        <w:ind w:left="567" w:hanging="567"/>
        <w:rPr>
          <w:lang w:val="it-IT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2822E5" w:rsidRPr="00FD6269" w:rsidP="002822E5" w14:paraId="70B2CB62" w14:textId="72134523">
      <w:pPr>
        <w:spacing w:after="240"/>
        <w:rPr>
          <w:b/>
          <w:lang w:val="it-IT"/>
        </w:rPr>
      </w:pPr>
      <w:bookmarkStart w:id="12" w:name="_Hlk212037667"/>
      <w:r w:rsidRPr="00FD6269">
        <w:rPr>
          <w:b/>
          <w:lang w:val="it-IT"/>
        </w:rPr>
        <w:t>P10_TC1-COD(2026)0099</w:t>
      </w:r>
    </w:p>
    <w:p w:rsidR="002822E5" w:rsidP="002822E5" w14:paraId="40FC3268" w14:textId="68503D7C">
      <w:pPr>
        <w:spacing w:before="120" w:after="360"/>
        <w:rPr>
          <w:rFonts w:eastAsia="Calibri"/>
          <w:b/>
          <w:noProof/>
          <w:szCs w:val="24"/>
          <w:lang w:val="it-IT" w:eastAsia="en-US"/>
        </w:rPr>
      </w:pPr>
      <w:r w:rsidRPr="00FD6269">
        <w:rPr>
          <w:b/>
          <w:lang w:val="it-IT"/>
        </w:rPr>
        <w:t xml:space="preserve">Posizione del Parlamento europeo definita in prima lettura il 18 giugno 2026 in vista dell'adozione del regolamento (UE) 2026/... del Parlamento europeo e del Consiglio </w:t>
      </w:r>
      <w:bookmarkEnd w:id="12"/>
      <w:r w:rsidRPr="00FD6269">
        <w:rPr>
          <w:rFonts w:eastAsia="Calibri"/>
          <w:b/>
          <w:noProof/>
          <w:szCs w:val="24"/>
          <w:lang w:val="it-IT" w:eastAsia="en-US"/>
        </w:rPr>
        <w:t>che modifica il regolamento (UE) 2024/1157 per quanto riguarda il divieto di esportare rifiuti urbani non differenziati destinati al recupero</w:t>
      </w:r>
    </w:p>
    <w:p w:rsidR="0036645C" w:rsidRPr="0036645C" w:rsidP="0036645C" w14:paraId="26223FE8" w14:textId="3AF0B1DC">
      <w:pPr>
        <w:rPr>
          <w:lang w:val="it-IT"/>
        </w:rPr>
      </w:pPr>
      <w:r w:rsidRPr="00CD492A">
        <w:rPr>
          <w:i/>
          <w:lang w:val="it-IT"/>
        </w:rPr>
        <w:t xml:space="preserve">(Dato l'accordo tra il Parlamento e il Consiglio, la posizione del Parlamento corrisponde all'atto legislativo finale, il regolamento (UE) </w:t>
      </w:r>
      <w:r>
        <w:rPr>
          <w:i/>
          <w:lang w:val="it-IT"/>
        </w:rPr>
        <w:t>2026</w:t>
      </w:r>
      <w:r w:rsidRPr="00CD492A">
        <w:rPr>
          <w:i/>
          <w:lang w:val="it-IT"/>
        </w:rPr>
        <w:t>/</w:t>
      </w:r>
      <w:r>
        <w:rPr>
          <w:i/>
          <w:lang w:val="it-IT"/>
        </w:rPr>
        <w:t>1703</w:t>
      </w:r>
      <w:r>
        <w:rPr>
          <w:i/>
          <w:lang w:val="it-IT"/>
        </w:rPr>
        <w:t>.</w:t>
      </w:r>
      <w:r w:rsidRPr="00CD492A">
        <w:rPr>
          <w:i/>
          <w:lang w:val="it-IT"/>
        </w:rPr>
        <w:t>)</w:t>
      </w:r>
    </w:p>
    <w:sectPr w:rsidSect="002822E5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638E870F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4F495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99804D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822E5" w:rsidP="009C4014" w14:paraId="64312307" w14:textId="77777777">
      <w:r>
        <w:separator/>
      </w:r>
    </w:p>
  </w:footnote>
  <w:footnote w:type="continuationSeparator" w:id="1">
    <w:p w:rsidR="002822E5" w:rsidP="009C4014" w14:paraId="0E8680F7" w14:textId="77777777">
      <w:r>
        <w:continuationSeparator/>
      </w:r>
    </w:p>
  </w:footnote>
  <w:footnote w:id="2">
    <w:p w:rsidR="002822E5" w:rsidRPr="002822E5" w:rsidP="002822E5" w14:paraId="3C6D791A" w14:textId="77777777">
      <w:pPr>
        <w:pStyle w:val="FootnoteText"/>
        <w:keepLines w:val="0"/>
        <w:spacing w:line="240" w:lineRule="auto"/>
        <w:ind w:left="851" w:hanging="851"/>
        <w:rPr>
          <w:sz w:val="24"/>
          <w:szCs w:val="24"/>
          <w:lang w:val="it-IT"/>
        </w:rPr>
      </w:pPr>
      <w:r w:rsidRPr="002822E5">
        <w:rPr>
          <w:rStyle w:val="FootnoteReference"/>
          <w:sz w:val="24"/>
          <w:szCs w:val="24"/>
        </w:rPr>
        <w:footnoteRef/>
      </w:r>
      <w:r w:rsidRPr="002822E5">
        <w:rPr>
          <w:sz w:val="24"/>
          <w:szCs w:val="24"/>
          <w:lang w:val="it-IT"/>
        </w:rPr>
        <w:t xml:space="preserve"> </w:t>
      </w:r>
      <w:r w:rsidRPr="002822E5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F09B6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732803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2F791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1784127">
    <w:abstractNumId w:val="3"/>
  </w:num>
  <w:num w:numId="2" w16cid:durableId="937521178">
    <w:abstractNumId w:val="2"/>
  </w:num>
  <w:num w:numId="3" w16cid:durableId="1424182959">
    <w:abstractNumId w:val="1"/>
  </w:num>
  <w:num w:numId="4" w16cid:durableId="1514224989">
    <w:abstractNumId w:val="0"/>
  </w:num>
  <w:num w:numId="5" w16cid:durableId="472602129">
    <w:abstractNumId w:val="6"/>
  </w:num>
  <w:num w:numId="6" w16cid:durableId="238834180">
    <w:abstractNumId w:val="5"/>
  </w:num>
  <w:num w:numId="7" w16cid:durableId="1736006386">
    <w:abstractNumId w:val="4"/>
  </w:num>
  <w:num w:numId="8" w16cid:durableId="1789161312">
    <w:abstractNumId w:val="7"/>
  </w:num>
  <w:num w:numId="9" w16cid:durableId="16304715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E5"/>
    <w:rsid w:val="00013B2A"/>
    <w:rsid w:val="000A1225"/>
    <w:rsid w:val="000C2BFE"/>
    <w:rsid w:val="000F27A9"/>
    <w:rsid w:val="000F3286"/>
    <w:rsid w:val="000F6208"/>
    <w:rsid w:val="00125CBC"/>
    <w:rsid w:val="00172070"/>
    <w:rsid w:val="00185E15"/>
    <w:rsid w:val="001D4BBF"/>
    <w:rsid w:val="001D63A8"/>
    <w:rsid w:val="002822E5"/>
    <w:rsid w:val="002924A9"/>
    <w:rsid w:val="002A1D4E"/>
    <w:rsid w:val="002B4BCF"/>
    <w:rsid w:val="002D5EE6"/>
    <w:rsid w:val="002F1925"/>
    <w:rsid w:val="00300C61"/>
    <w:rsid w:val="00312A38"/>
    <w:rsid w:val="003202DD"/>
    <w:rsid w:val="0036645C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363F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BA4E80"/>
    <w:rsid w:val="00C15516"/>
    <w:rsid w:val="00C16C81"/>
    <w:rsid w:val="00C57739"/>
    <w:rsid w:val="00C65BE8"/>
    <w:rsid w:val="00CB189C"/>
    <w:rsid w:val="00CB451F"/>
    <w:rsid w:val="00CC4897"/>
    <w:rsid w:val="00CD492A"/>
    <w:rsid w:val="00D202A4"/>
    <w:rsid w:val="00D50CF6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D626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1BE536"/>
  <w15:chartTrackingRefBased/>
  <w15:docId w15:val="{F45394D7-58F7-411B-BDCF-E5074BB6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aliases w:val="Footnote Reference Superscript,BVI fnr,Footnote symbol,Footnote reference number,note TESI,Footnote call,SUPERS,(Footnote Reference),Footnote,Voetnootverwijzing,Times 10 Point,Exposant 3 Point,stylish,Ref,de nota al pie,16 Point"/>
    <w:rPr>
      <w:b w:val="0"/>
      <w:vertAlign w:val="superscript"/>
    </w:rPr>
  </w:style>
  <w:style w:type="paragraph" w:styleId="FootnoteText">
    <w:name w:val="footnote text"/>
    <w:aliases w:val="Footnote Text Char1,Footnote Text Char1 Char Char,Footnote Text Char Char Char Char,Footnote Text Char Char Char Char Char Char Char Char,Footnote Text Char Char1,Schriftart: 9 pt,f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aliases w:val="Footnote Text Char1 Char,Footnote Text Char1 Char Char Char,Footnote Text Char Char Char Char Char,Footnote Text Char Char Char Char Char Char Char Char Char,Footnote Text Char Char1 Char,Schriftart: 9 pt Char,f Char"/>
    <w:link w:val="FootnoteText"/>
    <w:uiPriority w:val="99"/>
    <w:rsid w:val="002822E5"/>
    <w:rPr>
      <w:sz w:val="22"/>
      <w:lang w:val="fr-FR"/>
    </w:rPr>
  </w:style>
  <w:style w:type="paragraph" w:styleId="Revision">
    <w:name w:val="Revision"/>
    <w:hidden/>
    <w:uiPriority w:val="99"/>
    <w:semiHidden/>
    <w:rsid w:val="002822E5"/>
    <w:rPr>
      <w:sz w:val="24"/>
      <w:lang w:val="fr-FR"/>
    </w:rPr>
  </w:style>
  <w:style w:type="character" w:styleId="CommentReference">
    <w:name w:val="annotation reference"/>
    <w:basedOn w:val="DefaultParagraphFont"/>
    <w:rsid w:val="002822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22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22E5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82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22E5"/>
    <w:rPr>
      <w:b/>
      <w:bCs/>
      <w:lang w:val="fr-FR"/>
    </w:rPr>
  </w:style>
  <w:style w:type="character" w:customStyle="1" w:styleId="Hyperlink1">
    <w:name w:val="Hyperlink1"/>
    <w:basedOn w:val="DefaultParagraphFont"/>
    <w:uiPriority w:val="99"/>
    <w:unhideWhenUsed/>
    <w:rsid w:val="002822E5"/>
    <w:rPr>
      <w:color w:val="0000FF"/>
      <w:u w:val="single"/>
    </w:rPr>
  </w:style>
  <w:style w:type="character" w:styleId="Hyperlink">
    <w:name w:val="Hyperlink"/>
    <w:basedOn w:val="DefaultParagraphFont"/>
    <w:rsid w:val="00282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2</Pages>
  <Words>267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2026-09-01T07:41:00Z</dcterms:created>
  <dcterms:modified xsi:type="dcterms:W3CDTF">2026-09-01T07:41:00Z</dcterms:modified>
</cp:coreProperties>
</file>