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DB19B0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933706" w:rsidP="00425111" w14:paraId="2199FC25" w14:textId="77777777">
            <w:pPr>
              <w:pStyle w:val="EPName"/>
              <w:rPr>
                <w:lang w:val="en-GB"/>
              </w:rPr>
            </w:pPr>
            <w:r w:rsidRPr="00933706">
              <w:rPr>
                <w:lang w:val="en-GB"/>
              </w:rPr>
              <w:t>Eiropas</w:t>
            </w:r>
            <w:r w:rsidRPr="00933706">
              <w:rPr>
                <w:lang w:val="en-GB"/>
              </w:rPr>
              <w:t xml:space="preserve"> </w:t>
            </w:r>
            <w:r w:rsidRPr="00933706">
              <w:rPr>
                <w:lang w:val="en-GB"/>
              </w:rPr>
              <w:t>Parlaments</w:t>
            </w:r>
          </w:p>
          <w:p w:rsidR="00757DD5" w:rsidRPr="00933706" w:rsidP="00425111" w14:paraId="2B6AD7BB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3370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933706" w:rsidP="00425111" w14:paraId="3CE2F4EE" w14:textId="77777777">
            <w:pPr>
              <w:pStyle w:val="EPLogo"/>
            </w:pPr>
            <w:r w:rsidRPr="00933706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933706" w:rsidP="008E7632" w14:paraId="15755CDE" w14:textId="77777777">
      <w:pPr>
        <w:pStyle w:val="LineTop"/>
        <w:rPr>
          <w:lang w:val="en-GB"/>
        </w:rPr>
      </w:pPr>
    </w:p>
    <w:p w:rsidR="008E7632" w:rsidRPr="00933706" w:rsidP="008E7632" w14:paraId="527861A7" w14:textId="77777777">
      <w:pPr>
        <w:pStyle w:val="ZSessionDoc"/>
        <w:rPr>
          <w:b/>
          <w:i w:val="0"/>
        </w:rPr>
      </w:pPr>
      <w:r w:rsidRPr="00933706">
        <w:rPr>
          <w:b/>
          <w:i w:val="0"/>
        </w:rPr>
        <w:t>PIEŅEMTIE TEKSTI</w:t>
      </w:r>
    </w:p>
    <w:p w:rsidR="008E7632" w:rsidRPr="00933706" w:rsidP="008E7632" w14:paraId="6F471590" w14:textId="77777777">
      <w:pPr>
        <w:pStyle w:val="LineBottom"/>
      </w:pPr>
      <w:r w:rsidRPr="00933706">
        <w:rPr>
          <w:rFonts w:cs="Arial"/>
          <w:i/>
          <w:sz w:val="20"/>
          <w:szCs w:val="22"/>
        </w:rPr>
        <w:t xml:space="preserve"> </w:t>
      </w:r>
    </w:p>
    <w:p w:rsidR="009C4014" w:rsidRPr="00933706" w:rsidP="008E7632" w14:paraId="1513239C" w14:textId="3949B0C8">
      <w:pPr>
        <w:pStyle w:val="ATHeading1"/>
        <w:spacing w:before="480"/>
        <w:rPr>
          <w:lang w:val="en-GB"/>
        </w:rPr>
      </w:pPr>
      <w:bookmarkStart w:id="0" w:name="TA_Heading"/>
      <w:r w:rsidRPr="00933706">
        <w:rPr>
          <w:lang w:val="en-GB"/>
        </w:rPr>
        <w:t>P10_TA(2026)</w:t>
      </w:r>
      <w:bookmarkStart w:id="1" w:name="TANumber"/>
      <w:bookmarkEnd w:id="0"/>
      <w:r w:rsidRPr="00933706">
        <w:rPr>
          <w:lang w:val="en-GB"/>
        </w:rPr>
        <w:t>0</w:t>
      </w:r>
      <w:bookmarkEnd w:id="1"/>
      <w:r w:rsidRPr="00933706" w:rsidR="00933706">
        <w:rPr>
          <w:lang w:val="en-GB"/>
        </w:rPr>
        <w:t>226</w:t>
      </w:r>
    </w:p>
    <w:p w:rsidR="009C4014" w:rsidRPr="00933706" w:rsidP="00C1229C" w14:paraId="1A49D989" w14:textId="11EA5637">
      <w:pPr>
        <w:pStyle w:val="ATHeading2"/>
        <w:rPr>
          <w:lang w:val="en-GB"/>
        </w:rPr>
      </w:pPr>
      <w:bookmarkStart w:id="2" w:name="title"/>
      <w:r w:rsidRPr="00933706">
        <w:rPr>
          <w:bCs/>
          <w:lang w:val="en-GB"/>
        </w:rPr>
        <w:t>Atkritumu s</w:t>
      </w:r>
      <w:r w:rsidRPr="00933706">
        <w:rPr>
          <w:rFonts w:hint="eastAsia"/>
          <w:bCs/>
          <w:lang w:val="en-GB"/>
        </w:rPr>
        <w:t>ū</w:t>
      </w:r>
      <w:r w:rsidRPr="00933706">
        <w:rPr>
          <w:bCs/>
          <w:lang w:val="en-GB"/>
        </w:rPr>
        <w:t>t</w:t>
      </w:r>
      <w:r w:rsidRPr="00933706">
        <w:rPr>
          <w:rFonts w:hint="eastAsia"/>
          <w:bCs/>
          <w:lang w:val="en-GB"/>
        </w:rPr>
        <w:t>ī</w:t>
      </w:r>
      <w:r w:rsidRPr="00933706">
        <w:rPr>
          <w:bCs/>
          <w:lang w:val="en-GB"/>
        </w:rPr>
        <w:t>jumi: atg</w:t>
      </w:r>
      <w:r w:rsidRPr="00933706">
        <w:rPr>
          <w:rFonts w:hint="eastAsia"/>
          <w:bCs/>
          <w:lang w:val="en-GB"/>
        </w:rPr>
        <w:t>ūš</w:t>
      </w:r>
      <w:r w:rsidRPr="00933706">
        <w:rPr>
          <w:bCs/>
          <w:lang w:val="en-GB"/>
        </w:rPr>
        <w:t>anai paredz</w:t>
      </w:r>
      <w:r w:rsidRPr="00933706">
        <w:rPr>
          <w:rFonts w:hint="eastAsia"/>
          <w:bCs/>
          <w:lang w:val="en-GB"/>
        </w:rPr>
        <w:t>ē</w:t>
      </w:r>
      <w:r w:rsidRPr="00933706">
        <w:rPr>
          <w:bCs/>
          <w:lang w:val="en-GB"/>
        </w:rPr>
        <w:t>tu jauktu sadz</w:t>
      </w:r>
      <w:r w:rsidRPr="00933706">
        <w:rPr>
          <w:rFonts w:hint="eastAsia"/>
          <w:bCs/>
          <w:lang w:val="en-GB"/>
        </w:rPr>
        <w:t>ī</w:t>
      </w:r>
      <w:r w:rsidRPr="00933706">
        <w:rPr>
          <w:bCs/>
          <w:lang w:val="en-GB"/>
        </w:rPr>
        <w:t xml:space="preserve">ves atkritumu eksports uz </w:t>
      </w:r>
      <w:r w:rsidRPr="00933706">
        <w:rPr>
          <w:rFonts w:hint="eastAsia"/>
          <w:bCs/>
          <w:lang w:val="en-GB"/>
        </w:rPr>
        <w:t>Š</w:t>
      </w:r>
      <w:r w:rsidRPr="00933706">
        <w:rPr>
          <w:bCs/>
          <w:lang w:val="en-GB"/>
        </w:rPr>
        <w:t>veici</w:t>
      </w:r>
      <w:bookmarkEnd w:id="2"/>
      <w:r w:rsidRPr="00933706">
        <w:rPr>
          <w:lang w:val="en-GB"/>
        </w:rPr>
        <w:t xml:space="preserve"> </w:t>
      </w:r>
      <w:bookmarkStart w:id="3" w:name="Etoiles"/>
      <w:bookmarkEnd w:id="3"/>
    </w:p>
    <w:p w:rsidR="009C4014" w:rsidRPr="00933706" w:rsidP="009C4014" w14:paraId="1E2B29A6" w14:textId="77777777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933706">
        <w:rPr>
          <w:i/>
          <w:lang w:val="en-GB"/>
        </w:rPr>
        <w:instrText xml:space="preserve"> TC"</w:instrText>
      </w:r>
      <w:bookmarkStart w:id="4" w:name="DocNumber"/>
      <w:r w:rsidRPr="00933706" w:rsidR="00C1229C">
        <w:rPr>
          <w:i/>
          <w:lang w:val="en-GB"/>
        </w:rPr>
        <w:instrText>(C10-0108/2026)</w:instrText>
      </w:r>
      <w:bookmarkEnd w:id="4"/>
      <w:r w:rsidRPr="00933706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:rsidR="00C1229C" w:rsidRPr="00933706" w:rsidP="009C4014" w14:paraId="78E986B7" w14:textId="77777777">
      <w:pPr>
        <w:rPr>
          <w:vanish/>
          <w:lang w:val="en-GB"/>
        </w:rPr>
      </w:pPr>
      <w:bookmarkStart w:id="5" w:name="Commission"/>
      <w:r w:rsidRPr="00933706">
        <w:rPr>
          <w:vanish/>
          <w:lang w:val="en-GB"/>
        </w:rPr>
        <w:t>Vides, klimata un pārtikas nekaitīguma komiteja</w:t>
      </w:r>
    </w:p>
    <w:p w:rsidR="009C4014" w:rsidRPr="00933706" w:rsidP="009C4014" w14:paraId="31E20A46" w14:textId="77777777">
      <w:pPr>
        <w:rPr>
          <w:vanish/>
          <w:lang w:val="en-GB"/>
        </w:rPr>
      </w:pPr>
      <w:bookmarkStart w:id="6" w:name="PE"/>
      <w:bookmarkEnd w:id="5"/>
      <w:r w:rsidRPr="00933706">
        <w:rPr>
          <w:vanish/>
          <w:lang w:val="en-GB"/>
        </w:rPr>
        <w:t>PE789.799</w:t>
      </w:r>
      <w:bookmarkEnd w:id="6"/>
    </w:p>
    <w:p w:rsidR="009C4014" w:rsidRPr="00933706" w:rsidP="00C1229C" w14:paraId="47B0F991" w14:textId="2733AB88">
      <w:pPr>
        <w:pStyle w:val="ATHeading3"/>
        <w:rPr>
          <w:lang w:val="en-GB"/>
        </w:rPr>
      </w:pPr>
      <w:bookmarkStart w:id="7" w:name="Sujet"/>
      <w:r w:rsidRPr="00933706">
        <w:rPr>
          <w:lang w:val="en-GB"/>
        </w:rPr>
        <w:t xml:space="preserve">Eiropas Parlamenta 2026. gada 18. jūnija normatīvā rezolūcija par priekšlikumu </w:t>
      </w:r>
      <w:r w:rsidRPr="00933706" w:rsidR="00C82F5F">
        <w:rPr>
          <w:lang w:val="en-GB"/>
        </w:rPr>
        <w:t xml:space="preserve">Eiropas Parlamenta un </w:t>
      </w:r>
      <w:r w:rsidRPr="00933706">
        <w:rPr>
          <w:lang w:val="en-GB"/>
        </w:rPr>
        <w:t>Padomes regulai, ar ko attiecībā uz aizliegumu eksportēt atgūšanai paredzētus jauktus sadzīves atkritumus groza Regulu (ES) 2024/1157</w:t>
      </w:r>
      <w:bookmarkEnd w:id="7"/>
      <w:r w:rsidRPr="00933706" w:rsidR="00E73B02">
        <w:rPr>
          <w:lang w:val="en-GB"/>
        </w:rPr>
        <w:t xml:space="preserve"> </w:t>
      </w:r>
      <w:bookmarkStart w:id="8" w:name="References"/>
      <w:r w:rsidRPr="00933706">
        <w:rPr>
          <w:lang w:val="en-GB"/>
        </w:rPr>
        <w:t>(COM(2026)0183 – C10-0108/2026 – 2026/0099(COD))</w:t>
      </w:r>
      <w:bookmarkEnd w:id="8"/>
    </w:p>
    <w:p w:rsidR="00C1229C" w:rsidRPr="00933706" w:rsidP="00C1229C" w14:paraId="75AE8B75" w14:textId="442904C9">
      <w:pPr>
        <w:rPr>
          <w:b/>
          <w:bCs/>
          <w:lang w:val="en-GB"/>
        </w:rPr>
      </w:pPr>
      <w:r w:rsidRPr="00933706">
        <w:rPr>
          <w:b/>
          <w:bCs/>
          <w:iCs/>
          <w:szCs w:val="24"/>
          <w:lang w:val="en-GB"/>
        </w:rPr>
        <w:t>(</w:t>
      </w:r>
      <w:r w:rsidRPr="00933706">
        <w:rPr>
          <w:b/>
          <w:bCs/>
          <w:iCs/>
          <w:szCs w:val="24"/>
          <w:lang w:val="en-GB"/>
        </w:rPr>
        <w:t>Parastā</w:t>
      </w:r>
      <w:r w:rsidRPr="00933706">
        <w:rPr>
          <w:b/>
          <w:bCs/>
          <w:iCs/>
          <w:szCs w:val="24"/>
          <w:lang w:val="en-GB"/>
        </w:rPr>
        <w:t xml:space="preserve"> </w:t>
      </w:r>
      <w:r w:rsidRPr="00933706">
        <w:rPr>
          <w:b/>
          <w:bCs/>
          <w:iCs/>
          <w:szCs w:val="24"/>
          <w:lang w:val="en-GB"/>
        </w:rPr>
        <w:t>likumdošanas</w:t>
      </w:r>
      <w:r w:rsidRPr="00933706">
        <w:rPr>
          <w:b/>
          <w:bCs/>
          <w:iCs/>
          <w:szCs w:val="24"/>
          <w:lang w:val="en-GB"/>
        </w:rPr>
        <w:t xml:space="preserve"> </w:t>
      </w:r>
      <w:r w:rsidRPr="00933706">
        <w:rPr>
          <w:b/>
          <w:bCs/>
          <w:iCs/>
          <w:szCs w:val="24"/>
          <w:lang w:val="en-GB"/>
        </w:rPr>
        <w:t>procedūra</w:t>
      </w:r>
      <w:r w:rsidRPr="00933706">
        <w:rPr>
          <w:b/>
          <w:bCs/>
          <w:iCs/>
          <w:szCs w:val="24"/>
          <w:lang w:val="en-GB"/>
        </w:rPr>
        <w:t xml:space="preserve">: </w:t>
      </w:r>
      <w:r w:rsidRPr="00933706">
        <w:rPr>
          <w:b/>
          <w:bCs/>
          <w:iCs/>
          <w:szCs w:val="24"/>
          <w:lang w:val="en-GB"/>
        </w:rPr>
        <w:t>pirmais</w:t>
      </w:r>
      <w:r w:rsidRPr="00933706">
        <w:rPr>
          <w:b/>
          <w:bCs/>
          <w:iCs/>
          <w:szCs w:val="24"/>
          <w:lang w:val="en-GB"/>
        </w:rPr>
        <w:t xml:space="preserve"> </w:t>
      </w:r>
      <w:r w:rsidRPr="00933706">
        <w:rPr>
          <w:b/>
          <w:bCs/>
          <w:iCs/>
          <w:szCs w:val="24"/>
          <w:lang w:val="en-GB"/>
        </w:rPr>
        <w:t>lasījums</w:t>
      </w:r>
      <w:r w:rsidRPr="00933706">
        <w:rPr>
          <w:b/>
          <w:bCs/>
          <w:iCs/>
          <w:szCs w:val="24"/>
          <w:lang w:val="en-GB"/>
        </w:rPr>
        <w:t>)</w:t>
      </w:r>
    </w:p>
    <w:p w:rsidR="006E5420" w:rsidRPr="00933706" w:rsidP="008B1C2E" w14:paraId="6B631D38" w14:textId="77777777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 w:rsidRPr="00933706">
        <w:rPr>
          <w:i/>
          <w:szCs w:val="24"/>
        </w:rPr>
        <w:t>Eiropas</w:t>
      </w:r>
      <w:r w:rsidRPr="00933706">
        <w:rPr>
          <w:i/>
          <w:szCs w:val="24"/>
        </w:rPr>
        <w:t xml:space="preserve"> </w:t>
      </w:r>
      <w:r w:rsidRPr="00933706">
        <w:rPr>
          <w:i/>
          <w:szCs w:val="24"/>
        </w:rPr>
        <w:t>Parlaments</w:t>
      </w:r>
      <w:r w:rsidRPr="00933706">
        <w:rPr>
          <w:i/>
          <w:szCs w:val="24"/>
        </w:rPr>
        <w:t>,</w:t>
      </w:r>
    </w:p>
    <w:p w:rsidR="00C1229C" w:rsidRPr="00933706" w:rsidP="00C1229C" w14:paraId="39F776C7" w14:textId="59296507">
      <w:pPr>
        <w:pStyle w:val="NormalHanging12a"/>
      </w:pPr>
      <w:r w:rsidRPr="00933706">
        <w:t>–</w:t>
      </w:r>
      <w:r w:rsidRPr="00933706">
        <w:tab/>
        <w:t>ņemot vērā Komisijas priekšlikumu Parlamentam un Padomei (</w:t>
      </w:r>
      <w:r w:rsidRPr="00933706">
        <w:rPr>
          <w:snapToGrid w:val="0"/>
          <w:lang w:val="en-GB"/>
        </w:rPr>
        <w:t>COM(2026)0183</w:t>
      </w:r>
      <w:r w:rsidRPr="00933706">
        <w:t>),</w:t>
      </w:r>
    </w:p>
    <w:p w:rsidR="00C1229C" w:rsidRPr="00933706" w:rsidP="00C1229C" w14:paraId="65947EE4" w14:textId="1B67F0F7">
      <w:pPr>
        <w:pStyle w:val="NormalHanging12a"/>
      </w:pPr>
      <w:r w:rsidRPr="00933706">
        <w:t>–</w:t>
      </w:r>
      <w:r w:rsidRPr="00933706">
        <w:tab/>
        <w:t>ņemot vērā Līguma par Eiropas Savienības darbību 294. panta 2. punktu un 192. panta 1. punktu, saskaņā ar kuriem Komisija tam ir iesniegusi priekšlikumu (</w:t>
      </w:r>
      <w:r w:rsidRPr="00933706">
        <w:rPr>
          <w:snapToGrid w:val="0"/>
        </w:rPr>
        <w:t>C10-0108/2026</w:t>
      </w:r>
      <w:r w:rsidRPr="00933706">
        <w:t>),</w:t>
      </w:r>
    </w:p>
    <w:p w:rsidR="00C1229C" w:rsidRPr="00933706" w:rsidP="00C1229C" w14:paraId="0CD4DF6D" w14:textId="77777777">
      <w:pPr>
        <w:pStyle w:val="NormalHanging12a"/>
      </w:pPr>
      <w:r w:rsidRPr="00933706">
        <w:t>–</w:t>
      </w:r>
      <w:r w:rsidRPr="00933706">
        <w:tab/>
        <w:t>ņemot vērā Līguma par Eiropas Savienības darbību 294. panta 3. punktu,</w:t>
      </w:r>
    </w:p>
    <w:p w:rsidR="00C1229C" w:rsidRPr="00933706" w:rsidP="00C1229C" w14:paraId="5D8C0FF8" w14:textId="76686140">
      <w:pPr>
        <w:pStyle w:val="NormalHanging12a"/>
      </w:pPr>
      <w:r w:rsidRPr="00933706">
        <w:t>–</w:t>
      </w:r>
      <w:r w:rsidRPr="00933706">
        <w:tab/>
        <w:t>ņemot vērā Eiropas Ekonomikas un sociālo lietu k</w:t>
      </w:r>
      <w:r w:rsidRPr="00933706" w:rsidR="00C82F5F">
        <w:t xml:space="preserve">omitejas </w:t>
      </w:r>
      <w:r w:rsidRPr="00933706">
        <w:t>2026. gada 17. jūnija atzinumu</w:t>
      </w:r>
      <w:r>
        <w:rPr>
          <w:rStyle w:val="FootnoteReference"/>
        </w:rPr>
        <w:footnoteReference w:id="2"/>
      </w:r>
      <w:r w:rsidRPr="00933706">
        <w:t>,</w:t>
      </w:r>
    </w:p>
    <w:p w:rsidR="00C1229C" w:rsidRPr="00933706" w:rsidP="00C1229C" w14:paraId="614D7FD9" w14:textId="77777777">
      <w:pPr>
        <w:pStyle w:val="NormalHanging12a"/>
      </w:pPr>
      <w:r w:rsidRPr="00933706">
        <w:t>–</w:t>
      </w:r>
      <w:r w:rsidRPr="00933706">
        <w:tab/>
        <w:t>pēc apspriešanās ar Reģionu komiteju,</w:t>
      </w:r>
    </w:p>
    <w:p w:rsidR="00C1229C" w:rsidRPr="00933706" w:rsidP="00C1229C" w14:paraId="752E911A" w14:textId="77777777">
      <w:pPr>
        <w:pStyle w:val="NormalHanging12a"/>
      </w:pPr>
      <w:r w:rsidRPr="00933706">
        <w:t>–</w:t>
      </w:r>
      <w:r w:rsidRPr="00933706">
        <w:tab/>
        <w:t>ņemot vērā Reglamenta 60. un 170. pantu,</w:t>
      </w:r>
    </w:p>
    <w:p w:rsidR="00C1229C" w:rsidRPr="00933706" w:rsidP="00C1229C" w14:paraId="16819A85" w14:textId="77777777">
      <w:pPr>
        <w:pStyle w:val="NormalHanging12a"/>
      </w:pPr>
      <w:r w:rsidRPr="00933706">
        <w:t>1.</w:t>
      </w:r>
      <w:r w:rsidRPr="00933706">
        <w:tab/>
        <w:t>pieņem pirmajā lasījumā turpmāk izklāstīto nostāju;</w:t>
      </w:r>
    </w:p>
    <w:p w:rsidR="00C1229C" w:rsidRPr="00933706" w:rsidP="00C1229C" w14:paraId="05118E67" w14:textId="77777777">
      <w:pPr>
        <w:pStyle w:val="NormalHanging12a"/>
        <w:rPr>
          <w:szCs w:val="24"/>
        </w:rPr>
      </w:pPr>
      <w:r w:rsidRPr="00933706">
        <w:t>2.</w:t>
      </w:r>
      <w:r w:rsidRPr="00933706">
        <w:tab/>
        <w:t>prasa Komisijai priekšlikumu Parlamentam iesniegt vēlreiz, ja tā savu priekšlikumu aizstāj, būtiski groza vai ir paredzējusi to būtiski grozīt;</w:t>
      </w:r>
    </w:p>
    <w:p w:rsidR="00EC05B3" w:rsidRPr="00933706" w:rsidP="00C1229C" w14:paraId="0D90ADBC" w14:textId="0C68991B">
      <w:pPr>
        <w:tabs>
          <w:tab w:val="left" w:pos="-720"/>
          <w:tab w:val="left" w:pos="567"/>
        </w:tabs>
        <w:spacing w:after="120"/>
        <w:ind w:left="567" w:hanging="567"/>
        <w:rPr>
          <w:lang w:val="lv-LV"/>
        </w:rPr>
      </w:pPr>
      <w:r w:rsidRPr="00933706">
        <w:rPr>
          <w:lang w:val="lv-LV"/>
        </w:rPr>
        <w:t>3.</w:t>
      </w:r>
      <w:r w:rsidRPr="00933706">
        <w:rPr>
          <w:lang w:val="lv-LV"/>
        </w:rPr>
        <w:tab/>
        <w:t>uzdod priekšsēdētājai Parlamenta nostāju nosūtīt Padomei un Komisijai, kā arī dalībvalstu parlamentiem.</w:t>
      </w:r>
    </w:p>
    <w:p w:rsidR="00933706" w:rsidP="00933706" w14:paraId="080F8384" w14:textId="77777777">
      <w:pPr>
        <w:rPr>
          <w:b/>
          <w:bCs/>
          <w:color w:val="000000"/>
          <w:lang w:val="lv-LV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C1229C" w:rsidRPr="00933706" w:rsidP="00933706" w14:paraId="5FC811DC" w14:textId="5B0FCBEF">
      <w:pPr>
        <w:rPr>
          <w:b/>
          <w:bCs/>
          <w:color w:val="000000"/>
          <w:lang w:val="lv-LV"/>
        </w:rPr>
      </w:pPr>
      <w:r w:rsidRPr="00933706">
        <w:rPr>
          <w:b/>
          <w:bCs/>
          <w:color w:val="000000"/>
          <w:lang w:val="lv-LV"/>
        </w:rPr>
        <w:t>P10_TC1-COD(</w:t>
      </w:r>
      <w:r w:rsidRPr="00933706">
        <w:rPr>
          <w:rFonts w:eastAsia="Calibri"/>
          <w:b/>
          <w:bCs/>
          <w:color w:val="000000"/>
          <w:szCs w:val="24"/>
          <w:lang w:val="lv-LV"/>
        </w:rPr>
        <w:t>2026)0099</w:t>
      </w:r>
    </w:p>
    <w:p w:rsidR="007717D6" w:rsidP="007717D6" w14:paraId="367F25F8" w14:textId="77777777">
      <w:pPr>
        <w:pStyle w:val="Statut"/>
        <w:spacing w:before="240" w:after="120"/>
        <w:jc w:val="left"/>
        <w:rPr>
          <w:b/>
          <w:bCs/>
          <w:noProof/>
        </w:rPr>
      </w:pPr>
      <w:r w:rsidRPr="00933706">
        <w:rPr>
          <w:b/>
        </w:rPr>
        <w:t xml:space="preserve">Eiropas Parlamenta nostāja, pieņemta pirmajā lasījumā 2026. gada 18. jūnijā, lai pieņemtu Eiropas Parlamenta un Padomes Regulu (ES) 2026/..., </w:t>
      </w:r>
      <w:r w:rsidRPr="00933706">
        <w:rPr>
          <w:b/>
          <w:bCs/>
        </w:rPr>
        <w:t xml:space="preserve">ar </w:t>
      </w:r>
      <w:r w:rsidRPr="00933706">
        <w:rPr>
          <w:b/>
          <w:bCs/>
          <w:noProof/>
        </w:rPr>
        <w:t xml:space="preserve">ko groza Regulu (ES) 2024/1157 attiecībā uz aizliegumu eksportēt atgūšanai paredzētus jauktus sadzīves atkritumus </w:t>
      </w:r>
    </w:p>
    <w:p w:rsidR="00973E07" w:rsidRPr="00973E07" w:rsidP="00973E07" w14:paraId="7738D2D7" w14:textId="1E87B0FC">
      <w:pPr>
        <w:rPr>
          <w:lang w:val="lv-LV" w:eastAsia="en-US"/>
        </w:rPr>
      </w:pPr>
      <w:r w:rsidRPr="00973E07">
        <w:rPr>
          <w:i/>
          <w:lang w:val="lv-LV"/>
        </w:rPr>
        <w:t xml:space="preserve">(Tā kā starp Parlamentu un Padomi tika panākta vienošanās, Parlamenta nostāja atbilst galīgajam tiesību aktam Regulai (ES) </w:t>
      </w:r>
      <w:r w:rsidRPr="00973E07">
        <w:rPr>
          <w:i/>
          <w:lang w:val="lv-LV" w:eastAsia="en-US"/>
        </w:rPr>
        <w:t>2026/1703</w:t>
      </w:r>
      <w:r w:rsidRPr="00973E07">
        <w:rPr>
          <w:i/>
          <w:lang w:val="lv-LV" w:eastAsia="en-US"/>
        </w:rPr>
        <w:t>.)</w:t>
      </w:r>
    </w:p>
    <w:p w:rsidR="00973E07" w:rsidRPr="00973E07" w:rsidP="00973E07" w14:paraId="0898C287" w14:textId="569D7435">
      <w:pPr>
        <w:rPr>
          <w:lang w:val="lv-LV" w:eastAsia="en-US"/>
        </w:rPr>
      </w:pPr>
    </w:p>
    <w:sectPr w:rsidSect="00933706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28CF856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0ABBE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AEE1D6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1229C" w:rsidP="009C4014" w14:paraId="1586EACB" w14:textId="77777777">
      <w:r>
        <w:separator/>
      </w:r>
    </w:p>
  </w:footnote>
  <w:footnote w:type="continuationSeparator" w:id="1">
    <w:p w:rsidR="00C1229C" w:rsidP="009C4014" w14:paraId="7C142AD1" w14:textId="77777777">
      <w:r>
        <w:continuationSeparator/>
      </w:r>
    </w:p>
  </w:footnote>
  <w:footnote w:id="2">
    <w:p w:rsidR="00C1229C" w:rsidRPr="00933706" w:rsidP="00933706" w14:paraId="1642AE19" w14:textId="11317F06">
      <w:pPr>
        <w:pStyle w:val="FootnoteText"/>
        <w:ind w:left="567" w:hanging="567"/>
        <w:rPr>
          <w:sz w:val="24"/>
          <w:szCs w:val="24"/>
          <w:lang w:val="lv-LV"/>
        </w:rPr>
      </w:pPr>
      <w:r w:rsidRPr="00933706">
        <w:rPr>
          <w:rStyle w:val="FootnoteReference"/>
          <w:sz w:val="24"/>
          <w:szCs w:val="24"/>
        </w:rPr>
        <w:footnoteRef/>
      </w:r>
      <w:r w:rsidRPr="00933706">
        <w:rPr>
          <w:sz w:val="24"/>
          <w:szCs w:val="24"/>
        </w:rPr>
        <w:t xml:space="preserve"> </w:t>
      </w:r>
      <w:r w:rsidRPr="00933706">
        <w:rPr>
          <w:sz w:val="24"/>
          <w:szCs w:val="24"/>
          <w:lang w:val="lv-LV"/>
        </w:rPr>
        <w:tab/>
      </w:r>
      <w:r w:rsidRPr="00933706">
        <w:rPr>
          <w:i/>
          <w:iCs/>
          <w:sz w:val="24"/>
          <w:szCs w:val="24"/>
          <w:lang w:val="lv-LV"/>
        </w:rPr>
        <w:t>Oficiālajā Vēstnesī</w:t>
      </w:r>
      <w:r w:rsidRPr="00933706">
        <w:rPr>
          <w:sz w:val="24"/>
          <w:szCs w:val="24"/>
          <w:lang w:val="lv-LV"/>
        </w:rPr>
        <w:t xml:space="preserve"> vēl nav publicēts.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F5E07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2A90AC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25FD2A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52728922">
    <w:abstractNumId w:val="3"/>
  </w:num>
  <w:num w:numId="2" w16cid:durableId="360086662">
    <w:abstractNumId w:val="2"/>
  </w:num>
  <w:num w:numId="3" w16cid:durableId="50928553">
    <w:abstractNumId w:val="1"/>
  </w:num>
  <w:num w:numId="4" w16cid:durableId="913971274">
    <w:abstractNumId w:val="0"/>
  </w:num>
  <w:num w:numId="5" w16cid:durableId="1699113020">
    <w:abstractNumId w:val="6"/>
  </w:num>
  <w:num w:numId="6" w16cid:durableId="137260306">
    <w:abstractNumId w:val="5"/>
  </w:num>
  <w:num w:numId="7" w16cid:durableId="1924489915">
    <w:abstractNumId w:val="4"/>
  </w:num>
  <w:num w:numId="8" w16cid:durableId="1685091892">
    <w:abstractNumId w:val="7"/>
  </w:num>
  <w:num w:numId="9" w16cid:durableId="18048867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29C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0DD4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060D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17D6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3706"/>
    <w:rsid w:val="00973E07"/>
    <w:rsid w:val="009865B7"/>
    <w:rsid w:val="009B7E10"/>
    <w:rsid w:val="009C4014"/>
    <w:rsid w:val="009F28EF"/>
    <w:rsid w:val="00A1739E"/>
    <w:rsid w:val="00B54C72"/>
    <w:rsid w:val="00B81786"/>
    <w:rsid w:val="00B85C1E"/>
    <w:rsid w:val="00BB48CE"/>
    <w:rsid w:val="00C1229C"/>
    <w:rsid w:val="00C15516"/>
    <w:rsid w:val="00C16C81"/>
    <w:rsid w:val="00C57739"/>
    <w:rsid w:val="00C65BE8"/>
    <w:rsid w:val="00C82F5F"/>
    <w:rsid w:val="00CB451F"/>
    <w:rsid w:val="00CC4897"/>
    <w:rsid w:val="00D202A4"/>
    <w:rsid w:val="00D91669"/>
    <w:rsid w:val="00DF097A"/>
    <w:rsid w:val="00DF53A8"/>
    <w:rsid w:val="00E039BF"/>
    <w:rsid w:val="00E11822"/>
    <w:rsid w:val="00E43039"/>
    <w:rsid w:val="00E45619"/>
    <w:rsid w:val="00E73B02"/>
    <w:rsid w:val="00E74BF3"/>
    <w:rsid w:val="00EC05B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FE07D6"/>
  <w15:chartTrackingRefBased/>
  <w15:docId w15:val="{06943ECE-99ED-4274-AA95-E5C94C80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C1229C"/>
    <w:pPr>
      <w:widowControl w:val="0"/>
      <w:spacing w:after="240"/>
      <w:ind w:left="567" w:hanging="567"/>
    </w:pPr>
    <w:rPr>
      <w:lang w:val="lv-LV"/>
    </w:rPr>
  </w:style>
  <w:style w:type="paragraph" w:styleId="Revision">
    <w:name w:val="Revision"/>
    <w:hidden/>
    <w:uiPriority w:val="99"/>
    <w:semiHidden/>
    <w:rsid w:val="00C1229C"/>
    <w:rPr>
      <w:sz w:val="24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17D6"/>
    <w:rPr>
      <w:sz w:val="22"/>
      <w:lang w:val="fr-FR"/>
    </w:rPr>
  </w:style>
  <w:style w:type="paragraph" w:customStyle="1" w:styleId="Applicationdirecte">
    <w:name w:val="Application directe"/>
    <w:basedOn w:val="Normal"/>
    <w:next w:val="Fait"/>
    <w:rsid w:val="007717D6"/>
    <w:pPr>
      <w:spacing w:before="480" w:after="120"/>
      <w:jc w:val="both"/>
    </w:pPr>
    <w:rPr>
      <w:rFonts w:eastAsiaTheme="minorHAnsi"/>
      <w:szCs w:val="22"/>
      <w:lang w:val="lv-LV" w:eastAsia="en-US"/>
    </w:rPr>
  </w:style>
  <w:style w:type="paragraph" w:customStyle="1" w:styleId="Fait">
    <w:name w:val="Fait à"/>
    <w:basedOn w:val="Normal"/>
    <w:next w:val="Institutionquisigne"/>
    <w:rsid w:val="007717D6"/>
    <w:pPr>
      <w:keepNext/>
      <w:spacing w:before="120"/>
      <w:jc w:val="both"/>
    </w:pPr>
    <w:rPr>
      <w:rFonts w:eastAsiaTheme="minorHAnsi"/>
      <w:szCs w:val="22"/>
      <w:lang w:val="lv-LV" w:eastAsia="en-US"/>
    </w:rPr>
  </w:style>
  <w:style w:type="paragraph" w:customStyle="1" w:styleId="Formuledadoption">
    <w:name w:val="Formule d'adoption"/>
    <w:basedOn w:val="Normal"/>
    <w:next w:val="Titrearticle"/>
    <w:rsid w:val="007717D6"/>
    <w:pPr>
      <w:keepNext/>
      <w:spacing w:before="120" w:after="120"/>
      <w:jc w:val="both"/>
    </w:pPr>
    <w:rPr>
      <w:rFonts w:eastAsiaTheme="minorHAnsi"/>
      <w:szCs w:val="22"/>
      <w:lang w:val="lv-LV" w:eastAsia="en-US"/>
    </w:rPr>
  </w:style>
  <w:style w:type="paragraph" w:customStyle="1" w:styleId="Institutionquiagit">
    <w:name w:val="Institution qui agit"/>
    <w:basedOn w:val="Normal"/>
    <w:next w:val="Normal"/>
    <w:rsid w:val="007717D6"/>
    <w:pPr>
      <w:keepNext/>
      <w:spacing w:before="600" w:after="120"/>
      <w:jc w:val="both"/>
    </w:pPr>
    <w:rPr>
      <w:rFonts w:eastAsiaTheme="minorHAnsi"/>
      <w:szCs w:val="22"/>
      <w:lang w:val="lv-LV" w:eastAsia="en-US"/>
    </w:rPr>
  </w:style>
  <w:style w:type="paragraph" w:customStyle="1" w:styleId="Institutionquisigne">
    <w:name w:val="Institution qui signe"/>
    <w:basedOn w:val="Normal"/>
    <w:next w:val="Personnequisigne"/>
    <w:rsid w:val="007717D6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lv-LV" w:eastAsia="en-US"/>
    </w:rPr>
  </w:style>
  <w:style w:type="paragraph" w:customStyle="1" w:styleId="ManualConsidrant">
    <w:name w:val="Manual Considérant"/>
    <w:basedOn w:val="Normal"/>
    <w:rsid w:val="007717D6"/>
    <w:pPr>
      <w:spacing w:before="120" w:after="120"/>
      <w:ind w:left="709" w:hanging="709"/>
      <w:jc w:val="both"/>
    </w:pPr>
    <w:rPr>
      <w:rFonts w:eastAsiaTheme="minorHAnsi"/>
      <w:szCs w:val="22"/>
      <w:lang w:val="lv-LV" w:eastAsia="en-US"/>
    </w:rPr>
  </w:style>
  <w:style w:type="paragraph" w:customStyle="1" w:styleId="Personnequisigne">
    <w:name w:val="Personne qui signe"/>
    <w:basedOn w:val="Normal"/>
    <w:next w:val="Institutionquisigne"/>
    <w:rsid w:val="007717D6"/>
    <w:pPr>
      <w:tabs>
        <w:tab w:val="left" w:pos="4252"/>
      </w:tabs>
    </w:pPr>
    <w:rPr>
      <w:rFonts w:eastAsiaTheme="minorHAnsi"/>
      <w:i/>
      <w:szCs w:val="22"/>
      <w:lang w:val="lv-LV" w:eastAsia="en-US"/>
    </w:rPr>
  </w:style>
  <w:style w:type="paragraph" w:customStyle="1" w:styleId="Statut">
    <w:name w:val="Statut"/>
    <w:basedOn w:val="Normal"/>
    <w:next w:val="Normal"/>
    <w:rsid w:val="007717D6"/>
    <w:pPr>
      <w:spacing w:before="360"/>
      <w:jc w:val="center"/>
    </w:pPr>
    <w:rPr>
      <w:rFonts w:eastAsiaTheme="minorHAnsi"/>
      <w:szCs w:val="22"/>
      <w:lang w:val="lv-LV" w:eastAsia="en-US"/>
    </w:rPr>
  </w:style>
  <w:style w:type="paragraph" w:customStyle="1" w:styleId="Titrearticle">
    <w:name w:val="Titre article"/>
    <w:basedOn w:val="Normal"/>
    <w:next w:val="Normal"/>
    <w:rsid w:val="007717D6"/>
    <w:pPr>
      <w:keepNext/>
      <w:spacing w:before="360" w:after="120"/>
      <w:jc w:val="center"/>
    </w:pPr>
    <w:rPr>
      <w:rFonts w:eastAsiaTheme="minorHAnsi"/>
      <w:i/>
      <w:szCs w:val="22"/>
      <w:lang w:val="lv-LV" w:eastAsia="en-US"/>
    </w:rPr>
  </w:style>
  <w:style w:type="paragraph" w:customStyle="1" w:styleId="Fichefinanciretitre">
    <w:name w:val="Fiche financière titre"/>
    <w:basedOn w:val="Normal"/>
    <w:next w:val="Normal"/>
    <w:rsid w:val="007717D6"/>
    <w:pPr>
      <w:spacing w:before="120" w:after="120"/>
      <w:jc w:val="center"/>
    </w:pPr>
    <w:rPr>
      <w:rFonts w:eastAsiaTheme="minorHAnsi"/>
      <w:b/>
      <w:szCs w:val="22"/>
      <w:u w:val="single"/>
      <w:lang w:val="lv-LV" w:eastAsia="en-US"/>
    </w:rPr>
  </w:style>
  <w:style w:type="paragraph" w:customStyle="1" w:styleId="IntrtEEE">
    <w:name w:val="Intérêt EEE"/>
    <w:basedOn w:val="Normal"/>
    <w:next w:val="Normal"/>
    <w:rsid w:val="007717D6"/>
    <w:pPr>
      <w:spacing w:before="360"/>
      <w:jc w:val="center"/>
    </w:pPr>
    <w:rPr>
      <w:rFonts w:eastAsiaTheme="minorHAnsi"/>
      <w:szCs w:val="22"/>
      <w:lang w:val="lv-LV" w:eastAsia="en-US"/>
    </w:rPr>
  </w:style>
  <w:style w:type="character" w:styleId="Hyperlink">
    <w:name w:val="Hyperlink"/>
    <w:basedOn w:val="DefaultParagraphFont"/>
    <w:uiPriority w:val="99"/>
    <w:unhideWhenUsed/>
    <w:rsid w:val="00771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219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2026-08-31T12:00:00Z</dcterms:created>
  <dcterms:modified xsi:type="dcterms:W3CDTF">2026-08-31T12:00:00Z</dcterms:modified>
</cp:coreProperties>
</file>