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03A3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3782" w:rsidP="0010095E" w14:paraId="09286EE0" w14:textId="64B9A755">
            <w:pPr>
              <w:pStyle w:val="EPName"/>
            </w:pPr>
            <w:r w:rsidRPr="00123782">
              <w:t>Европейски</w:t>
            </w:r>
            <w:r w:rsidRPr="00123782" w:rsidR="00A8004B">
              <w:t xml:space="preserve"> парламент</w:t>
            </w:r>
          </w:p>
          <w:p w:rsidR="00751A4A" w:rsidRPr="00123782" w:rsidP="005F1B17" w14:paraId="6F32384D" w14:textId="35EFDA9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3782">
              <w:t>2024</w:t>
            </w:r>
            <w:r w:rsidRPr="00123782" w:rsidR="003F574A">
              <w:rPr>
                <w:lang w:val="en-GB"/>
              </w:rPr>
              <w:t> </w:t>
            </w:r>
            <w:r w:rsidRPr="00123782" w:rsidR="003F574A">
              <w:t>–</w:t>
            </w:r>
            <w:r w:rsidRPr="00123782" w:rsidR="003F574A">
              <w:rPr>
                <w:lang w:val="en-GB"/>
              </w:rPr>
              <w:t> </w:t>
            </w:r>
            <w:r w:rsidRPr="00123782" w:rsidR="00817416">
              <w:t>202</w:t>
            </w:r>
            <w:r w:rsidRPr="001237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3782" w:rsidP="0010095E" w14:paraId="74A6D343" w14:textId="77777777">
            <w:pPr>
              <w:pStyle w:val="EPLogo"/>
            </w:pPr>
            <w:r w:rsidRPr="001237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3782" w:rsidP="004C5D52" w14:paraId="09AE0B0B" w14:textId="77777777">
      <w:pPr>
        <w:pStyle w:val="LineTop"/>
      </w:pPr>
    </w:p>
    <w:p w:rsidR="00680577" w:rsidRPr="00123782" w:rsidP="00680577" w14:paraId="74EA55FF" w14:textId="77777777">
      <w:pPr>
        <w:pStyle w:val="EPBodyTA1"/>
      </w:pPr>
      <w:r w:rsidRPr="00123782">
        <w:t>ПРИЕТИ ТЕКСТОВЕ</w:t>
      </w:r>
    </w:p>
    <w:p w:rsidR="00D058B8" w:rsidRPr="00123782" w:rsidP="00D058B8" w14:paraId="5CF20FE5" w14:textId="77777777">
      <w:pPr>
        <w:pStyle w:val="LineBottom"/>
      </w:pPr>
    </w:p>
    <w:p w:rsidR="00A8004B" w:rsidRPr="00123782" w:rsidP="00A8004B" w14:paraId="4D58B28F" w14:textId="3633ED50">
      <w:pPr>
        <w:pStyle w:val="ATHeading1"/>
      </w:pPr>
      <w:bookmarkStart w:id="0" w:name="TANumber"/>
      <w:r w:rsidRPr="00123782">
        <w:t>P10_TA(2026)0</w:t>
      </w:r>
      <w:r w:rsidRPr="00123782" w:rsidR="00123782">
        <w:t>227</w:t>
      </w:r>
      <w:bookmarkEnd w:id="0"/>
    </w:p>
    <w:p w:rsidR="00A8004B" w:rsidRPr="00123782" w:rsidP="00BD73FF" w14:paraId="5EC70724" w14:textId="213998AD">
      <w:pPr>
        <w:pStyle w:val="ATHeading2"/>
      </w:pPr>
      <w:r w:rsidRPr="00123782">
        <w:t xml:space="preserve">Изискванията за </w:t>
      </w:r>
      <w:r w:rsidRPr="00123782">
        <w:t>кръговост</w:t>
      </w:r>
      <w:r w:rsidRPr="00123782">
        <w:t xml:space="preserve"> при проектирането на превозни средства и управлението на излезлите от употреба превозни средства</w:t>
      </w:r>
    </w:p>
    <w:p w:rsidR="00A8004B" w:rsidRPr="00123782" w:rsidP="00A8004B" w14:paraId="1469DF33" w14:textId="26AFBB13">
      <w:pPr>
        <w:rPr>
          <w:i/>
          <w:vanish/>
        </w:rPr>
      </w:pPr>
      <w:r>
        <w:rPr>
          <w:i/>
        </w:rPr>
        <w:fldChar w:fldCharType="begin"/>
      </w:r>
      <w:r w:rsidRPr="00123782">
        <w:rPr>
          <w:i/>
        </w:rPr>
        <w:instrText xml:space="preserve"> TC"(</w:instrText>
      </w:r>
      <w:bookmarkStart w:id="1" w:name="DocNumber"/>
      <w:r w:rsidRPr="00123782">
        <w:rPr>
          <w:i/>
        </w:rPr>
        <w:instrText>A10-0158/2025</w:instrText>
      </w:r>
      <w:bookmarkEnd w:id="1"/>
      <w:r w:rsidRPr="00123782">
        <w:rPr>
          <w:i/>
        </w:rPr>
        <w:instrText xml:space="preserve"> - Докладчи</w:instrText>
      </w:r>
      <w:r w:rsidRPr="00123782" w:rsidR="0076435F">
        <w:rPr>
          <w:i/>
        </w:rPr>
        <w:instrText>ци</w:instrText>
      </w:r>
      <w:r w:rsidRPr="00123782">
        <w:rPr>
          <w:i/>
        </w:rPr>
        <w:instrText xml:space="preserve">: Йенс </w:instrText>
      </w:r>
      <w:r w:rsidRPr="00123782">
        <w:rPr>
          <w:i/>
        </w:rPr>
        <w:instrText>Гизеке</w:instrText>
      </w:r>
      <w:r w:rsidRPr="00123782">
        <w:rPr>
          <w:i/>
        </w:rPr>
        <w:instrText xml:space="preserve">; </w:instrText>
      </w:r>
      <w:r w:rsidRPr="00123782">
        <w:rPr>
          <w:i/>
        </w:rPr>
        <w:instrText>Паулюс</w:instrText>
      </w:r>
      <w:r w:rsidRPr="00123782">
        <w:rPr>
          <w:i/>
        </w:rPr>
        <w:instrText xml:space="preserve"> </w:instrText>
      </w:r>
      <w:r w:rsidRPr="00123782">
        <w:rPr>
          <w:i/>
        </w:rPr>
        <w:instrText>Саударгас</w:instrText>
      </w:r>
      <w:r w:rsidRPr="0012378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8004B" w:rsidRPr="00123782" w:rsidP="00A8004B" w14:paraId="3CA46951" w14:textId="77777777">
      <w:pPr>
        <w:rPr>
          <w:vanish/>
        </w:rPr>
      </w:pPr>
      <w:bookmarkStart w:id="2" w:name="Commission"/>
      <w:r w:rsidRPr="00123782">
        <w:rPr>
          <w:vanish/>
        </w:rPr>
        <w:t>Комисия по околна среда, климат и безопасност на храните, Комисия по вътрешния пазар и защита на потребителите</w:t>
      </w:r>
      <w:bookmarkEnd w:id="2"/>
    </w:p>
    <w:p w:rsidR="00A8004B" w:rsidRPr="00123782" w:rsidP="00A8004B" w14:paraId="0A690E56" w14:textId="77777777">
      <w:pPr>
        <w:rPr>
          <w:vanish/>
        </w:rPr>
      </w:pPr>
      <w:bookmarkStart w:id="3" w:name="PE"/>
      <w:r w:rsidRPr="00123782">
        <w:rPr>
          <w:vanish/>
        </w:rPr>
        <w:t>PE768.004</w:t>
      </w:r>
      <w:bookmarkEnd w:id="3"/>
    </w:p>
    <w:p w:rsidR="00A8004B" w:rsidRPr="00123782" w:rsidP="00A8004B" w14:paraId="7B57BEC6" w14:textId="59CF8609">
      <w:pPr>
        <w:pStyle w:val="ATHeading3"/>
      </w:pPr>
      <w:bookmarkStart w:id="4" w:name="Sujet"/>
      <w:r w:rsidRPr="00123782">
        <w:t xml:space="preserve">Законодателна резолюция на Европейския парламент от </w:t>
      </w:r>
      <w:r w:rsidRPr="00123782" w:rsidR="00BD73FF">
        <w:rPr>
          <w:lang w:val="en-GB"/>
        </w:rPr>
        <w:t xml:space="preserve">18 </w:t>
      </w:r>
      <w:r w:rsidRPr="00123782" w:rsidR="00BD73FF">
        <w:t>юни</w:t>
      </w:r>
      <w:r w:rsidRPr="00123782">
        <w:t xml:space="preserve"> 2026 г. относно предложението за регламент на Европейския парламент и на Съвета относно изискванията за </w:t>
      </w:r>
      <w:r w:rsidRPr="00123782">
        <w:t>кръговост</w:t>
      </w:r>
      <w:r w:rsidRPr="00123782">
        <w:t xml:space="preserve"> при проектирането на превозни средства и управлението на излезли</w:t>
      </w:r>
      <w:r w:rsidR="00DB4A8B">
        <w:t>те</w:t>
      </w:r>
      <w:r w:rsidRPr="00123782">
        <w:t xml:space="preserve"> от употреба превозни средства, за изменение на регламенти (ЕС) 2018/858 и 2019/1020 и за отмяна на директиви 2000/53/ЕО и 2005/64/ЕО</w:t>
      </w:r>
      <w:bookmarkEnd w:id="4"/>
      <w:r w:rsidRPr="00123782">
        <w:t xml:space="preserve"> </w:t>
      </w:r>
      <w:bookmarkStart w:id="5" w:name="References"/>
      <w:r w:rsidRPr="00123782">
        <w:t>(COM(2023)0451 – C9-0308/2023 – 2023/0284(COD))</w:t>
      </w:r>
      <w:bookmarkEnd w:id="5"/>
    </w:p>
    <w:p w:rsidR="00FE015C" w:rsidRPr="00123782" w:rsidP="00FE015C" w14:paraId="00E7CF29" w14:textId="77777777">
      <w:pPr>
        <w:pStyle w:val="NormalBold"/>
      </w:pPr>
      <w:r w:rsidRPr="00123782">
        <w:t>(Обикновена законодателна процедура: първо четене)</w:t>
      </w:r>
    </w:p>
    <w:p w:rsidR="00FE015C" w:rsidRPr="00123782" w:rsidP="00FE015C" w14:paraId="5802FBC9" w14:textId="77777777">
      <w:pPr>
        <w:pStyle w:val="EPComma"/>
      </w:pPr>
      <w:r w:rsidRPr="00123782">
        <w:rPr>
          <w:i/>
        </w:rPr>
        <w:t>Европейският парламент</w:t>
      </w:r>
      <w:r w:rsidRPr="00123782">
        <w:t>,</w:t>
      </w:r>
    </w:p>
    <w:p w:rsidR="00FE015C" w:rsidRPr="00123782" w:rsidP="00FE015C" w14:paraId="05822817" w14:textId="77777777">
      <w:pPr>
        <w:pStyle w:val="NormalHanging12a"/>
      </w:pPr>
      <w:r w:rsidRPr="00123782">
        <w:t>–</w:t>
      </w:r>
      <w:r w:rsidRPr="00123782">
        <w:tab/>
        <w:t>като взе предвид предложението на Комисията до Парламента и до Съвета (COM(2023)0451),</w:t>
      </w:r>
    </w:p>
    <w:p w:rsidR="00FE015C" w:rsidRPr="00123782" w:rsidP="00FE015C" w14:paraId="6D489FAB" w14:textId="77777777">
      <w:pPr>
        <w:pStyle w:val="NormalHanging12a"/>
      </w:pPr>
      <w:r w:rsidRPr="00123782">
        <w:t>–</w:t>
      </w:r>
      <w:r w:rsidRPr="00123782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(C9-0308/2023),</w:t>
      </w:r>
    </w:p>
    <w:p w:rsidR="00BD73FF" w:rsidRPr="00123782" w:rsidP="00FE015C" w14:paraId="5240D091" w14:textId="6023C425">
      <w:pPr>
        <w:pStyle w:val="NormalHanging12a"/>
      </w:pPr>
      <w:r w:rsidRPr="00123782">
        <w:t>–</w:t>
      </w:r>
      <w:r w:rsidRPr="00123782">
        <w:tab/>
        <w:t>като взе предвид становището на комисията по правни въпроси относно предложеното правно основание,</w:t>
      </w:r>
    </w:p>
    <w:p w:rsidR="00FE015C" w:rsidRPr="00123782" w:rsidP="00FE015C" w14:paraId="16224E7F" w14:textId="6E60D576">
      <w:pPr>
        <w:pStyle w:val="NormalHanging12a"/>
      </w:pPr>
      <w:r w:rsidRPr="00123782">
        <w:t>–</w:t>
      </w:r>
      <w:r w:rsidRPr="00123782">
        <w:tab/>
        <w:t>като взе предвид член 294, параграф 3</w:t>
      </w:r>
      <w:r w:rsidRPr="00123782" w:rsidR="0076435F">
        <w:t>, член 114 и член 192, параграф 1</w:t>
      </w:r>
      <w:r w:rsidRPr="00123782">
        <w:t xml:space="preserve"> от Договора за функционирането на Европейския съюз,</w:t>
      </w:r>
    </w:p>
    <w:p w:rsidR="00FE015C" w:rsidRPr="00123782" w:rsidP="00FE015C" w14:paraId="3D2A1CDA" w14:textId="77777777">
      <w:pPr>
        <w:pStyle w:val="NormalHanging12a"/>
      </w:pPr>
      <w:r w:rsidRPr="00123782">
        <w:t xml:space="preserve">– </w:t>
      </w:r>
      <w:r w:rsidRPr="00123782">
        <w:tab/>
        <w:t>като взе предвид становището на Европейския икономически и социален комитет от 14 декември 2023 г.</w:t>
      </w:r>
      <w:r>
        <w:rPr>
          <w:rStyle w:val="FootnoteReference"/>
        </w:rPr>
        <w:footnoteReference w:id="2"/>
      </w:r>
      <w:r w:rsidRPr="00123782">
        <w:t>,</w:t>
      </w:r>
    </w:p>
    <w:p w:rsidR="00BD73FF" w:rsidRPr="00123782" w:rsidP="00BD73FF" w14:paraId="77A6696C" w14:textId="27DA212B">
      <w:pPr>
        <w:pStyle w:val="NormalHanging12a"/>
      </w:pPr>
      <w:r w:rsidRPr="00123782">
        <w:t>–</w:t>
      </w:r>
      <w:r w:rsidRPr="00123782">
        <w:tab/>
        <w:t>след консултация с комитета на регионите,</w:t>
      </w:r>
    </w:p>
    <w:p w:rsidR="00BD73FF" w:rsidRPr="00123782" w:rsidP="00BD73FF" w14:paraId="3F9812B2" w14:textId="2E8ED00B">
      <w:pPr>
        <w:pStyle w:val="NormalHanging12a"/>
      </w:pPr>
      <w:r w:rsidRPr="00123782">
        <w:t>–</w:t>
      </w:r>
      <w:r w:rsidRPr="00123782">
        <w:tab/>
        <w:t xml:space="preserve">като взе предвид временното споразумение, одобрено от компетентните комисии </w:t>
      </w:r>
      <w:r w:rsidRPr="00123782">
        <w:t>съгласно член 75, параграф 4 от своя Правилник за дейността, и поетия с писмо от 25 февруари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FE015C" w:rsidRPr="00123782" w:rsidP="00FE015C" w14:paraId="13A1B250" w14:textId="13C9B1DF">
      <w:pPr>
        <w:pStyle w:val="NormalHanging12a"/>
      </w:pPr>
      <w:r w:rsidRPr="00123782">
        <w:t>–</w:t>
      </w:r>
      <w:r w:rsidRPr="00123782">
        <w:tab/>
        <w:t>като взе предвид член</w:t>
      </w:r>
      <w:r w:rsidRPr="00123782" w:rsidR="0076435F">
        <w:t>ове</w:t>
      </w:r>
      <w:r w:rsidRPr="00123782">
        <w:t> 60</w:t>
      </w:r>
      <w:r w:rsidRPr="00123782" w:rsidR="0076435F">
        <w:t xml:space="preserve"> и 41</w:t>
      </w:r>
      <w:r w:rsidRPr="00123782">
        <w:t xml:space="preserve"> от своя Правилник за дейността,</w:t>
      </w:r>
    </w:p>
    <w:p w:rsidR="0076435F" w:rsidRPr="00123782" w:rsidP="0076435F" w14:paraId="5F6BB6ED" w14:textId="6BCBC45C">
      <w:pPr>
        <w:pStyle w:val="NormalHanging12a"/>
      </w:pPr>
      <w:r w:rsidRPr="00123782">
        <w:t>–</w:t>
      </w:r>
      <w:r w:rsidRPr="00123782">
        <w:tab/>
        <w:t>като взе предвид съвместните разисквания на комисията по околна среда, климат и безопасност на храните и на комисията по вътрешния пазар и защита на потребителите съгласно член 59 от своя Правилник за дейността,</w:t>
      </w:r>
    </w:p>
    <w:p w:rsidR="00FE015C" w:rsidRPr="00123782" w:rsidP="00FE015C" w14:paraId="3D4255BE" w14:textId="77777777">
      <w:pPr>
        <w:pStyle w:val="NormalHanging12a"/>
      </w:pPr>
      <w:r w:rsidRPr="00123782">
        <w:t>–</w:t>
      </w:r>
      <w:r w:rsidRPr="00123782">
        <w:tab/>
        <w:t xml:space="preserve">като взе предвид становището на комисията по </w:t>
      </w:r>
      <w:r w:rsidRPr="00123782">
        <w:rPr>
          <w:color w:val="000000"/>
        </w:rPr>
        <w:t>транспорт и туризъм,</w:t>
      </w:r>
    </w:p>
    <w:p w:rsidR="00FE015C" w:rsidRPr="00123782" w:rsidP="00FE015C" w14:paraId="34E03A15" w14:textId="77777777">
      <w:pPr>
        <w:pStyle w:val="NormalHanging12a"/>
      </w:pPr>
      <w:r w:rsidRPr="00123782">
        <w:t>–</w:t>
      </w:r>
      <w:r w:rsidRPr="00123782">
        <w:tab/>
        <w:t>като взе предвид доклада на комисията по околна среда, климат и безопасност на храните и на комисията по вътрешния пазар и защита на потребителите (A10-0158/2025),</w:t>
      </w:r>
    </w:p>
    <w:p w:rsidR="00FE015C" w:rsidRPr="00123782" w:rsidP="00FE015C" w14:paraId="19210C3A" w14:textId="5097A047">
      <w:pPr>
        <w:pStyle w:val="NormalHanging12a"/>
      </w:pPr>
      <w:r w:rsidRPr="00123782">
        <w:t>1.</w:t>
      </w:r>
      <w:r w:rsidRPr="00123782">
        <w:tab/>
        <w:t>приема изложената по-долу позиция на първо четене</w:t>
      </w:r>
      <w:r>
        <w:rPr>
          <w:rStyle w:val="FootnoteReference"/>
        </w:rPr>
        <w:footnoteReference w:id="3"/>
      </w:r>
      <w:r w:rsidRPr="00123782">
        <w:t>;</w:t>
      </w:r>
    </w:p>
    <w:p w:rsidR="00FE015C" w:rsidRPr="00123782" w:rsidP="00FE015C" w14:paraId="23DEC352" w14:textId="03525502">
      <w:pPr>
        <w:pStyle w:val="NormalHanging12a"/>
      </w:pPr>
      <w:r w:rsidRPr="00123782">
        <w:t>2.</w:t>
      </w:r>
      <w:r w:rsidRPr="00123782">
        <w:tab/>
      </w:r>
      <w:r w:rsidRPr="00123782" w:rsidR="0076435F"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:rsidR="00FE015C" w:rsidRPr="00123782" w:rsidP="00FE015C" w14:paraId="33F7E7BF" w14:textId="77777777">
      <w:pPr>
        <w:pStyle w:val="NormalHanging12a"/>
      </w:pPr>
      <w:r w:rsidRPr="00123782">
        <w:t>3.</w:t>
      </w:r>
      <w:r w:rsidRPr="00123782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BD73FF" w:rsidRPr="00123782" w:rsidP="00FE015C" w14:paraId="661FF4A7" w14:textId="77777777">
      <w:pPr>
        <w:widowControl/>
        <w:sectPr w:rsidSect="000D4DD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73FF" w:rsidRPr="00123782" w:rsidP="00BD73FF" w14:paraId="4EC7241B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123782">
        <w:rPr>
          <w:rFonts w:eastAsia="Calibri"/>
          <w:b/>
          <w:bCs/>
          <w:color w:val="000000"/>
          <w:szCs w:val="24"/>
          <w:lang w:val="en-GB"/>
        </w:rPr>
        <w:t>P10_TC1-</w:t>
      </w:r>
      <w:r w:rsidRPr="00123782">
        <w:rPr>
          <w:rFonts w:eastAsia="Calibri"/>
          <w:b/>
          <w:bCs/>
          <w:color w:val="000000"/>
          <w:szCs w:val="24"/>
          <w:lang w:val="en-GB"/>
        </w:rPr>
        <w:t>COD(</w:t>
      </w:r>
      <w:r w:rsidRPr="00123782">
        <w:rPr>
          <w:rFonts w:eastAsia="Calibri"/>
          <w:b/>
          <w:bCs/>
          <w:color w:val="000000"/>
          <w:szCs w:val="24"/>
          <w:lang w:val="en-GB"/>
        </w:rPr>
        <w:t>2023)0284</w:t>
      </w:r>
    </w:p>
    <w:p w:rsidR="00BD73FF" w:rsidP="00BD73FF" w14:paraId="17DA2E7C" w14:textId="4144EF0C">
      <w:pPr>
        <w:widowControl/>
        <w:spacing w:before="120" w:after="160" w:line="259" w:lineRule="auto"/>
        <w:rPr>
          <w:rFonts w:eastAsia="Calibri"/>
          <w:b/>
          <w:color w:val="000000"/>
          <w:szCs w:val="22"/>
          <w:lang w:val="en-GB" w:eastAsia="en-US"/>
        </w:rPr>
      </w:pPr>
      <w:r w:rsidRPr="00123782">
        <w:rPr>
          <w:b/>
          <w:szCs w:val="24"/>
        </w:rPr>
        <w:t>Позиция на Европейския парламент, приета на първо четене на 18 юни</w:t>
      </w:r>
      <w:r w:rsidRPr="00123782">
        <w:rPr>
          <w:b/>
          <w:szCs w:val="24"/>
          <w:lang w:val="en-GB"/>
        </w:rPr>
        <w:t xml:space="preserve"> </w:t>
      </w:r>
      <w:r w:rsidRPr="00123782">
        <w:rPr>
          <w:b/>
          <w:szCs w:val="24"/>
        </w:rPr>
        <w:t xml:space="preserve">2026 г. с оглед на приемането на Регламент (ЕС) 2026/... на Европейския парламент и на Съвета </w:t>
      </w:r>
      <w:r w:rsidRPr="00123782">
        <w:rPr>
          <w:rFonts w:eastAsia="Calibri"/>
          <w:b/>
          <w:color w:val="000000"/>
          <w:szCs w:val="22"/>
          <w:lang w:eastAsia="en-US"/>
        </w:rPr>
        <w:t xml:space="preserve">относно изискванията за </w:t>
      </w:r>
      <w:r w:rsidRPr="00123782">
        <w:rPr>
          <w:rFonts w:eastAsia="Calibri"/>
          <w:b/>
          <w:color w:val="000000"/>
          <w:szCs w:val="22"/>
          <w:lang w:eastAsia="en-US"/>
        </w:rPr>
        <w:t>кръговост</w:t>
      </w:r>
      <w:r w:rsidRPr="00123782">
        <w:rPr>
          <w:rFonts w:eastAsia="Calibri"/>
          <w:b/>
          <w:color w:val="000000"/>
          <w:szCs w:val="22"/>
          <w:lang w:eastAsia="en-US"/>
        </w:rPr>
        <w:t xml:space="preserve"> при проектирането на превозни средства и относно управлението на излезлите от употреба превозни средства, за изменение на Регламенти </w:t>
      </w:r>
      <w:r w:rsidRPr="00DB4A8B">
        <w:rPr>
          <w:rFonts w:eastAsia="Calibri"/>
          <w:b/>
          <w:color w:val="000000"/>
          <w:szCs w:val="22"/>
          <w:lang w:eastAsia="en-US"/>
        </w:rPr>
        <w:t>(ЕС) № 168/2013,</w:t>
      </w:r>
      <w:r w:rsidRPr="00123782">
        <w:rPr>
          <w:rFonts w:eastAsia="Calibri"/>
          <w:b/>
          <w:color w:val="000000"/>
          <w:szCs w:val="22"/>
          <w:lang w:eastAsia="en-US"/>
        </w:rPr>
        <w:t xml:space="preserve"> (ЕС) 2018/858, (</w:t>
      </w:r>
      <w:r w:rsidRPr="00123782">
        <w:rPr>
          <w:rFonts w:eastAsia="Calibri"/>
          <w:b/>
          <w:bCs/>
          <w:color w:val="000000"/>
          <w:szCs w:val="22"/>
          <w:lang w:val="en-GB" w:eastAsia="en-US"/>
        </w:rPr>
        <w:t>E</w:t>
      </w:r>
      <w:r w:rsidRPr="00123782">
        <w:rPr>
          <w:rFonts w:eastAsia="Calibri"/>
          <w:b/>
          <w:bCs/>
          <w:color w:val="000000"/>
          <w:szCs w:val="22"/>
          <w:lang w:eastAsia="en-US"/>
        </w:rPr>
        <w:t xml:space="preserve">С) 2019/1020 </w:t>
      </w:r>
      <w:r w:rsidRPr="00123782">
        <w:rPr>
          <w:rFonts w:eastAsia="Calibri"/>
          <w:b/>
          <w:color w:val="000000"/>
          <w:szCs w:val="22"/>
          <w:lang w:eastAsia="en-US"/>
        </w:rPr>
        <w:t xml:space="preserve">и </w:t>
      </w:r>
      <w:r w:rsidRPr="00DB4A8B">
        <w:rPr>
          <w:rFonts w:eastAsia="Calibri"/>
          <w:b/>
          <w:color w:val="000000"/>
          <w:szCs w:val="22"/>
          <w:lang w:eastAsia="en-US"/>
        </w:rPr>
        <w:t>(ЕС) 2023/1542</w:t>
      </w:r>
      <w:r w:rsidRPr="00123782">
        <w:rPr>
          <w:rFonts w:eastAsia="Calibri"/>
          <w:b/>
          <w:color w:val="000000"/>
          <w:szCs w:val="22"/>
          <w:lang w:eastAsia="en-US"/>
        </w:rPr>
        <w:t> и за отмяна на Директиви 2000/53/ЕО и 2005/64/ЕО</w:t>
      </w:r>
    </w:p>
    <w:p w:rsidR="00DB4A8B" w:rsidRPr="00DB4A8B" w:rsidP="00BD73FF" w14:paraId="4A15AC9C" w14:textId="3939498F">
      <w:pPr>
        <w:widowControl/>
        <w:spacing w:before="120" w:after="160" w:line="259" w:lineRule="auto"/>
        <w:rPr>
          <w:b/>
          <w:szCs w:val="24"/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DB4A8B">
        <w:rPr>
          <w:i/>
          <w:szCs w:val="24"/>
        </w:rPr>
        <w:t xml:space="preserve">законодателен акт, </w:t>
      </w:r>
      <w:r w:rsidRPr="00DB4A8B">
        <w:rPr>
          <w:i/>
          <w:szCs w:val="24"/>
          <w:lang w:val="lt-LT"/>
        </w:rPr>
        <w:t>Регламент</w:t>
      </w:r>
      <w:r w:rsidRPr="00DB4A8B">
        <w:rPr>
          <w:i/>
          <w:szCs w:val="24"/>
          <w:lang w:val="lt-LT"/>
        </w:rPr>
        <w:t xml:space="preserve"> (ЕС) 2026/1738.)</w:t>
      </w:r>
    </w:p>
    <w:sectPr w:rsidSect="000D4DD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2EA4C03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352F6AD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29721B0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8004B" w:rsidRPr="000D4DDF" w14:paraId="2AF89F96" w14:textId="77777777">
      <w:r w:rsidRPr="000D4DDF">
        <w:separator/>
      </w:r>
    </w:p>
  </w:footnote>
  <w:footnote w:type="continuationSeparator" w:id="1">
    <w:p w:rsidR="00A8004B" w:rsidRPr="000D4DDF" w14:paraId="1F893A5E" w14:textId="77777777">
      <w:r w:rsidRPr="000D4DDF">
        <w:continuationSeparator/>
      </w:r>
    </w:p>
  </w:footnote>
  <w:footnote w:id="2">
    <w:p w:rsidR="00FE015C" w:rsidRPr="00BD73FF" w:rsidP="000D4DDF" w14:paraId="3F76AA03" w14:textId="0AC572E1">
      <w:pPr>
        <w:pStyle w:val="FootnoteText"/>
        <w:ind w:left="567" w:hanging="567"/>
        <w:rPr>
          <w:sz w:val="24"/>
          <w:lang w:val="bg-BG"/>
        </w:rPr>
      </w:pPr>
      <w:r w:rsidRPr="00BD73FF">
        <w:rPr>
          <w:rStyle w:val="FootnoteReference"/>
          <w:sz w:val="24"/>
          <w:lang w:val="bg-BG"/>
        </w:rPr>
        <w:footnoteRef/>
      </w:r>
      <w:r w:rsidRPr="00BD73FF" w:rsidR="000D4DDF">
        <w:rPr>
          <w:sz w:val="24"/>
          <w:lang w:val="bg-BG"/>
        </w:rPr>
        <w:t xml:space="preserve"> </w:t>
      </w:r>
      <w:r w:rsidRPr="00BD73FF" w:rsidR="000D4DDF">
        <w:rPr>
          <w:sz w:val="24"/>
          <w:lang w:val="bg-BG"/>
        </w:rPr>
        <w:tab/>
      </w:r>
      <w:r w:rsidRPr="00BD73FF">
        <w:rPr>
          <w:sz w:val="24"/>
          <w:lang w:val="bg-BG"/>
        </w:rPr>
        <w:t xml:space="preserve">ОВ C, C/2024/1593, 5.3.2024 г., ELI: </w:t>
      </w:r>
      <w:hyperlink r:id="rId1" w:history="1">
        <w:r w:rsidRPr="00BD73FF">
          <w:rPr>
            <w:rStyle w:val="Hyperlink"/>
            <w:sz w:val="24"/>
            <w:lang w:val="bg-BG"/>
          </w:rPr>
          <w:t>http://data.europa.eu/eli/C/2024/1593/oj</w:t>
        </w:r>
      </w:hyperlink>
      <w:r w:rsidRPr="00BD73FF">
        <w:rPr>
          <w:sz w:val="24"/>
          <w:lang w:val="bg-BG"/>
        </w:rPr>
        <w:t>.</w:t>
      </w:r>
    </w:p>
  </w:footnote>
  <w:footnote w:id="3">
    <w:p w:rsidR="00BD73FF" w:rsidRPr="00BD73FF" w:rsidP="00BD73FF" w14:paraId="63ECAD24" w14:textId="16F92B4E">
      <w:pPr>
        <w:pStyle w:val="FootnoteText"/>
        <w:ind w:left="567" w:hanging="567"/>
        <w:rPr>
          <w:lang w:val="bg-BG"/>
        </w:rPr>
      </w:pPr>
      <w:r w:rsidRPr="00BD73FF">
        <w:rPr>
          <w:rStyle w:val="FootnoteReference"/>
          <w:lang w:val="bg-BG"/>
        </w:rPr>
        <w:footnoteRef/>
      </w:r>
      <w:r w:rsidRPr="00BD73FF">
        <w:rPr>
          <w:lang w:val="bg-BG"/>
        </w:rPr>
        <w:t xml:space="preserve"> </w:t>
      </w:r>
      <w:r w:rsidRPr="00BD73FF">
        <w:rPr>
          <w:lang w:val="bg-BG"/>
        </w:rPr>
        <w:tab/>
      </w:r>
      <w:r w:rsidRPr="00123782">
        <w:rPr>
          <w:sz w:val="24"/>
          <w:szCs w:val="24"/>
          <w:lang w:val="bg-BG"/>
        </w:rPr>
        <w:t>Тази позиция заменя измененията, приети на 9 септември 2025 г. (Приети текстове, P10_TA(2025)0168).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3E8322C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16ECE13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D4DDF" w14:paraId="5BAD9F1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4E320E51"/>
    <w:multiLevelType w:val="hybridMultilevel"/>
    <w:tmpl w:val="B246DF40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1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3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209606560">
    <w:abstractNumId w:val="2"/>
  </w:num>
  <w:num w:numId="2" w16cid:durableId="866338039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2"/>
  </w:num>
  <w:num w:numId="6" w16cid:durableId="19748251">
    <w:abstractNumId w:val="21"/>
  </w:num>
  <w:num w:numId="7" w16cid:durableId="194975596">
    <w:abstractNumId w:val="38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9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2"/>
  </w:num>
  <w:num w:numId="18" w16cid:durableId="850142578">
    <w:abstractNumId w:val="30"/>
  </w:num>
  <w:num w:numId="19" w16cid:durableId="9839530">
    <w:abstractNumId w:val="25"/>
  </w:num>
  <w:num w:numId="20" w16cid:durableId="1073358758">
    <w:abstractNumId w:val="35"/>
  </w:num>
  <w:num w:numId="21" w16cid:durableId="1326860946">
    <w:abstractNumId w:val="34"/>
  </w:num>
  <w:num w:numId="22" w16cid:durableId="1663196454">
    <w:abstractNumId w:val="36"/>
  </w:num>
  <w:num w:numId="23" w16cid:durableId="808937615">
    <w:abstractNumId w:val="6"/>
  </w:num>
  <w:num w:numId="24" w16cid:durableId="1685739777">
    <w:abstractNumId w:val="0"/>
  </w:num>
  <w:num w:numId="25" w16cid:durableId="166291639">
    <w:abstractNumId w:val="10"/>
  </w:num>
  <w:num w:numId="26" w16cid:durableId="1110391513">
    <w:abstractNumId w:val="17"/>
  </w:num>
  <w:num w:numId="27" w16cid:durableId="16202875">
    <w:abstractNumId w:val="28"/>
  </w:num>
  <w:num w:numId="28" w16cid:durableId="1719740644">
    <w:abstractNumId w:val="1"/>
  </w:num>
  <w:num w:numId="29" w16cid:durableId="1316641683">
    <w:abstractNumId w:val="29"/>
  </w:num>
  <w:num w:numId="30" w16cid:durableId="1918972586">
    <w:abstractNumId w:val="26"/>
  </w:num>
  <w:num w:numId="31" w16cid:durableId="1211957590">
    <w:abstractNumId w:val="3"/>
  </w:num>
  <w:num w:numId="32" w16cid:durableId="785852355">
    <w:abstractNumId w:val="33"/>
  </w:num>
  <w:num w:numId="33" w16cid:durableId="100343276">
    <w:abstractNumId w:val="37"/>
  </w:num>
  <w:num w:numId="34" w16cid:durableId="118036514">
    <w:abstractNumId w:val="23"/>
  </w:num>
  <w:num w:numId="35" w16cid:durableId="1709600658">
    <w:abstractNumId w:val="31"/>
  </w:num>
  <w:num w:numId="36" w16cid:durableId="1815443566">
    <w:abstractNumId w:val="27"/>
  </w:num>
  <w:num w:numId="37" w16cid:durableId="1817143773">
    <w:abstractNumId w:val="24"/>
  </w:num>
  <w:num w:numId="38" w16cid:durableId="914970275">
    <w:abstractNumId w:val="11"/>
  </w:num>
  <w:num w:numId="39" w16cid:durableId="571501031">
    <w:abstractNumId w:val="8"/>
  </w:num>
  <w:num w:numId="40" w16cid:durableId="7761128">
    <w:abstractNumId w:val="2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4B"/>
    <w:rsid w:val="00002272"/>
    <w:rsid w:val="00064002"/>
    <w:rsid w:val="000677B9"/>
    <w:rsid w:val="000831BA"/>
    <w:rsid w:val="000A42CC"/>
    <w:rsid w:val="000D4DDF"/>
    <w:rsid w:val="000E7DD9"/>
    <w:rsid w:val="0010095E"/>
    <w:rsid w:val="00123782"/>
    <w:rsid w:val="00125B37"/>
    <w:rsid w:val="00187494"/>
    <w:rsid w:val="001F32AE"/>
    <w:rsid w:val="002767FF"/>
    <w:rsid w:val="00285065"/>
    <w:rsid w:val="002B18FE"/>
    <w:rsid w:val="002B5493"/>
    <w:rsid w:val="00343214"/>
    <w:rsid w:val="00361C00"/>
    <w:rsid w:val="00395FA1"/>
    <w:rsid w:val="003E15D4"/>
    <w:rsid w:val="003F574A"/>
    <w:rsid w:val="00411CCE"/>
    <w:rsid w:val="00412156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70D"/>
    <w:rsid w:val="00545827"/>
    <w:rsid w:val="00560270"/>
    <w:rsid w:val="005C2568"/>
    <w:rsid w:val="005F1B17"/>
    <w:rsid w:val="006037C0"/>
    <w:rsid w:val="00624C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35F"/>
    <w:rsid w:val="007644F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22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04B"/>
    <w:rsid w:val="00AB441E"/>
    <w:rsid w:val="00AB6293"/>
    <w:rsid w:val="00AE0928"/>
    <w:rsid w:val="00AF3B82"/>
    <w:rsid w:val="00B12E95"/>
    <w:rsid w:val="00B22876"/>
    <w:rsid w:val="00B558F0"/>
    <w:rsid w:val="00BC0C54"/>
    <w:rsid w:val="00BD48FE"/>
    <w:rsid w:val="00BD73F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A8B"/>
    <w:rsid w:val="00DF6C12"/>
    <w:rsid w:val="00E365E1"/>
    <w:rsid w:val="00E820A4"/>
    <w:rsid w:val="00EB006A"/>
    <w:rsid w:val="00EB4772"/>
    <w:rsid w:val="00ED169E"/>
    <w:rsid w:val="00ED19CA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15C"/>
  </w:rsids>
  <w:docVars>
    <w:docVar w:name="dvdocse" w:val="A10-0158/2025"/>
    <w:docVar w:name="dvlangue" w:val="BG"/>
    <w:docVar w:name="dvnumam" w:val="518"/>
    <w:docVar w:name="dvpe" w:val="768.004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относно изискванията за кръговост при проектирането на превозни средства и управлението на излезли от употреба превозни средства, за изменение на регламенти (ЕС) 2018/858 и 2019/1020 и за отмяна на директиви 2000/53/ЕО и 2005/64/ЕО.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9353B5"/>
  <w15:chartTrackingRefBased/>
  <w15:docId w15:val="{B4FE7BF4-BF11-4262-A180-715A4B99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E015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15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15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15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15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15C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15C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15C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15C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FE015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E01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E015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E015C"/>
    <w:pPr>
      <w:spacing w:after="120"/>
    </w:pPr>
  </w:style>
  <w:style w:type="paragraph" w:customStyle="1" w:styleId="PageHeading">
    <w:name w:val="PageHeading"/>
    <w:basedOn w:val="Normal"/>
    <w:rsid w:val="00FE01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E015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E015C"/>
    <w:rPr>
      <w:b/>
      <w:sz w:val="24"/>
      <w:lang w:val="bg-BG"/>
    </w:rPr>
  </w:style>
  <w:style w:type="paragraph" w:customStyle="1" w:styleId="NormalBold12a">
    <w:name w:val="NormalBold12a"/>
    <w:basedOn w:val="Normal"/>
    <w:rsid w:val="00FE015C"/>
    <w:pPr>
      <w:spacing w:after="240"/>
    </w:pPr>
    <w:rPr>
      <w:b/>
    </w:rPr>
  </w:style>
  <w:style w:type="paragraph" w:customStyle="1" w:styleId="AmJustText">
    <w:name w:val="AmJustText"/>
    <w:basedOn w:val="Normal"/>
    <w:rsid w:val="00FE015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E015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E015C"/>
    <w:pPr>
      <w:spacing w:after="480"/>
      <w:ind w:left="1417"/>
    </w:pPr>
  </w:style>
  <w:style w:type="paragraph" w:customStyle="1" w:styleId="CoverNormal">
    <w:name w:val="CoverNormal"/>
    <w:basedOn w:val="Normal"/>
    <w:rsid w:val="00FE015C"/>
    <w:pPr>
      <w:ind w:left="1418"/>
    </w:pPr>
  </w:style>
  <w:style w:type="paragraph" w:customStyle="1" w:styleId="AmCrossRef">
    <w:name w:val="AmCrossRef"/>
    <w:basedOn w:val="Normal"/>
    <w:rsid w:val="00FE015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E015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E015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E015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E015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E015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E0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15C"/>
    <w:rPr>
      <w:sz w:val="24"/>
      <w:lang w:val="bg-BG"/>
    </w:rPr>
  </w:style>
  <w:style w:type="paragraph" w:customStyle="1" w:styleId="AmOrLang">
    <w:name w:val="AmOrLang"/>
    <w:basedOn w:val="Normal"/>
    <w:rsid w:val="00FE015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E015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E01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E015C"/>
    <w:rPr>
      <w:b/>
      <w:sz w:val="24"/>
      <w:lang w:val="bg-BG"/>
    </w:rPr>
  </w:style>
  <w:style w:type="paragraph" w:customStyle="1" w:styleId="NormalBold12b">
    <w:name w:val="NormalBold12b"/>
    <w:basedOn w:val="Normal"/>
    <w:link w:val="NormalBold12bChar"/>
    <w:rsid w:val="00FE015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E015C"/>
    <w:rPr>
      <w:b/>
      <w:sz w:val="24"/>
      <w:lang w:val="bg-BG"/>
    </w:rPr>
  </w:style>
  <w:style w:type="paragraph" w:customStyle="1" w:styleId="EPBody">
    <w:name w:val="EPBody"/>
    <w:basedOn w:val="Normal"/>
    <w:rsid w:val="00FE015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E015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E015C"/>
    <w:pPr>
      <w:spacing w:before="480" w:after="240"/>
    </w:pPr>
  </w:style>
  <w:style w:type="paragraph" w:customStyle="1" w:styleId="Lgendesigne">
    <w:name w:val="Légende signe"/>
    <w:basedOn w:val="Normal"/>
    <w:rsid w:val="00FE015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E015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E015C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FE015C"/>
    <w:rPr>
      <w:noProof/>
      <w:sz w:val="24"/>
    </w:rPr>
  </w:style>
  <w:style w:type="paragraph" w:customStyle="1" w:styleId="Normal12">
    <w:name w:val="Normal12"/>
    <w:basedOn w:val="Normal"/>
    <w:link w:val="Normal12Char"/>
    <w:rsid w:val="00FE015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E015C"/>
    <w:rPr>
      <w:sz w:val="24"/>
    </w:rPr>
  </w:style>
  <w:style w:type="paragraph" w:customStyle="1" w:styleId="Normal6">
    <w:name w:val="Normal6"/>
    <w:basedOn w:val="Normal"/>
    <w:link w:val="Normal6Char"/>
    <w:rsid w:val="00FE015C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FE015C"/>
    <w:rPr>
      <w:i/>
    </w:rPr>
  </w:style>
  <w:style w:type="paragraph" w:customStyle="1" w:styleId="EntPE">
    <w:name w:val="EntPE"/>
    <w:basedOn w:val="Normal12"/>
    <w:rsid w:val="00FE015C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FE015C"/>
    <w:pPr>
      <w:spacing w:after="480"/>
    </w:pPr>
  </w:style>
  <w:style w:type="paragraph" w:customStyle="1" w:styleId="NormalBoldCenter">
    <w:name w:val="NormalBoldCenter"/>
    <w:basedOn w:val="Normal"/>
    <w:rsid w:val="00FE015C"/>
    <w:pPr>
      <w:jc w:val="center"/>
    </w:pPr>
    <w:rPr>
      <w:b/>
    </w:rPr>
  </w:style>
  <w:style w:type="paragraph" w:customStyle="1" w:styleId="Footprint12b">
    <w:name w:val="Footprint12b"/>
    <w:basedOn w:val="Normal"/>
    <w:rsid w:val="00FE015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E015C"/>
    <w:rPr>
      <w:szCs w:val="24"/>
    </w:rPr>
  </w:style>
  <w:style w:type="paragraph" w:customStyle="1" w:styleId="AMNumberTabs0">
    <w:name w:val="AMNumberTabs"/>
    <w:basedOn w:val="Normal"/>
    <w:rsid w:val="00FE01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E015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E015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E015C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FE01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015C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FE01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E01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15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0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E015C"/>
    <w:rPr>
      <w:b/>
      <w:bCs/>
      <w:lang w:val="bg-BG"/>
    </w:rPr>
  </w:style>
  <w:style w:type="paragraph" w:styleId="Revision">
    <w:name w:val="Revision"/>
    <w:hidden/>
    <w:uiPriority w:val="99"/>
    <w:semiHidden/>
    <w:rsid w:val="00FE015C"/>
    <w:rPr>
      <w:sz w:val="24"/>
      <w:lang w:val="bg-BG"/>
    </w:rPr>
  </w:style>
  <w:style w:type="paragraph" w:styleId="Index1">
    <w:name w:val="index 1"/>
    <w:basedOn w:val="Normal"/>
    <w:next w:val="Normal"/>
    <w:autoRedefine/>
    <w:rsid w:val="00FE015C"/>
    <w:pPr>
      <w:ind w:left="240" w:hanging="240"/>
    </w:pPr>
  </w:style>
  <w:style w:type="paragraph" w:styleId="IndexHeading">
    <w:name w:val="index heading"/>
    <w:basedOn w:val="Normal"/>
    <w:next w:val="Index1"/>
    <w:rsid w:val="00FE015C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FE015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E015C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FE015C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FE015C"/>
  </w:style>
  <w:style w:type="paragraph" w:customStyle="1" w:styleId="Normal12a">
    <w:name w:val="Normal12a"/>
    <w:basedOn w:val="Normal"/>
    <w:rsid w:val="00FE015C"/>
    <w:pPr>
      <w:spacing w:after="240"/>
    </w:pPr>
  </w:style>
  <w:style w:type="paragraph" w:customStyle="1" w:styleId="PageHeadingNotTOC">
    <w:name w:val="PageHeadingNotTOC"/>
    <w:basedOn w:val="Normal"/>
    <w:rsid w:val="00FE01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E015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E015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E015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E015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E015C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FE015C"/>
    <w:pPr>
      <w:ind w:left="1417"/>
    </w:pPr>
    <w:rPr>
      <w:b/>
    </w:rPr>
  </w:style>
  <w:style w:type="paragraph" w:styleId="Footer">
    <w:name w:val="footer"/>
    <w:basedOn w:val="Normal"/>
    <w:link w:val="FooterChar"/>
    <w:uiPriority w:val="99"/>
    <w:rsid w:val="00FE01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15C"/>
    <w:rPr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FE015C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E015C"/>
    <w:rPr>
      <w:rFonts w:ascii="Arial" w:hAnsi="Arial" w:eastAsiaTheme="majorEastAsia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15C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E015C"/>
    <w:rPr>
      <w:rFonts w:ascii="Arial" w:hAnsi="Arial" w:eastAsiaTheme="majorEastAsia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FE015C"/>
    <w:rPr>
      <w:b/>
      <w:bCs/>
    </w:rPr>
  </w:style>
  <w:style w:type="character" w:styleId="Emphasis">
    <w:name w:val="Emphasis"/>
    <w:basedOn w:val="DefaultParagraphFont"/>
    <w:uiPriority w:val="20"/>
    <w:qFormat/>
    <w:rsid w:val="00FE015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E015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FE015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E015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E015C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15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15C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FE015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E015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E015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E015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E015C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FE015C"/>
    <w:rPr>
      <w:rFonts w:ascii="Times New Roman" w:hAnsi="Times New Roman"/>
      <w:sz w:val="24"/>
      <w:szCs w:val="24"/>
    </w:rPr>
  </w:style>
  <w:style w:type="character" w:customStyle="1" w:styleId="SupBoldItalic">
    <w:name w:val="SupBoldItalic"/>
    <w:uiPriority w:val="1"/>
    <w:qFormat/>
    <w:rsid w:val="00FE015C"/>
    <w:rPr>
      <w:b/>
      <w:bCs w:val="0"/>
      <w:i/>
      <w:iCs w:val="0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D73FF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BD73F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D73FF"/>
    <w:pPr>
      <w:spacing w:after="240"/>
      <w:jc w:val="center"/>
    </w:pPr>
  </w:style>
  <w:style w:type="paragraph" w:customStyle="1" w:styleId="AmDateTab">
    <w:name w:val="AmDateTab"/>
    <w:basedOn w:val="Normal"/>
    <w:rsid w:val="00BD73F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D73F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D73FF"/>
  </w:style>
  <w:style w:type="paragraph" w:styleId="TOC4">
    <w:name w:val="toc 4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D73F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D73F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D73F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D73F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D73F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D73F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D73F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D73F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D73F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BD7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BD73F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D73F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D73F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D73F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D73F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D73F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D73F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D73F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D73F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D7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D73F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D7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D7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D73F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D73F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D73F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D73F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D73F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D73F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D73F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D73F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D73F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D73F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D73F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D73F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D73F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D73F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D73F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D73F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D73F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D73F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D73F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D73F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D73FF"/>
    <w:pPr>
      <w:widowControl/>
      <w:numPr>
        <w:numId w:val="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D73FF"/>
    <w:pPr>
      <w:widowControl/>
      <w:numPr>
        <w:numId w:val="4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D73FF"/>
    <w:pPr>
      <w:widowControl/>
      <w:numPr>
        <w:numId w:val="5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D73FF"/>
    <w:pPr>
      <w:widowControl/>
      <w:numPr>
        <w:numId w:val="6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D73FF"/>
    <w:pPr>
      <w:widowControl/>
      <w:numPr>
        <w:numId w:val="7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D73FF"/>
    <w:pPr>
      <w:widowControl/>
      <w:numPr>
        <w:numId w:val="8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D73FF"/>
    <w:pPr>
      <w:widowControl/>
      <w:numPr>
        <w:numId w:val="9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D73FF"/>
    <w:pPr>
      <w:widowControl/>
      <w:numPr>
        <w:numId w:val="10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D73FF"/>
    <w:pPr>
      <w:widowControl/>
      <w:numPr>
        <w:numId w:val="11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D73FF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D73FF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D73FF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D73FF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D73FF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D73FF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D73FF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D7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D7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D7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D7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D73F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D7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D73F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D73F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D73F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D73F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D73FF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D73FF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D73FF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D73FF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D73FF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D73FF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D73FF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D73FF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D73FF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D73FF"/>
    <w:pPr>
      <w:widowControl/>
      <w:numPr>
        <w:numId w:val="14"/>
      </w:numPr>
      <w:tabs>
        <w:tab w:val="num" w:pos="720"/>
        <w:tab w:val="clear" w:pos="85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D73FF"/>
    <w:pPr>
      <w:widowControl/>
      <w:numPr>
        <w:numId w:val="15"/>
      </w:numPr>
      <w:tabs>
        <w:tab w:val="num" w:pos="720"/>
        <w:tab w:val="clear" w:pos="1417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D73FF"/>
    <w:pPr>
      <w:widowControl/>
      <w:numPr>
        <w:numId w:val="16"/>
      </w:numPr>
      <w:tabs>
        <w:tab w:val="num" w:pos="1080"/>
        <w:tab w:val="clear" w:pos="1984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D73FF"/>
    <w:pPr>
      <w:widowControl/>
      <w:numPr>
        <w:numId w:val="17"/>
      </w:numPr>
      <w:tabs>
        <w:tab w:val="num" w:pos="1080"/>
        <w:tab w:val="clear" w:pos="255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D73FF"/>
    <w:pPr>
      <w:widowControl/>
      <w:numPr>
        <w:numId w:val="18"/>
      </w:numPr>
      <w:tabs>
        <w:tab w:val="num" w:pos="1440"/>
        <w:tab w:val="clear" w:pos="3118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D73FF"/>
    <w:pPr>
      <w:widowControl/>
      <w:numPr>
        <w:numId w:val="19"/>
      </w:numPr>
      <w:tabs>
        <w:tab w:val="num" w:pos="1440"/>
        <w:tab w:val="clear" w:pos="368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D73FF"/>
    <w:pPr>
      <w:widowControl/>
      <w:numPr>
        <w:numId w:val="20"/>
      </w:numPr>
      <w:tabs>
        <w:tab w:val="num" w:pos="1800"/>
        <w:tab w:val="clear" w:pos="4252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D73FF"/>
    <w:pPr>
      <w:widowControl/>
      <w:numPr>
        <w:numId w:val="21"/>
      </w:numPr>
      <w:tabs>
        <w:tab w:val="num" w:pos="1800"/>
        <w:tab w:val="clear" w:pos="4819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D73FF"/>
    <w:pPr>
      <w:widowControl/>
      <w:numPr>
        <w:numId w:val="22"/>
      </w:numPr>
      <w:tabs>
        <w:tab w:val="num" w:pos="850"/>
        <w:tab w:val="clear" w:pos="5386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D7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D7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D73F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D73FF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D73F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D73F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D73F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D73F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D73F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D73F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D73F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D73F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D73F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D73F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D73F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D73F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D73F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D73F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D73F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D73F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D73F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D73F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D7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D73F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D73F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D73F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D73F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D73FF"/>
    <w:pPr>
      <w:spacing w:before="240"/>
    </w:pPr>
  </w:style>
  <w:style w:type="paragraph" w:customStyle="1" w:styleId="Accordtitre">
    <w:name w:val="Accord titre"/>
    <w:basedOn w:val="Normal"/>
    <w:rsid w:val="00BD73F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D73F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D73F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D73F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D73F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D73FF"/>
    <w:pPr>
      <w:spacing w:after="240"/>
    </w:pPr>
  </w:style>
  <w:style w:type="paragraph" w:customStyle="1" w:styleId="Annexetitre">
    <w:name w:val="Annexe titre"/>
    <w:basedOn w:val="Normal"/>
    <w:next w:val="Normal"/>
    <w:rsid w:val="00BD7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D73F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D73F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D73FF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BD73F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D7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D7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D7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D7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D73F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D7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D7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D73F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D73F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D73F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D73F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D73F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D73F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D73F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D73F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D73F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D73F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D73F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D73F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D73F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D73F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D73F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D73F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D73F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D7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D7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BD73FF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BD73FF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BD73FF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BD73FF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BD73F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BD73FF"/>
    <w:rPr>
      <w:rFonts w:ascii="Arial" w:hAnsi="Arial" w:cs="Arial"/>
      <w:b/>
      <w:sz w:val="36"/>
      <w:szCs w:val="36"/>
      <w:u w:color="606060"/>
      <w:lang w:val="bg-BG" w:eastAsia="en-US"/>
    </w:rPr>
  </w:style>
  <w:style w:type="paragraph" w:customStyle="1" w:styleId="TBSubjectTable">
    <w:name w:val="TBSubjectTable"/>
    <w:basedOn w:val="TechnicalBlockBase"/>
    <w:rsid w:val="00BD73F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BD73F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D73F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D73FF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bg-BG" w:eastAsia="en-US"/>
    </w:rPr>
  </w:style>
  <w:style w:type="character" w:customStyle="1" w:styleId="TechnicalBlockBaseChar">
    <w:name w:val="TechnicalBlockBase Char"/>
    <w:basedOn w:val="EntEUChar"/>
    <w:link w:val="TechnicalBlockBase"/>
    <w:rsid w:val="00BD73FF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bg-BG" w:eastAsia="en-US"/>
    </w:rPr>
  </w:style>
  <w:style w:type="paragraph" w:customStyle="1" w:styleId="HeaderCouncilLarge">
    <w:name w:val="Header Council Large"/>
    <w:basedOn w:val="Normal"/>
    <w:link w:val="HeaderCouncilLargeChar"/>
    <w:rsid w:val="00BD73FF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BD73FF"/>
    <w:rPr>
      <w:rFonts w:ascii="Arial" w:hAnsi="Arial" w:cs="Arial"/>
      <w:b/>
      <w:sz w:val="2"/>
      <w:szCs w:val="24"/>
      <w:u w:color="606060"/>
      <w:lang w:val="bg-BG" w:eastAsia="en-US"/>
    </w:rPr>
  </w:style>
  <w:style w:type="paragraph" w:customStyle="1" w:styleId="FooterText0">
    <w:name w:val="Footer Text"/>
    <w:basedOn w:val="Normal"/>
    <w:rsid w:val="00BD73FF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D73FF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BD73FF"/>
    <w:pPr>
      <w:widowControl/>
      <w:spacing w:before="120"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BD73FF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BD73FF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BD73FF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BD73FF"/>
    <w:pPr>
      <w:widowControl/>
      <w:pBdr>
        <w:top w:val="single" w:sz="4" w:space="10" w:color="2F5496"/>
        <w:bottom w:val="single" w:sz="4" w:space="10" w:color="2F5496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2F5496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BD73FF"/>
    <w:rPr>
      <w:b/>
      <w:bCs/>
      <w:smallCaps/>
      <w:color w:val="2F5496"/>
      <w:spacing w:val="5"/>
    </w:rPr>
  </w:style>
  <w:style w:type="character" w:customStyle="1" w:styleId="EntReferChar">
    <w:name w:val="EntRefer Char"/>
    <w:basedOn w:val="DefaultParagraphFont"/>
    <w:link w:val="TBEntRefer"/>
    <w:rsid w:val="00BD73FF"/>
    <w:rPr>
      <w:rFonts w:ascii="Arial" w:hAnsi="Arial" w:cs="Arial"/>
      <w:b/>
      <w:sz w:val="23"/>
      <w:szCs w:val="23"/>
      <w:u w:color="606060"/>
      <w:lang w:val="bg-BG" w:eastAsia="en-US"/>
    </w:rPr>
  </w:style>
  <w:style w:type="paragraph" w:customStyle="1" w:styleId="TBDistrbMarkers">
    <w:name w:val="TBDistrbMarkers"/>
    <w:basedOn w:val="TBEntRefer"/>
    <w:qFormat/>
    <w:rsid w:val="00BD73FF"/>
    <w:pPr>
      <w:widowControl w:val="0"/>
      <w:tabs>
        <w:tab w:val="left" w:pos="2262"/>
      </w:tabs>
    </w:pPr>
    <w:rPr>
      <w:i/>
      <w:iCs/>
      <w:lang w:val="en-GB" w:eastAsia="fr-BE"/>
    </w:rPr>
  </w:style>
  <w:style w:type="paragraph" w:customStyle="1" w:styleId="TBEntACP">
    <w:name w:val="TBEntACP"/>
    <w:basedOn w:val="TechnicalBlockBase"/>
    <w:rsid w:val="00BD73FF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val="en-GB" w:eastAsia="fr-BE"/>
    </w:rPr>
  </w:style>
  <w:style w:type="paragraph" w:customStyle="1" w:styleId="TBEntInstitACP">
    <w:name w:val="TBEntInstitACP"/>
    <w:basedOn w:val="TechnicalBlockBase"/>
    <w:rsid w:val="00BD73F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val="en-GB" w:eastAsia="fr-BE"/>
    </w:rPr>
  </w:style>
  <w:style w:type="paragraph" w:customStyle="1" w:styleId="TBEntInstit">
    <w:name w:val="TBEntInstit"/>
    <w:basedOn w:val="TechnicalBlockBase"/>
    <w:link w:val="EntInstitChar"/>
    <w:rsid w:val="00BD73F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val="en-GB" w:eastAsia="fr-BE"/>
    </w:rPr>
  </w:style>
  <w:style w:type="paragraph" w:customStyle="1" w:styleId="TBEntReferNew">
    <w:name w:val="TBEntReferNew"/>
    <w:basedOn w:val="TechnicalBlockBase"/>
    <w:rsid w:val="00BD73F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val="en-GB"/>
    </w:rPr>
  </w:style>
  <w:style w:type="paragraph" w:customStyle="1" w:styleId="TBInstitution">
    <w:name w:val="TBInstitution"/>
    <w:basedOn w:val="TechnicalBlockBase"/>
    <w:rsid w:val="00BD73F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val="en-GB" w:eastAsia="fr-BE"/>
    </w:rPr>
  </w:style>
  <w:style w:type="paragraph" w:customStyle="1" w:styleId="TBNormalTechnicalBlock">
    <w:name w:val="TBNormalTechnicalBlock"/>
    <w:basedOn w:val="TechnicalBlockBase"/>
    <w:rsid w:val="00BD73FF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val="en-GB" w:eastAsia="fr-BE"/>
    </w:rPr>
  </w:style>
  <w:style w:type="paragraph" w:customStyle="1" w:styleId="TBInstitutionSubwordmark">
    <w:name w:val="TBInstitutionSubwordmark"/>
    <w:basedOn w:val="TechnicalBlockBase"/>
    <w:rsid w:val="00BD73F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val="en-GB" w:eastAsia="fr-BE"/>
    </w:rPr>
  </w:style>
  <w:style w:type="character" w:customStyle="1" w:styleId="EntInstitChar">
    <w:name w:val="EntInstit Char"/>
    <w:basedOn w:val="DefaultParagraphFont"/>
    <w:link w:val="TBEntInstit"/>
    <w:rsid w:val="00BD73FF"/>
    <w:rPr>
      <w:rFonts w:ascii="Arial" w:hAnsi="Arial" w:cs="Arial"/>
      <w:b/>
      <w:sz w:val="23"/>
      <w:u w:color="606060"/>
      <w:lang w:eastAsia="fr-BE"/>
    </w:rPr>
  </w:style>
  <w:style w:type="paragraph" w:customStyle="1" w:styleId="TBDocumentGroup">
    <w:name w:val="TBDocumentGroup"/>
    <w:basedOn w:val="TechnicalBlockBase"/>
    <w:rsid w:val="00BD73FF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val="en-GB" w:eastAsia="fr-BE"/>
    </w:rPr>
  </w:style>
  <w:style w:type="paragraph" w:customStyle="1" w:styleId="TBSubjectBold">
    <w:name w:val="TBSubjectBold"/>
    <w:basedOn w:val="TechnicalBlockBase"/>
    <w:rsid w:val="00BD73FF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val="en-GB" w:eastAsia="fr-BE"/>
    </w:rPr>
  </w:style>
  <w:style w:type="paragraph" w:customStyle="1" w:styleId="NormalJustified">
    <w:name w:val="Normal Justified"/>
    <w:basedOn w:val="Normal"/>
    <w:rsid w:val="00BD73F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D73F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D73F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D73F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D73F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D73F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D73F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D73F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D73F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D73F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D73F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D73F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D73F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D73FF"/>
    <w:pPr>
      <w:widowControl/>
      <w:numPr>
        <w:ilvl w:val="1"/>
        <w:numId w:val="24"/>
      </w:numPr>
      <w:tabs>
        <w:tab w:val="clear" w:pos="567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D73FF"/>
    <w:pPr>
      <w:widowControl/>
      <w:numPr>
        <w:ilvl w:val="3"/>
        <w:numId w:val="24"/>
      </w:numPr>
      <w:tabs>
        <w:tab w:val="clear" w:pos="1134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D73FF"/>
    <w:pPr>
      <w:widowControl/>
      <w:numPr>
        <w:ilvl w:val="5"/>
        <w:numId w:val="24"/>
      </w:numPr>
      <w:tabs>
        <w:tab w:val="clear" w:pos="1701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D73FF"/>
    <w:pPr>
      <w:widowControl/>
      <w:numPr>
        <w:ilvl w:val="7"/>
        <w:numId w:val="24"/>
      </w:numPr>
      <w:tabs>
        <w:tab w:val="num" w:pos="1984"/>
        <w:tab w:val="clear" w:pos="2268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D73FF"/>
    <w:pPr>
      <w:widowControl/>
      <w:numPr>
        <w:ilvl w:val="8"/>
        <w:numId w:val="24"/>
      </w:numPr>
      <w:tabs>
        <w:tab w:val="num" w:pos="1984"/>
        <w:tab w:val="clear" w:pos="2835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D73FF"/>
    <w:pPr>
      <w:widowControl/>
      <w:numPr>
        <w:numId w:val="24"/>
      </w:numPr>
      <w:tabs>
        <w:tab w:val="clear" w:pos="567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D73FF"/>
    <w:pPr>
      <w:widowControl/>
      <w:numPr>
        <w:ilvl w:val="2"/>
        <w:numId w:val="24"/>
      </w:numPr>
      <w:tabs>
        <w:tab w:val="clear" w:pos="1134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D73FF"/>
    <w:pPr>
      <w:widowControl/>
      <w:numPr>
        <w:ilvl w:val="4"/>
        <w:numId w:val="24"/>
      </w:numPr>
      <w:tabs>
        <w:tab w:val="clear" w:pos="1701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D73FF"/>
    <w:pPr>
      <w:widowControl/>
      <w:numPr>
        <w:ilvl w:val="6"/>
        <w:numId w:val="24"/>
      </w:numPr>
      <w:tabs>
        <w:tab w:val="num" w:pos="1984"/>
        <w:tab w:val="clear" w:pos="2268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D73FF"/>
    <w:pPr>
      <w:widowControl/>
      <w:numPr>
        <w:numId w:val="25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D73FF"/>
    <w:pPr>
      <w:widowControl/>
      <w:numPr>
        <w:ilvl w:val="1"/>
        <w:numId w:val="25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D73FF"/>
    <w:pPr>
      <w:widowControl/>
      <w:numPr>
        <w:ilvl w:val="2"/>
        <w:numId w:val="25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D73FF"/>
    <w:pPr>
      <w:widowControl/>
      <w:numPr>
        <w:ilvl w:val="3"/>
        <w:numId w:val="25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D73FF"/>
    <w:pPr>
      <w:widowControl/>
      <w:numPr>
        <w:ilvl w:val="4"/>
        <w:numId w:val="25"/>
      </w:numPr>
      <w:tabs>
        <w:tab w:val="num" w:pos="2551"/>
        <w:tab w:val="clear" w:pos="2835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D73FF"/>
    <w:pPr>
      <w:widowControl/>
      <w:numPr>
        <w:numId w:val="26"/>
      </w:numPr>
      <w:tabs>
        <w:tab w:val="clear" w:pos="567"/>
        <w:tab w:val="num" w:pos="3118"/>
      </w:tabs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D73FF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D73FF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D73FF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D73FF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D73FF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D73FF"/>
    <w:pPr>
      <w:numPr>
        <w:numId w:val="32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BD73FF"/>
    <w:pPr>
      <w:numPr>
        <w:numId w:val="33"/>
      </w:numPr>
      <w:tabs>
        <w:tab w:val="num" w:pos="360"/>
        <w:tab w:val="clear" w:pos="1134"/>
      </w:tabs>
      <w:ind w:left="4252"/>
    </w:pPr>
  </w:style>
  <w:style w:type="paragraph" w:customStyle="1" w:styleId="DashEqual2">
    <w:name w:val="Dash Equal 2"/>
    <w:basedOn w:val="Dash2"/>
    <w:rsid w:val="00BD73FF"/>
    <w:pPr>
      <w:numPr>
        <w:numId w:val="34"/>
      </w:numPr>
      <w:tabs>
        <w:tab w:val="num" w:pos="360"/>
        <w:tab w:val="clear" w:pos="1701"/>
      </w:tabs>
      <w:ind w:left="4819"/>
    </w:pPr>
  </w:style>
  <w:style w:type="paragraph" w:customStyle="1" w:styleId="DashEqual3">
    <w:name w:val="Dash Equal 3"/>
    <w:basedOn w:val="Dash3"/>
    <w:rsid w:val="00BD73FF"/>
    <w:pPr>
      <w:numPr>
        <w:numId w:val="35"/>
      </w:numPr>
      <w:tabs>
        <w:tab w:val="num" w:pos="360"/>
        <w:tab w:val="clear" w:pos="2268"/>
      </w:tabs>
      <w:ind w:left="5386"/>
    </w:pPr>
  </w:style>
  <w:style w:type="paragraph" w:customStyle="1" w:styleId="DashEqual4">
    <w:name w:val="Dash Equal 4"/>
    <w:basedOn w:val="Dash4"/>
    <w:rsid w:val="00BD73FF"/>
    <w:pPr>
      <w:numPr>
        <w:numId w:val="36"/>
      </w:numPr>
      <w:tabs>
        <w:tab w:val="num" w:pos="360"/>
        <w:tab w:val="clear" w:pos="2835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BD73F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D73FF"/>
    <w:pPr>
      <w:numPr>
        <w:numId w:val="37"/>
      </w:numPr>
      <w:tabs>
        <w:tab w:val="num" w:pos="360"/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BD73FF"/>
    <w:pPr>
      <w:numPr>
        <w:numId w:val="38"/>
      </w:numPr>
      <w:tabs>
        <w:tab w:val="num" w:pos="360"/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BD73FF"/>
    <w:pPr>
      <w:numPr>
        <w:numId w:val="39"/>
      </w:numPr>
      <w:tabs>
        <w:tab w:val="num" w:pos="360"/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BD73FF"/>
    <w:pPr>
      <w:jc w:val="center"/>
    </w:pPr>
  </w:style>
  <w:style w:type="paragraph" w:customStyle="1" w:styleId="Jardin">
    <w:name w:val="Jardin"/>
    <w:basedOn w:val="Normal"/>
    <w:rsid w:val="00BD73F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D73F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D73F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D73F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D73FF"/>
    <w:rPr>
      <w:b/>
    </w:rPr>
  </w:style>
  <w:style w:type="paragraph" w:customStyle="1" w:styleId="Annex">
    <w:name w:val="Annex"/>
    <w:basedOn w:val="Normal"/>
    <w:next w:val="Normal"/>
    <w:rsid w:val="00BD73F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D73F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D73F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D73F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D73FF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BD73FF"/>
    <w:rPr>
      <w:rFonts w:eastAsiaTheme="minorHAnsi"/>
      <w:sz w:val="24"/>
      <w:szCs w:val="24"/>
      <w:lang w:val="bg-BG" w:eastAsia="en-US"/>
    </w:rPr>
  </w:style>
  <w:style w:type="paragraph" w:customStyle="1" w:styleId="CommentQuotedText">
    <w:name w:val="CommentQuotedText"/>
    <w:rsid w:val="00BD73F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BD73F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D73FF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BD73F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BD73FF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BD73FF"/>
    <w:rPr>
      <w:color w:val="954F72"/>
      <w:u w:val="single"/>
    </w:rPr>
  </w:style>
  <w:style w:type="paragraph" w:customStyle="1" w:styleId="EPFooterRC">
    <w:name w:val="EPFooterRC"/>
    <w:basedOn w:val="Normal"/>
    <w:rsid w:val="00BD73FF"/>
    <w:pPr>
      <w:tabs>
        <w:tab w:val="center" w:pos="4535"/>
        <w:tab w:val="left" w:pos="6662"/>
      </w:tabs>
    </w:pPr>
    <w:rPr>
      <w:sz w:val="22"/>
    </w:rPr>
  </w:style>
  <w:style w:type="character" w:customStyle="1" w:styleId="TitleChar1">
    <w:name w:val="Title Char1"/>
    <w:basedOn w:val="DefaultParagraphFont"/>
    <w:rsid w:val="00BD73FF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character" w:customStyle="1" w:styleId="SubtitleChar1">
    <w:name w:val="Subtitle Char1"/>
    <w:basedOn w:val="DefaultParagraphFont"/>
    <w:rsid w:val="00BD73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bg-BG"/>
    </w:rPr>
  </w:style>
  <w:style w:type="character" w:customStyle="1" w:styleId="QuoteChar1">
    <w:name w:val="Quote Char1"/>
    <w:basedOn w:val="DefaultParagraphFont"/>
    <w:uiPriority w:val="29"/>
    <w:rsid w:val="00BD73FF"/>
    <w:rPr>
      <w:i/>
      <w:iCs/>
      <w:color w:val="404040" w:themeColor="text1" w:themeTint="BF"/>
      <w:sz w:val="24"/>
      <w:lang w:val="bg-BG"/>
    </w:rPr>
  </w:style>
  <w:style w:type="character" w:customStyle="1" w:styleId="IntenseQuoteChar1">
    <w:name w:val="Intense Quote Char1"/>
    <w:basedOn w:val="DefaultParagraphFont"/>
    <w:uiPriority w:val="30"/>
    <w:rsid w:val="00BD73FF"/>
    <w:rPr>
      <w:i/>
      <w:iCs/>
      <w:color w:val="2E74B5" w:themeColor="accent1" w:themeShade="BF"/>
      <w:sz w:val="24"/>
      <w:lang w:val="bg-BG"/>
    </w:rPr>
  </w:style>
  <w:style w:type="character" w:styleId="FollowedHyperlink">
    <w:name w:val="FollowedHyperlink"/>
    <w:basedOn w:val="DefaultParagraphFont"/>
    <w:rsid w:val="00BD73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459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2026-09-02T08:42:00Z</dcterms:created>
  <dcterms:modified xsi:type="dcterms:W3CDTF">2026-09-02T08:42:00Z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