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E739AB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1197" w:rsidP="0010095E" w14:paraId="369A224D" w14:textId="77777777">
            <w:pPr>
              <w:pStyle w:val="EPName"/>
            </w:pPr>
            <w:r w:rsidRPr="009D1197">
              <w:t>Evropský parlament</w:t>
            </w:r>
          </w:p>
          <w:p w:rsidR="00751A4A" w:rsidRPr="009D1197" w:rsidP="005F1B17" w14:paraId="5222B8A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1197">
              <w:t>2024</w:t>
            </w:r>
            <w:r w:rsidRPr="009D1197" w:rsidR="00817416">
              <w:t>-202</w:t>
            </w:r>
            <w:r w:rsidRPr="009D119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D1197" w:rsidP="0010095E" w14:paraId="19124F29" w14:textId="77777777">
            <w:pPr>
              <w:pStyle w:val="EPLogo"/>
            </w:pPr>
            <w:r w:rsidRPr="009D119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1197" w:rsidP="004C5D52" w14:paraId="6403D2AB" w14:textId="77777777">
      <w:pPr>
        <w:pStyle w:val="LineTop"/>
      </w:pPr>
    </w:p>
    <w:p w:rsidR="00680577" w:rsidRPr="009D1197" w:rsidP="00680577" w14:paraId="01B5E921" w14:textId="77777777">
      <w:pPr>
        <w:pStyle w:val="EPBodyTA1"/>
      </w:pPr>
      <w:r w:rsidRPr="009D1197">
        <w:t>PŘIJATÉ TEXTY</w:t>
      </w:r>
    </w:p>
    <w:p w:rsidR="00D058B8" w:rsidRPr="009D1197" w:rsidP="00D058B8" w14:paraId="3ABD45E5" w14:textId="77777777">
      <w:pPr>
        <w:pStyle w:val="LineBottom"/>
      </w:pPr>
    </w:p>
    <w:p w:rsidR="004275FF" w:rsidRPr="009D1197" w:rsidP="004275FF" w14:paraId="0A2F30CC" w14:textId="3AB938D9">
      <w:pPr>
        <w:pStyle w:val="ATHeading1"/>
      </w:pPr>
      <w:bookmarkStart w:id="0" w:name="TANumber"/>
      <w:r w:rsidRPr="009D1197">
        <w:t>P10_</w:t>
      </w:r>
      <w:r w:rsidRPr="009D1197">
        <w:t>TA(</w:t>
      </w:r>
      <w:r w:rsidRPr="009D1197">
        <w:t>202</w:t>
      </w:r>
      <w:r w:rsidR="00166ED2">
        <w:t>6</w:t>
      </w:r>
      <w:r w:rsidRPr="009D1197">
        <w:t>)0</w:t>
      </w:r>
      <w:bookmarkEnd w:id="0"/>
      <w:r w:rsidRPr="009D1197" w:rsidR="006B077C">
        <w:t>227</w:t>
      </w:r>
    </w:p>
    <w:p w:rsidR="004275FF" w:rsidRPr="009D1197" w:rsidP="00B811A7" w14:paraId="4F6FBAFB" w14:textId="0F52749E">
      <w:pPr>
        <w:pStyle w:val="ATHeading2"/>
      </w:pPr>
      <w:r w:rsidRPr="009D1197">
        <w:t>Požadavky na oběhové hospodářství pro konstrukci vozidel a nakládání s vozidly s ukončenou životností</w:t>
      </w:r>
    </w:p>
    <w:p w:rsidR="004275FF" w:rsidRPr="009D1197" w:rsidP="004275FF" w14:paraId="0C6503DB" w14:textId="77777777">
      <w:pPr>
        <w:rPr>
          <w:i/>
          <w:vanish/>
        </w:rPr>
      </w:pPr>
      <w:r>
        <w:rPr>
          <w:i/>
        </w:rPr>
        <w:fldChar w:fldCharType="begin"/>
      </w:r>
      <w:r w:rsidRPr="009D1197">
        <w:rPr>
          <w:i/>
        </w:rPr>
        <w:instrText xml:space="preserve"> TC"(</w:instrText>
      </w:r>
      <w:bookmarkStart w:id="1" w:name="DocNumber"/>
      <w:r w:rsidRPr="009D1197">
        <w:rPr>
          <w:i/>
        </w:rPr>
        <w:instrText>A10-0158/2025</w:instrText>
      </w:r>
      <w:bookmarkEnd w:id="1"/>
      <w:r w:rsidRPr="009D1197">
        <w:rPr>
          <w:i/>
        </w:rPr>
        <w:instrText xml:space="preserve"> - Zpravodajové: </w:instrText>
      </w:r>
      <w:r w:rsidRPr="009D1197">
        <w:rPr>
          <w:i/>
        </w:rPr>
        <w:instrText>Jens</w:instrText>
      </w:r>
      <w:r w:rsidRPr="009D1197">
        <w:rPr>
          <w:i/>
        </w:rPr>
        <w:instrText xml:space="preserve"> </w:instrText>
      </w:r>
      <w:r w:rsidRPr="009D1197">
        <w:rPr>
          <w:i/>
        </w:rPr>
        <w:instrText>Gieseke</w:instrText>
      </w:r>
      <w:r w:rsidRPr="009D1197">
        <w:rPr>
          <w:i/>
        </w:rPr>
        <w:instrText xml:space="preserve">; Paulius </w:instrText>
      </w:r>
      <w:r w:rsidRPr="009D1197">
        <w:rPr>
          <w:i/>
        </w:rPr>
        <w:instrText>Saudargas</w:instrText>
      </w:r>
      <w:r w:rsidRPr="009D119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275FF" w:rsidRPr="009D1197" w:rsidP="004275FF" w14:paraId="1A51A5C7" w14:textId="11EAD670">
      <w:pPr>
        <w:rPr>
          <w:vanish/>
        </w:rPr>
      </w:pPr>
      <w:bookmarkStart w:id="2" w:name="Commission"/>
      <w:r w:rsidRPr="009D1197">
        <w:rPr>
          <w:vanish/>
        </w:rPr>
        <w:t>Výbor pro životní prostředí, klima a bezpečnost potravin, Výbor pro vnitřní trh a ochranu spotřebitelů</w:t>
      </w:r>
      <w:bookmarkEnd w:id="2"/>
    </w:p>
    <w:p w:rsidR="004275FF" w:rsidRPr="009D1197" w:rsidP="004275FF" w14:paraId="49518621" w14:textId="77777777">
      <w:pPr>
        <w:rPr>
          <w:vanish/>
        </w:rPr>
      </w:pPr>
      <w:bookmarkStart w:id="3" w:name="PE"/>
      <w:r w:rsidRPr="009D1197">
        <w:rPr>
          <w:vanish/>
        </w:rPr>
        <w:t>PE768.004</w:t>
      </w:r>
      <w:bookmarkEnd w:id="3"/>
    </w:p>
    <w:p w:rsidR="004275FF" w:rsidRPr="009D1197" w:rsidP="004275FF" w14:paraId="57937ABA" w14:textId="7532C4EB">
      <w:pPr>
        <w:pStyle w:val="ATHeading3"/>
      </w:pPr>
      <w:bookmarkStart w:id="4" w:name="Sujet"/>
      <w:r w:rsidRPr="009D1197">
        <w:t xml:space="preserve">Legislativní usnesení </w:t>
      </w:r>
      <w:r w:rsidRPr="009D1197" w:rsidR="00C350AA">
        <w:t>Evropsk</w:t>
      </w:r>
      <w:r w:rsidRPr="009D1197">
        <w:t>ého</w:t>
      </w:r>
      <w:r w:rsidRPr="009D1197" w:rsidR="00C350AA">
        <w:t xml:space="preserve"> parlament</w:t>
      </w:r>
      <w:r w:rsidRPr="009D1197">
        <w:t>u ze</w:t>
      </w:r>
      <w:r w:rsidRPr="009D1197" w:rsidR="00C350AA">
        <w:t xml:space="preserve"> dne</w:t>
      </w:r>
      <w:r w:rsidRPr="009D1197" w:rsidR="00920EFC">
        <w:t xml:space="preserve"> </w:t>
      </w:r>
      <w:r w:rsidRPr="009D1197">
        <w:t>18</w:t>
      </w:r>
      <w:r w:rsidRPr="009D1197" w:rsidR="00920EFC">
        <w:t xml:space="preserve">. </w:t>
      </w:r>
      <w:r w:rsidRPr="009D1197">
        <w:t>června</w:t>
      </w:r>
      <w:r w:rsidRPr="009D1197">
        <w:t xml:space="preserve"> 202</w:t>
      </w:r>
      <w:r w:rsidRPr="009D1197">
        <w:t>6</w:t>
      </w:r>
      <w:r w:rsidRPr="009D1197">
        <w:t xml:space="preserve"> </w:t>
      </w:r>
      <w:r w:rsidRPr="009D1197" w:rsidR="008C6FAE">
        <w:t>o</w:t>
      </w:r>
      <w:r w:rsidRPr="009D1197">
        <w:t xml:space="preserve"> návrhu nařízení Evropského parlamentu a Rady o požadavcích na </w:t>
      </w:r>
      <w:r w:rsidRPr="009D1197">
        <w:t>oběhovost</w:t>
      </w:r>
      <w:r w:rsidRPr="009D1197">
        <w:t xml:space="preserve"> projektů vozidel, o nakládání s vozidly s ukončenou životností, o změně nařízení (EU) 2018/858 a (EU) 2019/1020 a zrušení směrnic 2000/53/ES a 2005/64/ES</w:t>
      </w:r>
      <w:bookmarkEnd w:id="4"/>
      <w:r w:rsidRPr="009D1197">
        <w:t xml:space="preserve"> </w:t>
      </w:r>
      <w:bookmarkStart w:id="5" w:name="References"/>
      <w:r w:rsidRPr="009D1197">
        <w:t>(</w:t>
      </w:r>
      <w:r w:rsidRPr="009D1197">
        <w:t>COM(</w:t>
      </w:r>
      <w:r w:rsidRPr="009D1197">
        <w:t>2023)0451 – C9-0308/2023 – 2023/0284(COD))</w:t>
      </w:r>
      <w:bookmarkEnd w:id="5"/>
    </w:p>
    <w:p w:rsidR="00EA7463" w:rsidRPr="009D1197" w:rsidP="00EA7463" w14:paraId="05319E88" w14:textId="77777777">
      <w:pPr>
        <w:pStyle w:val="NormalBold"/>
      </w:pPr>
      <w:r w:rsidRPr="009D1197">
        <w:t>(Řádný legislativní postup: první čtení)</w:t>
      </w:r>
    </w:p>
    <w:p w:rsidR="00EA7463" w:rsidRPr="009D1197" w:rsidP="00EA7463" w14:paraId="5B9B8931" w14:textId="25FEE787">
      <w:pPr>
        <w:pStyle w:val="EPComma"/>
      </w:pPr>
      <w:r w:rsidRPr="009D1197">
        <w:rPr>
          <w:i/>
        </w:rPr>
        <w:t>Evropský parlament</w:t>
      </w:r>
      <w:r w:rsidRPr="009D1197">
        <w:t>,</w:t>
      </w:r>
    </w:p>
    <w:p w:rsidR="00EA7463" w:rsidRPr="009D1197" w:rsidP="00EA7463" w14:paraId="78EB0912" w14:textId="39E5804C">
      <w:pPr>
        <w:pStyle w:val="NormalHanging12a"/>
      </w:pPr>
      <w:r w:rsidRPr="009D1197">
        <w:t>–</w:t>
      </w:r>
      <w:r w:rsidRPr="009D1197">
        <w:tab/>
        <w:t>s ohledem na návrh Komise předložený Evropskému parlamentu a Radě (</w:t>
      </w:r>
      <w:r w:rsidRPr="009D1197">
        <w:t>COM(</w:t>
      </w:r>
      <w:r w:rsidRPr="009D1197">
        <w:t>2023)0451),</w:t>
      </w:r>
    </w:p>
    <w:p w:rsidR="00EA7463" w:rsidRPr="009D1197" w:rsidP="00EA7463" w14:paraId="6BC7E36F" w14:textId="16750252">
      <w:pPr>
        <w:pStyle w:val="NormalHanging12a"/>
      </w:pPr>
      <w:r w:rsidRPr="009D1197">
        <w:t>–</w:t>
      </w:r>
      <w:r w:rsidRPr="009D1197">
        <w:tab/>
        <w:t>s ohledem na čl. 294 odst. 2 a článek 114 Smlouvy o fungování Evropské unie, v </w:t>
      </w:r>
      <w:r w:rsidRPr="009D1197">
        <w:t>souladu</w:t>
      </w:r>
      <w:r w:rsidRPr="009D1197">
        <w:t xml:space="preserve"> se kterými Komise předložila svůj návrh Parlamentu (C9-0308/2023),</w:t>
      </w:r>
    </w:p>
    <w:p w:rsidR="0065347D" w:rsidRPr="009D1197" w:rsidP="008D474E" w14:paraId="6F8C7756" w14:textId="1165E504">
      <w:pPr>
        <w:pStyle w:val="NormalHanging12a"/>
        <w:numPr>
          <w:ilvl w:val="0"/>
          <w:numId w:val="45"/>
        </w:numPr>
        <w:ind w:left="567" w:hanging="567"/>
      </w:pPr>
      <w:r w:rsidRPr="009D1197">
        <w:t>s ohledem na stanovisko Výboru pro právní záležitosti k navrženému právnímu základu,</w:t>
      </w:r>
    </w:p>
    <w:p w:rsidR="00EA7463" w:rsidRPr="009D1197" w:rsidP="00EA7463" w14:paraId="6E6D08BD" w14:textId="31AA8541">
      <w:pPr>
        <w:pStyle w:val="NormalHanging12a"/>
      </w:pPr>
      <w:r w:rsidRPr="009D1197">
        <w:t>–</w:t>
      </w:r>
      <w:r w:rsidRPr="009D1197">
        <w:tab/>
        <w:t>s ohledem na čl. 294 odst. 3</w:t>
      </w:r>
      <w:r w:rsidRPr="009D1197" w:rsidR="00875805">
        <w:t>, článek 114 a čl. 192 odst. 1</w:t>
      </w:r>
      <w:r w:rsidRPr="009D1197">
        <w:t xml:space="preserve"> Smlouvy o fungování Evropské unie,</w:t>
      </w:r>
    </w:p>
    <w:p w:rsidR="00EA7463" w:rsidRPr="009D1197" w:rsidP="00EA7463" w14:paraId="67F53EC2" w14:textId="1E8A1151">
      <w:pPr>
        <w:pStyle w:val="NormalHanging12a"/>
      </w:pPr>
      <w:r w:rsidRPr="009D1197">
        <w:t>–</w:t>
      </w:r>
      <w:r w:rsidRPr="009D1197">
        <w:tab/>
        <w:t>s ohledem na stanovisko Evropského hospodářského a sociálního výboru ze dne 14.</w:t>
      </w:r>
      <w:r w:rsidRPr="009D1197" w:rsidR="0006508E">
        <w:t> </w:t>
      </w:r>
      <w:r w:rsidRPr="009D1197">
        <w:t>prosince 2023</w:t>
      </w:r>
      <w:r>
        <w:rPr>
          <w:rStyle w:val="FootnoteReference"/>
        </w:rPr>
        <w:footnoteReference w:id="2"/>
      </w:r>
      <w:r w:rsidRPr="009D1197">
        <w:t>,</w:t>
      </w:r>
    </w:p>
    <w:p w:rsidR="0006508E" w:rsidRPr="009D1197" w:rsidP="0006508E" w14:paraId="4F86C8C1" w14:textId="065FF4DC">
      <w:pPr>
        <w:pStyle w:val="NormalHanging12a"/>
        <w:numPr>
          <w:ilvl w:val="0"/>
          <w:numId w:val="45"/>
        </w:numPr>
        <w:ind w:left="567" w:hanging="567"/>
      </w:pPr>
      <w:r w:rsidRPr="009D1197">
        <w:t>p</w:t>
      </w:r>
      <w:r w:rsidRPr="009D1197">
        <w:t>o konzultaci s Výborem regionů,</w:t>
      </w:r>
    </w:p>
    <w:p w:rsidR="0006508E" w:rsidRPr="009D1197" w:rsidP="008D474E" w14:paraId="448554E2" w14:textId="65D8AF8A">
      <w:pPr>
        <w:pStyle w:val="NormalHanging12a"/>
        <w:numPr>
          <w:ilvl w:val="0"/>
          <w:numId w:val="45"/>
        </w:numPr>
        <w:ind w:left="567" w:hanging="567"/>
      </w:pPr>
      <w:r w:rsidRPr="009D1197">
        <w:t>s ohledem na předběžnou dohodu přijatou příslušným</w:t>
      </w:r>
      <w:r w:rsidRPr="009D1197" w:rsidR="00402B80">
        <w:t>i</w:t>
      </w:r>
      <w:r w:rsidRPr="009D1197">
        <w:t xml:space="preserve"> výbor</w:t>
      </w:r>
      <w:r w:rsidRPr="009D1197" w:rsidR="00402B80">
        <w:t>y</w:t>
      </w:r>
      <w:r w:rsidRPr="009D1197">
        <w:t xml:space="preserve"> podle čl. 75 odst. 4 jednacího řádu a s ohledem na to, že se zástupce Rady dopisem ze dne 25. února 2026 zavázal schválit postoj </w:t>
      </w:r>
      <w:r w:rsidRPr="009D1197" w:rsidR="008C6FAE">
        <w:t xml:space="preserve">Parlamentu </w:t>
      </w:r>
      <w:r w:rsidRPr="009D1197">
        <w:t xml:space="preserve">podle čl. 294 odst. 4 Smlouvy o fungování Evropské </w:t>
      </w:r>
      <w:r w:rsidRPr="009D1197">
        <w:t>unie,</w:t>
      </w:r>
    </w:p>
    <w:p w:rsidR="00EA7463" w:rsidRPr="009D1197" w:rsidP="00051272" w14:paraId="46757B4F" w14:textId="44D33EA3">
      <w:pPr>
        <w:pStyle w:val="NormalHanging12a"/>
      </w:pPr>
      <w:r w:rsidRPr="009D1197">
        <w:t>–</w:t>
      </w:r>
      <w:r w:rsidRPr="009D1197">
        <w:tab/>
        <w:t>s ohledem na člán</w:t>
      </w:r>
      <w:r w:rsidRPr="009D1197" w:rsidR="00051272">
        <w:t>ky</w:t>
      </w:r>
      <w:r w:rsidRPr="009D1197">
        <w:t xml:space="preserve"> 60</w:t>
      </w:r>
      <w:r w:rsidRPr="009D1197" w:rsidR="00051272">
        <w:t xml:space="preserve"> a 41</w:t>
      </w:r>
      <w:r w:rsidRPr="009D1197">
        <w:t xml:space="preserve"> jednacího řádu,</w:t>
      </w:r>
    </w:p>
    <w:p w:rsidR="00051272" w:rsidRPr="009D1197" w:rsidP="008D474E" w14:paraId="5722010D" w14:textId="17C01928">
      <w:pPr>
        <w:pStyle w:val="NormalHanging12a"/>
        <w:numPr>
          <w:ilvl w:val="0"/>
          <w:numId w:val="45"/>
        </w:numPr>
        <w:ind w:left="567" w:hanging="567"/>
      </w:pPr>
      <w:r w:rsidRPr="009D1197">
        <w:t>s ohledem na společná jednání Výboru pro životní prostředí, klima a bezpečnost potravin a Výboru pro vnitřní trh a ochranu spotřebitelů podle článku 59 jednacího řádu,</w:t>
      </w:r>
    </w:p>
    <w:p w:rsidR="00EA7463" w:rsidRPr="009D1197" w:rsidP="00051272" w14:paraId="24084F95" w14:textId="1C99BC07">
      <w:pPr>
        <w:pStyle w:val="NormalHanging12a"/>
      </w:pPr>
      <w:r w:rsidRPr="009D1197">
        <w:t>–</w:t>
      </w:r>
      <w:r w:rsidRPr="009D1197">
        <w:tab/>
        <w:t>s ohledem na stanovisko Výboru pro dopravu a cestovní ruch,</w:t>
      </w:r>
    </w:p>
    <w:p w:rsidR="00EA7463" w:rsidRPr="009D1197" w:rsidP="00EA7463" w14:paraId="6DE1BE59" w14:textId="36D57665">
      <w:pPr>
        <w:pStyle w:val="NormalHanging12a"/>
      </w:pPr>
      <w:r w:rsidRPr="009D1197">
        <w:t>–</w:t>
      </w:r>
      <w:r w:rsidRPr="009D1197">
        <w:tab/>
        <w:t>s ohledem na zprávu Výboru pro životní prostředí, klima a bezpečnost potravin a Výboru pro vnitřní trh a ochranu spotřebitelů (A10</w:t>
      </w:r>
      <w:r w:rsidRPr="009D1197">
        <w:noBreakHyphen/>
        <w:t>0158/2025),</w:t>
      </w:r>
    </w:p>
    <w:p w:rsidR="00EA7463" w:rsidRPr="009D1197" w:rsidP="00EA7463" w14:paraId="08505785" w14:textId="2A649ED2">
      <w:pPr>
        <w:pStyle w:val="NormalHanging12a"/>
      </w:pPr>
      <w:r w:rsidRPr="009D1197">
        <w:t>1.</w:t>
      </w:r>
      <w:r w:rsidRPr="009D1197">
        <w:tab/>
        <w:t>přijímá níže uvedený postoj v prvním čtení</w:t>
      </w:r>
      <w:r>
        <w:rPr>
          <w:rStyle w:val="FootnoteReference"/>
        </w:rPr>
        <w:footnoteReference w:id="3"/>
      </w:r>
      <w:r w:rsidRPr="009D1197">
        <w:t>;</w:t>
      </w:r>
    </w:p>
    <w:p w:rsidR="00EA7463" w:rsidRPr="009D1197" w:rsidP="00EA7463" w14:paraId="0D3A2E1C" w14:textId="7716D691">
      <w:pPr>
        <w:pStyle w:val="NormalHanging12a"/>
      </w:pPr>
      <w:r w:rsidRPr="009D1197">
        <w:t>2.</w:t>
      </w:r>
      <w:r w:rsidRPr="009D1197">
        <w:tab/>
      </w:r>
      <w:r w:rsidRPr="009D1197" w:rsidR="005947AD">
        <w:t>vyzývá Komisi, aby věc znovu postoupila Parlamentu, jestliže svůj návrh nahradí jiným textem, podstatně jej změní nebo má v úmyslu jej podstatně změnit</w:t>
      </w:r>
      <w:r w:rsidRPr="009D1197">
        <w:t>;</w:t>
      </w:r>
    </w:p>
    <w:p w:rsidR="00DE29EB" w:rsidRPr="009D1197" w:rsidP="00EA7463" w14:paraId="5F3E3BA0" w14:textId="77777777">
      <w:pPr>
        <w:pStyle w:val="NormalHanging12a"/>
        <w:sectPr w:rsidSect="00DB13B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D1197">
        <w:t>3.</w:t>
      </w:r>
      <w:r w:rsidRPr="009D1197">
        <w:tab/>
        <w:t>pověřuje svou předsedkyni, aby předala postoj Parlamentu Radě</w:t>
      </w:r>
      <w:r w:rsidRPr="009D1197" w:rsidR="00FC4094">
        <w:t xml:space="preserve"> a</w:t>
      </w:r>
      <w:r w:rsidRPr="009D1197">
        <w:t xml:space="preserve"> Komisi, jakož i vnitrostátním parlamentům.</w:t>
      </w:r>
    </w:p>
    <w:p w:rsidR="004E67D0" w:rsidRPr="009D1197" w:rsidP="004E67D0" w14:paraId="0091B52E" w14:textId="214232F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D1197">
        <w:rPr>
          <w:rFonts w:eastAsia="Calibri"/>
          <w:b/>
          <w:bCs/>
          <w:color w:val="000000"/>
          <w:szCs w:val="24"/>
        </w:rPr>
        <w:t>P10_TC1-</w:t>
      </w:r>
      <w:r w:rsidRPr="009D1197">
        <w:rPr>
          <w:rFonts w:eastAsia="Calibri"/>
          <w:b/>
          <w:bCs/>
          <w:color w:val="000000"/>
          <w:szCs w:val="24"/>
        </w:rPr>
        <w:t>COD(</w:t>
      </w:r>
      <w:r w:rsidRPr="009D1197">
        <w:rPr>
          <w:rFonts w:eastAsia="Calibri"/>
          <w:b/>
          <w:bCs/>
          <w:color w:val="000000"/>
          <w:szCs w:val="24"/>
        </w:rPr>
        <w:t>2023)0284</w:t>
      </w:r>
    </w:p>
    <w:p w:rsidR="00DE29EB" w:rsidP="00DE29EB" w14:paraId="45D11AEA" w14:textId="4CCDC728">
      <w:pPr>
        <w:widowControl/>
        <w:rPr>
          <w:rFonts w:eastAsia="Calibri"/>
          <w:b/>
          <w:szCs w:val="22"/>
          <w:lang w:eastAsia="en-US"/>
        </w:rPr>
      </w:pPr>
      <w:r w:rsidRPr="009D1197">
        <w:rPr>
          <w:rFonts w:eastAsia="Calibri"/>
          <w:b/>
          <w:bCs/>
          <w:szCs w:val="24"/>
        </w:rPr>
        <w:t xml:space="preserve">Postoj Evropského parlamentu přijatý v prvním čtení dne 18. června 2026 k přijetí </w:t>
      </w:r>
      <w:bookmarkStart w:id="6" w:name="_Hlk227608080"/>
      <w:r w:rsidRPr="009D1197">
        <w:rPr>
          <w:rFonts w:eastAsia="Calibri"/>
          <w:b/>
          <w:szCs w:val="22"/>
          <w:lang w:eastAsia="en-US"/>
        </w:rPr>
        <w:t>nařízení Evropského parlamentu a Rady</w:t>
      </w:r>
      <w:bookmarkEnd w:id="6"/>
      <w:r w:rsidRPr="009D1197">
        <w:rPr>
          <w:rFonts w:eastAsia="Calibri"/>
          <w:b/>
          <w:szCs w:val="22"/>
          <w:lang w:eastAsia="en-US"/>
        </w:rPr>
        <w:t xml:space="preserve"> (EU) 2026/… o požadavcích na </w:t>
      </w:r>
      <w:r w:rsidRPr="009D1197">
        <w:rPr>
          <w:rFonts w:eastAsia="Calibri"/>
          <w:b/>
          <w:szCs w:val="22"/>
          <w:lang w:eastAsia="en-US"/>
        </w:rPr>
        <w:t>oběhovost</w:t>
      </w:r>
      <w:r w:rsidRPr="009D1197">
        <w:rPr>
          <w:rFonts w:eastAsia="Calibri"/>
          <w:b/>
          <w:szCs w:val="22"/>
          <w:lang w:eastAsia="en-US"/>
        </w:rPr>
        <w:t xml:space="preserve"> při navrhování vozidel, o nakládání s vozidly s ukončenou životností, o změně nařízení </w:t>
      </w:r>
      <w:r w:rsidRPr="009D1197">
        <w:rPr>
          <w:rFonts w:eastAsia="Calibri"/>
          <w:b/>
          <w:i/>
          <w:szCs w:val="22"/>
          <w:lang w:eastAsia="en-US"/>
        </w:rPr>
        <w:t>(EU) č. 168/2013</w:t>
      </w:r>
      <w:r w:rsidRPr="009D1197">
        <w:rPr>
          <w:rFonts w:eastAsia="Calibri"/>
          <w:b/>
          <w:szCs w:val="22"/>
          <w:lang w:eastAsia="en-US"/>
        </w:rPr>
        <w:t>, (EU) 2018/858 (EU) 2019/1020 a </w:t>
      </w:r>
      <w:r w:rsidRPr="009D1197">
        <w:rPr>
          <w:rFonts w:eastAsia="Calibri"/>
          <w:b/>
          <w:i/>
          <w:szCs w:val="22"/>
          <w:lang w:eastAsia="en-US"/>
        </w:rPr>
        <w:t xml:space="preserve">(EU) 2023/1542 </w:t>
      </w:r>
      <w:r w:rsidRPr="009D1197">
        <w:rPr>
          <w:rFonts w:eastAsia="Calibri"/>
          <w:b/>
          <w:szCs w:val="22"/>
          <w:lang w:eastAsia="en-US"/>
        </w:rPr>
        <w:t>a o zrušení směrnic 2000/53/ES a 2005/64/ES</w:t>
      </w:r>
    </w:p>
    <w:p w:rsidR="00B05831" w:rsidRPr="009D1197" w:rsidP="00B05831" w14:paraId="78ACFA69" w14:textId="3C5E8DF6">
      <w:pPr>
        <w:spacing w:before="360"/>
        <w:rPr>
          <w:rFonts w:eastAsia="Calibri"/>
          <w:b/>
          <w:bCs/>
          <w:szCs w:val="24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1738</w:t>
      </w:r>
      <w:r>
        <w:rPr>
          <w:i/>
        </w:rPr>
        <w:t>.)</w:t>
      </w:r>
    </w:p>
    <w:sectPr w:rsidSect="00DE29E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85438" w14:paraId="3B05F45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85438" w14:paraId="3A7197A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85438" w14:paraId="608478A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275FF" w:rsidRPr="00185438" w14:paraId="796CD582" w14:textId="77777777">
      <w:r w:rsidRPr="00185438">
        <w:separator/>
      </w:r>
    </w:p>
  </w:footnote>
  <w:footnote w:type="continuationSeparator" w:id="1">
    <w:p w:rsidR="004275FF" w:rsidRPr="00185438" w14:paraId="622E01B9" w14:textId="77777777">
      <w:r w:rsidRPr="00185438">
        <w:continuationSeparator/>
      </w:r>
    </w:p>
  </w:footnote>
  <w:footnote w:id="2">
    <w:p w:rsidR="00DB13BC" w:rsidRPr="00DB13BC" w:rsidP="00DB13BC" w14:paraId="2E8C4255" w14:textId="5D83039F">
      <w:pPr>
        <w:pStyle w:val="FootnoteText"/>
        <w:ind w:left="567" w:hanging="567"/>
        <w:rPr>
          <w:sz w:val="24"/>
          <w:szCs w:val="24"/>
          <w:lang w:val="cs-CZ"/>
        </w:rPr>
      </w:pPr>
      <w:r w:rsidRPr="00DB13BC">
        <w:rPr>
          <w:rStyle w:val="FootnoteReference"/>
          <w:sz w:val="24"/>
          <w:szCs w:val="24"/>
        </w:rPr>
        <w:footnoteRef/>
      </w:r>
      <w:r w:rsidRPr="00DB13BC">
        <w:rPr>
          <w:sz w:val="24"/>
          <w:szCs w:val="24"/>
          <w:lang w:val="fi-FI"/>
        </w:rPr>
        <w:t xml:space="preserve"> </w:t>
      </w:r>
      <w:r w:rsidRPr="00DB13BC">
        <w:rPr>
          <w:sz w:val="24"/>
          <w:szCs w:val="24"/>
          <w:lang w:val="cs-CZ"/>
        </w:rPr>
        <w:tab/>
      </w:r>
      <w:r w:rsidRPr="00DB13BC">
        <w:rPr>
          <w:sz w:val="24"/>
          <w:szCs w:val="24"/>
          <w:lang w:val="cs-CZ"/>
        </w:rPr>
        <w:t>Úř</w:t>
      </w:r>
      <w:r w:rsidRPr="00DB13BC">
        <w:rPr>
          <w:sz w:val="24"/>
          <w:szCs w:val="24"/>
          <w:lang w:val="cs-CZ"/>
        </w:rPr>
        <w:t xml:space="preserve">. </w:t>
      </w:r>
      <w:r w:rsidRPr="00DB13BC">
        <w:rPr>
          <w:sz w:val="24"/>
          <w:szCs w:val="24"/>
          <w:lang w:val="cs-CZ"/>
        </w:rPr>
        <w:t>věst</w:t>
      </w:r>
      <w:r w:rsidRPr="00DB13BC">
        <w:rPr>
          <w:sz w:val="24"/>
          <w:szCs w:val="24"/>
          <w:lang w:val="cs-CZ"/>
        </w:rPr>
        <w:t xml:space="preserve">. C, C/2024/1593, 5.3.2024, ELI: </w:t>
      </w:r>
      <w:hyperlink r:id="rId1" w:history="1">
        <w:r w:rsidRPr="00DB13BC">
          <w:rPr>
            <w:rStyle w:val="Hyperlink"/>
            <w:sz w:val="24"/>
            <w:szCs w:val="24"/>
            <w:lang w:val="cs-CZ"/>
          </w:rPr>
          <w:t>http://data.europa.eu/eli/C/2024/1593/oj</w:t>
        </w:r>
      </w:hyperlink>
      <w:r w:rsidRPr="00DB13BC">
        <w:rPr>
          <w:sz w:val="24"/>
          <w:szCs w:val="24"/>
          <w:lang w:val="cs-CZ"/>
        </w:rPr>
        <w:t>.</w:t>
      </w:r>
    </w:p>
  </w:footnote>
  <w:footnote w:id="3">
    <w:p w:rsidR="00DB13BC" w:rsidRPr="008D474E" w:rsidP="00DB13BC" w14:paraId="712DAE76" w14:textId="5B3C60AE">
      <w:pPr>
        <w:pStyle w:val="FootnoteText"/>
        <w:ind w:left="567" w:hanging="567"/>
        <w:rPr>
          <w:sz w:val="24"/>
          <w:szCs w:val="24"/>
          <w:lang w:val="cs-CZ"/>
        </w:rPr>
      </w:pPr>
      <w:r w:rsidRPr="00672225">
        <w:rPr>
          <w:rStyle w:val="FootnoteReference"/>
          <w:sz w:val="24"/>
          <w:szCs w:val="24"/>
        </w:rPr>
        <w:footnoteRef/>
      </w:r>
      <w:r w:rsidRPr="008D474E">
        <w:rPr>
          <w:sz w:val="24"/>
          <w:szCs w:val="24"/>
          <w:lang w:val="cs-CZ"/>
        </w:rPr>
        <w:t xml:space="preserve"> </w:t>
      </w:r>
      <w:r w:rsidRPr="008D474E">
        <w:rPr>
          <w:sz w:val="24"/>
          <w:szCs w:val="24"/>
          <w:lang w:val="cs-CZ"/>
        </w:rPr>
        <w:tab/>
        <w:t xml:space="preserve">Tento postoj nahrazuje pozměňovací návrhy přijaté dne </w:t>
      </w:r>
      <w:r w:rsidR="00B178FC">
        <w:rPr>
          <w:sz w:val="24"/>
          <w:szCs w:val="24"/>
          <w:lang w:val="cs-CZ"/>
        </w:rPr>
        <w:t>9</w:t>
      </w:r>
      <w:r w:rsidRPr="008D474E">
        <w:rPr>
          <w:sz w:val="24"/>
          <w:szCs w:val="24"/>
          <w:lang w:val="cs-CZ"/>
        </w:rPr>
        <w:t xml:space="preserve">. </w:t>
      </w:r>
      <w:r w:rsidR="00B178FC">
        <w:rPr>
          <w:sz w:val="24"/>
          <w:szCs w:val="24"/>
          <w:lang w:val="cs-CZ"/>
        </w:rPr>
        <w:t>září</w:t>
      </w:r>
      <w:r w:rsidRPr="008D474E">
        <w:rPr>
          <w:sz w:val="24"/>
          <w:szCs w:val="24"/>
          <w:lang w:val="cs-CZ"/>
        </w:rPr>
        <w:t xml:space="preserve"> 202</w:t>
      </w:r>
      <w:r w:rsidR="00B178FC">
        <w:rPr>
          <w:sz w:val="24"/>
          <w:szCs w:val="24"/>
          <w:lang w:val="cs-CZ"/>
        </w:rPr>
        <w:t>5</w:t>
      </w:r>
      <w:r w:rsidRPr="008D474E">
        <w:rPr>
          <w:sz w:val="24"/>
          <w:szCs w:val="24"/>
          <w:lang w:val="cs-CZ"/>
        </w:rPr>
        <w:t xml:space="preserve"> (Přijaté texty, P10_</w:t>
      </w:r>
      <w:r w:rsidRPr="008D474E">
        <w:rPr>
          <w:sz w:val="24"/>
          <w:szCs w:val="24"/>
          <w:lang w:val="cs-CZ"/>
        </w:rPr>
        <w:t>TA(</w:t>
      </w:r>
      <w:r w:rsidRPr="008D474E">
        <w:rPr>
          <w:sz w:val="24"/>
          <w:szCs w:val="24"/>
          <w:lang w:val="cs-CZ"/>
        </w:rPr>
        <w:t>202</w:t>
      </w:r>
      <w:r w:rsidR="00B178FC">
        <w:rPr>
          <w:sz w:val="24"/>
          <w:szCs w:val="24"/>
          <w:lang w:val="cs-CZ"/>
        </w:rPr>
        <w:t>5</w:t>
      </w:r>
      <w:r w:rsidRPr="008D474E">
        <w:rPr>
          <w:sz w:val="24"/>
          <w:szCs w:val="24"/>
          <w:lang w:val="cs-CZ"/>
        </w:rPr>
        <w:t>)0</w:t>
      </w:r>
      <w:r w:rsidR="00B178FC">
        <w:rPr>
          <w:sz w:val="24"/>
          <w:szCs w:val="24"/>
          <w:lang w:val="cs-CZ"/>
        </w:rPr>
        <w:t>168</w:t>
      </w:r>
      <w:r w:rsidRPr="008D474E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85438" w14:paraId="7A24135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85438" w14:paraId="1171A6D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85438" w14:paraId="0E2C965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3">
    <w:nsid w:val="36B56C6A"/>
    <w:multiLevelType w:val="hybridMultilevel"/>
    <w:tmpl w:val="8B4A11C2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5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6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7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8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2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3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8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9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9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887640993">
    <w:abstractNumId w:val="9"/>
  </w:num>
  <w:num w:numId="2" w16cid:durableId="1510488321">
    <w:abstractNumId w:val="9"/>
  </w:num>
  <w:num w:numId="3" w16cid:durableId="1301763072">
    <w:abstractNumId w:val="7"/>
  </w:num>
  <w:num w:numId="4" w16cid:durableId="233051741">
    <w:abstractNumId w:val="7"/>
  </w:num>
  <w:num w:numId="5" w16cid:durableId="755370459">
    <w:abstractNumId w:val="6"/>
  </w:num>
  <w:num w:numId="6" w16cid:durableId="827285177">
    <w:abstractNumId w:val="6"/>
  </w:num>
  <w:num w:numId="7" w16cid:durableId="274097471">
    <w:abstractNumId w:val="5"/>
  </w:num>
  <w:num w:numId="8" w16cid:durableId="222101813">
    <w:abstractNumId w:val="5"/>
  </w:num>
  <w:num w:numId="9" w16cid:durableId="1035731980">
    <w:abstractNumId w:val="4"/>
  </w:num>
  <w:num w:numId="10" w16cid:durableId="1501043869">
    <w:abstractNumId w:val="4"/>
  </w:num>
  <w:num w:numId="11" w16cid:durableId="101918370">
    <w:abstractNumId w:val="8"/>
  </w:num>
  <w:num w:numId="12" w16cid:durableId="1495141150">
    <w:abstractNumId w:val="8"/>
  </w:num>
  <w:num w:numId="13" w16cid:durableId="1814635113">
    <w:abstractNumId w:val="3"/>
  </w:num>
  <w:num w:numId="14" w16cid:durableId="233973754">
    <w:abstractNumId w:val="3"/>
  </w:num>
  <w:num w:numId="15" w16cid:durableId="1845826807">
    <w:abstractNumId w:val="2"/>
  </w:num>
  <w:num w:numId="16" w16cid:durableId="128475434">
    <w:abstractNumId w:val="2"/>
  </w:num>
  <w:num w:numId="17" w16cid:durableId="1858499186">
    <w:abstractNumId w:val="1"/>
  </w:num>
  <w:num w:numId="18" w16cid:durableId="733545677">
    <w:abstractNumId w:val="1"/>
  </w:num>
  <w:num w:numId="19" w16cid:durableId="1036198631">
    <w:abstractNumId w:val="0"/>
  </w:num>
  <w:num w:numId="20" w16cid:durableId="1404520460">
    <w:abstractNumId w:val="0"/>
  </w:num>
  <w:num w:numId="21" w16cid:durableId="132187013">
    <w:abstractNumId w:val="9"/>
  </w:num>
  <w:num w:numId="22" w16cid:durableId="1067652435">
    <w:abstractNumId w:val="7"/>
  </w:num>
  <w:num w:numId="23" w16cid:durableId="386686731">
    <w:abstractNumId w:val="6"/>
  </w:num>
  <w:num w:numId="24" w16cid:durableId="1776552724">
    <w:abstractNumId w:val="5"/>
  </w:num>
  <w:num w:numId="25" w16cid:durableId="206646486">
    <w:abstractNumId w:val="4"/>
  </w:num>
  <w:num w:numId="26" w16cid:durableId="13456497">
    <w:abstractNumId w:val="8"/>
  </w:num>
  <w:num w:numId="27" w16cid:durableId="910694859">
    <w:abstractNumId w:val="3"/>
  </w:num>
  <w:num w:numId="28" w16cid:durableId="1064983863">
    <w:abstractNumId w:val="2"/>
  </w:num>
  <w:num w:numId="29" w16cid:durableId="359552345">
    <w:abstractNumId w:val="1"/>
  </w:num>
  <w:num w:numId="30" w16cid:durableId="1640306377">
    <w:abstractNumId w:val="0"/>
  </w:num>
  <w:num w:numId="31" w16cid:durableId="1140539083">
    <w:abstractNumId w:val="9"/>
  </w:num>
  <w:num w:numId="32" w16cid:durableId="1655331843">
    <w:abstractNumId w:val="7"/>
  </w:num>
  <w:num w:numId="33" w16cid:durableId="1208370252">
    <w:abstractNumId w:val="6"/>
  </w:num>
  <w:num w:numId="34" w16cid:durableId="426771998">
    <w:abstractNumId w:val="5"/>
  </w:num>
  <w:num w:numId="35" w16cid:durableId="538052182">
    <w:abstractNumId w:val="4"/>
  </w:num>
  <w:num w:numId="36" w16cid:durableId="1614827930">
    <w:abstractNumId w:val="8"/>
  </w:num>
  <w:num w:numId="37" w16cid:durableId="1133673507">
    <w:abstractNumId w:val="3"/>
  </w:num>
  <w:num w:numId="38" w16cid:durableId="1816415135">
    <w:abstractNumId w:val="2"/>
  </w:num>
  <w:num w:numId="39" w16cid:durableId="1655523096">
    <w:abstractNumId w:val="1"/>
  </w:num>
  <w:num w:numId="40" w16cid:durableId="808129797">
    <w:abstractNumId w:val="0"/>
  </w:num>
  <w:num w:numId="41" w16cid:durableId="773210697">
    <w:abstractNumId w:val="12"/>
  </w:num>
  <w:num w:numId="42" w16cid:durableId="1432436726">
    <w:abstractNumId w:val="12"/>
  </w:num>
  <w:num w:numId="43" w16cid:durableId="430126514">
    <w:abstractNumId w:val="12"/>
  </w:num>
  <w:num w:numId="44" w16cid:durableId="1221593357">
    <w:abstractNumId w:val="24"/>
  </w:num>
  <w:num w:numId="45" w16cid:durableId="2102211719">
    <w:abstractNumId w:val="23"/>
  </w:num>
  <w:num w:numId="46" w16cid:durableId="1685739777">
    <w:abstractNumId w:val="10"/>
  </w:num>
  <w:num w:numId="47" w16cid:durableId="166291639">
    <w:abstractNumId w:val="20"/>
  </w:num>
  <w:num w:numId="48" w16cid:durableId="1110391513">
    <w:abstractNumId w:val="28"/>
  </w:num>
  <w:num w:numId="49" w16cid:durableId="327631951">
    <w:abstractNumId w:val="19"/>
  </w:num>
  <w:num w:numId="50" w16cid:durableId="849948080">
    <w:abstractNumId w:val="17"/>
  </w:num>
  <w:num w:numId="51" w16cid:durableId="447241554">
    <w:abstractNumId w:val="38"/>
  </w:num>
  <w:num w:numId="52" w16cid:durableId="108356433">
    <w:abstractNumId w:val="43"/>
  </w:num>
  <w:num w:numId="53" w16cid:durableId="16202875">
    <w:abstractNumId w:val="39"/>
  </w:num>
  <w:num w:numId="54" w16cid:durableId="1719740644">
    <w:abstractNumId w:val="11"/>
  </w:num>
  <w:num w:numId="55" w16cid:durableId="1316641683">
    <w:abstractNumId w:val="40"/>
  </w:num>
  <w:num w:numId="56" w16cid:durableId="1918972586">
    <w:abstractNumId w:val="36"/>
  </w:num>
  <w:num w:numId="57" w16cid:durableId="1211957590">
    <w:abstractNumId w:val="13"/>
  </w:num>
  <w:num w:numId="58" w16cid:durableId="785852355">
    <w:abstractNumId w:val="42"/>
  </w:num>
  <w:num w:numId="59" w16cid:durableId="100343276">
    <w:abstractNumId w:val="47"/>
  </w:num>
  <w:num w:numId="60" w16cid:durableId="118036514">
    <w:abstractNumId w:val="33"/>
  </w:num>
  <w:num w:numId="61" w16cid:durableId="1709600658">
    <w:abstractNumId w:val="41"/>
  </w:num>
  <w:num w:numId="62" w16cid:durableId="1815443566">
    <w:abstractNumId w:val="37"/>
  </w:num>
  <w:num w:numId="63" w16cid:durableId="1817143773">
    <w:abstractNumId w:val="34"/>
  </w:num>
  <w:num w:numId="64" w16cid:durableId="914970275">
    <w:abstractNumId w:val="21"/>
  </w:num>
  <w:num w:numId="65" w16cid:durableId="571501031">
    <w:abstractNumId w:val="16"/>
  </w:num>
  <w:num w:numId="66" w16cid:durableId="216286118">
    <w:abstractNumId w:val="15"/>
  </w:num>
  <w:num w:numId="67" w16cid:durableId="717364055">
    <w:abstractNumId w:val="29"/>
  </w:num>
  <w:num w:numId="68" w16cid:durableId="254437804">
    <w:abstractNumId w:val="32"/>
  </w:num>
  <w:num w:numId="69" w16cid:durableId="1506632070">
    <w:abstractNumId w:val="31"/>
  </w:num>
  <w:num w:numId="70" w16cid:durableId="116413259">
    <w:abstractNumId w:val="48"/>
  </w:num>
  <w:num w:numId="71" w16cid:durableId="1999648621">
    <w:abstractNumId w:val="25"/>
  </w:num>
  <w:num w:numId="72" w16cid:durableId="1354920037">
    <w:abstractNumId w:val="26"/>
  </w:num>
  <w:num w:numId="73" w16cid:durableId="2017461581">
    <w:abstractNumId w:val="27"/>
  </w:num>
  <w:num w:numId="74" w16cid:durableId="1358702332">
    <w:abstractNumId w:val="30"/>
  </w:num>
  <w:num w:numId="75" w16cid:durableId="680163427">
    <w:abstractNumId w:val="18"/>
  </w:num>
  <w:num w:numId="76" w16cid:durableId="1614819933">
    <w:abstractNumId w:val="49"/>
  </w:num>
  <w:num w:numId="77" w16cid:durableId="1727030575">
    <w:abstractNumId w:val="22"/>
  </w:num>
  <w:num w:numId="78" w16cid:durableId="1071120550">
    <w:abstractNumId w:val="35"/>
  </w:num>
  <w:num w:numId="79" w16cid:durableId="1121533425">
    <w:abstractNumId w:val="45"/>
  </w:num>
  <w:num w:numId="80" w16cid:durableId="740374139">
    <w:abstractNumId w:val="44"/>
  </w:num>
  <w:num w:numId="81" w16cid:durableId="645473189">
    <w:abstractNumId w:val="46"/>
  </w:num>
  <w:num w:numId="82" w16cid:durableId="921137400">
    <w:abstractNumId w:val="14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FF"/>
    <w:rsid w:val="00002272"/>
    <w:rsid w:val="000428DB"/>
    <w:rsid w:val="00051272"/>
    <w:rsid w:val="00064002"/>
    <w:rsid w:val="0006508E"/>
    <w:rsid w:val="000677B9"/>
    <w:rsid w:val="0008039E"/>
    <w:rsid w:val="000831BA"/>
    <w:rsid w:val="000A42CC"/>
    <w:rsid w:val="000E7DD9"/>
    <w:rsid w:val="0010095E"/>
    <w:rsid w:val="00125B37"/>
    <w:rsid w:val="00166ED2"/>
    <w:rsid w:val="00185438"/>
    <w:rsid w:val="00187494"/>
    <w:rsid w:val="001F32AE"/>
    <w:rsid w:val="0022696F"/>
    <w:rsid w:val="002767FF"/>
    <w:rsid w:val="002B18FE"/>
    <w:rsid w:val="002B5493"/>
    <w:rsid w:val="00343214"/>
    <w:rsid w:val="00361C00"/>
    <w:rsid w:val="00395FA1"/>
    <w:rsid w:val="003E15D4"/>
    <w:rsid w:val="00402B80"/>
    <w:rsid w:val="00411CCE"/>
    <w:rsid w:val="0041666E"/>
    <w:rsid w:val="00421060"/>
    <w:rsid w:val="004275FF"/>
    <w:rsid w:val="00471C19"/>
    <w:rsid w:val="004867E3"/>
    <w:rsid w:val="00492645"/>
    <w:rsid w:val="00494A28"/>
    <w:rsid w:val="004C0004"/>
    <w:rsid w:val="004C5D52"/>
    <w:rsid w:val="004E67D0"/>
    <w:rsid w:val="0050519A"/>
    <w:rsid w:val="005072A1"/>
    <w:rsid w:val="00514517"/>
    <w:rsid w:val="00545827"/>
    <w:rsid w:val="00560270"/>
    <w:rsid w:val="005947AD"/>
    <w:rsid w:val="005A22B8"/>
    <w:rsid w:val="005C2568"/>
    <w:rsid w:val="005E2C51"/>
    <w:rsid w:val="005F1B17"/>
    <w:rsid w:val="006037C0"/>
    <w:rsid w:val="0065347D"/>
    <w:rsid w:val="006631B6"/>
    <w:rsid w:val="00680577"/>
    <w:rsid w:val="006B077C"/>
    <w:rsid w:val="006F74FA"/>
    <w:rsid w:val="00731ADD"/>
    <w:rsid w:val="00734777"/>
    <w:rsid w:val="00747932"/>
    <w:rsid w:val="00751A4A"/>
    <w:rsid w:val="00756632"/>
    <w:rsid w:val="00762C74"/>
    <w:rsid w:val="00786EC0"/>
    <w:rsid w:val="00794F49"/>
    <w:rsid w:val="007D1690"/>
    <w:rsid w:val="007E22AD"/>
    <w:rsid w:val="00817416"/>
    <w:rsid w:val="00842779"/>
    <w:rsid w:val="00865F67"/>
    <w:rsid w:val="00871FB7"/>
    <w:rsid w:val="00875805"/>
    <w:rsid w:val="00881A7B"/>
    <w:rsid w:val="008840E5"/>
    <w:rsid w:val="00887B3E"/>
    <w:rsid w:val="008977C0"/>
    <w:rsid w:val="008C2AC6"/>
    <w:rsid w:val="008C6FAE"/>
    <w:rsid w:val="008D474E"/>
    <w:rsid w:val="00920EFC"/>
    <w:rsid w:val="00930C23"/>
    <w:rsid w:val="0093193B"/>
    <w:rsid w:val="00932842"/>
    <w:rsid w:val="009410A6"/>
    <w:rsid w:val="009509D8"/>
    <w:rsid w:val="00950B64"/>
    <w:rsid w:val="00981893"/>
    <w:rsid w:val="009A48EC"/>
    <w:rsid w:val="009A5034"/>
    <w:rsid w:val="009D1197"/>
    <w:rsid w:val="00A10BD5"/>
    <w:rsid w:val="00A1687D"/>
    <w:rsid w:val="00A23DA5"/>
    <w:rsid w:val="00A43E52"/>
    <w:rsid w:val="00A4678D"/>
    <w:rsid w:val="00A778C7"/>
    <w:rsid w:val="00AB441E"/>
    <w:rsid w:val="00AB6293"/>
    <w:rsid w:val="00AE0928"/>
    <w:rsid w:val="00AF3B82"/>
    <w:rsid w:val="00B05831"/>
    <w:rsid w:val="00B121DE"/>
    <w:rsid w:val="00B12E95"/>
    <w:rsid w:val="00B178FC"/>
    <w:rsid w:val="00B22876"/>
    <w:rsid w:val="00B558F0"/>
    <w:rsid w:val="00B811A7"/>
    <w:rsid w:val="00BD48FE"/>
    <w:rsid w:val="00BD7BD8"/>
    <w:rsid w:val="00BE66DF"/>
    <w:rsid w:val="00BE6ADC"/>
    <w:rsid w:val="00C05BFE"/>
    <w:rsid w:val="00C23CD4"/>
    <w:rsid w:val="00C350AA"/>
    <w:rsid w:val="00C45B4D"/>
    <w:rsid w:val="00C61C0C"/>
    <w:rsid w:val="00C941CB"/>
    <w:rsid w:val="00CC2357"/>
    <w:rsid w:val="00CF071A"/>
    <w:rsid w:val="00CF700B"/>
    <w:rsid w:val="00D058B8"/>
    <w:rsid w:val="00D466CB"/>
    <w:rsid w:val="00D548F3"/>
    <w:rsid w:val="00D56C11"/>
    <w:rsid w:val="00D834A0"/>
    <w:rsid w:val="00D872DF"/>
    <w:rsid w:val="00D91E21"/>
    <w:rsid w:val="00DA7FCD"/>
    <w:rsid w:val="00DB13BC"/>
    <w:rsid w:val="00DE29EB"/>
    <w:rsid w:val="00E202AC"/>
    <w:rsid w:val="00E34871"/>
    <w:rsid w:val="00E365E1"/>
    <w:rsid w:val="00E820A4"/>
    <w:rsid w:val="00EA746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661"/>
    <w:rsid w:val="00FB4360"/>
    <w:rsid w:val="00FC4094"/>
    <w:rsid w:val="00FD0C70"/>
  </w:rsids>
  <w:docVars>
    <w:docVar w:name="dvdocse" w:val="A10-0158/2025"/>
    <w:docVar w:name="dvlangue" w:val="CS"/>
    <w:docVar w:name="dvnumam" w:val="518"/>
    <w:docVar w:name="dvpe" w:val="768.004"/>
    <w:docVar w:name="dvrapporteur" w:val="Zpravodajové: "/>
    <w:docVar w:name="dvstar" w:val="***I"/>
    <w:docVar w:name="dvtitre" w:val="Legislativní usnesení Evropského parlamentu ze dne.... 2025 o návrhu nařízení Evropského parlamentu a Rady o požadavcích na oběhovost projektů vozidel, o nakládání s vozidly s ukončenou životností, o změně nařízení (EU) 2018/858 a (EU) 2019/1020 a zrušení směrnic 2000/53/ES a 2005/64/ES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185E67"/>
  <w15:chartTrackingRefBased/>
  <w15:docId w15:val="{B19E791E-3FD3-42FA-99FB-645772B2C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A746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46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46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46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46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46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46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46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46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EA746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746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A746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A7463"/>
    <w:pPr>
      <w:spacing w:after="120"/>
    </w:pPr>
  </w:style>
  <w:style w:type="paragraph" w:customStyle="1" w:styleId="PageHeading">
    <w:name w:val="PageHeading"/>
    <w:basedOn w:val="Normal"/>
    <w:rsid w:val="00EA746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A746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A7463"/>
    <w:rPr>
      <w:b/>
      <w:sz w:val="24"/>
      <w:lang w:val="cs-CZ"/>
    </w:rPr>
  </w:style>
  <w:style w:type="paragraph" w:customStyle="1" w:styleId="NormalBold12a">
    <w:name w:val="NormalBold12a"/>
    <w:basedOn w:val="Normal"/>
    <w:rsid w:val="00EA7463"/>
    <w:pPr>
      <w:spacing w:after="240"/>
    </w:pPr>
    <w:rPr>
      <w:b/>
    </w:rPr>
  </w:style>
  <w:style w:type="paragraph" w:customStyle="1" w:styleId="AmJustText">
    <w:name w:val="AmJustText"/>
    <w:basedOn w:val="Normal"/>
    <w:rsid w:val="00EA746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A746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A7463"/>
    <w:pPr>
      <w:spacing w:after="480"/>
      <w:ind w:left="1417"/>
    </w:pPr>
  </w:style>
  <w:style w:type="paragraph" w:customStyle="1" w:styleId="CoverNormal">
    <w:name w:val="CoverNormal"/>
    <w:basedOn w:val="Normal"/>
    <w:rsid w:val="00EA7463"/>
    <w:pPr>
      <w:ind w:left="1418"/>
    </w:pPr>
  </w:style>
  <w:style w:type="paragraph" w:customStyle="1" w:styleId="AmCrossRef">
    <w:name w:val="AmCrossRef"/>
    <w:basedOn w:val="Normal"/>
    <w:rsid w:val="00EA746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A746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A746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A746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A74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A746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A74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463"/>
    <w:rPr>
      <w:sz w:val="24"/>
      <w:lang w:val="cs-CZ"/>
    </w:rPr>
  </w:style>
  <w:style w:type="paragraph" w:customStyle="1" w:styleId="AmOrLang">
    <w:name w:val="AmOrLang"/>
    <w:basedOn w:val="Normal"/>
    <w:rsid w:val="00EA746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A746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A74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A7463"/>
    <w:pPr>
      <w:spacing w:before="240"/>
    </w:pPr>
    <w:rPr>
      <w:b/>
    </w:rPr>
  </w:style>
  <w:style w:type="paragraph" w:customStyle="1" w:styleId="EPBody">
    <w:name w:val="EPBody"/>
    <w:basedOn w:val="Normal"/>
    <w:rsid w:val="00EA746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74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A7463"/>
    <w:pPr>
      <w:spacing w:before="480" w:after="240"/>
    </w:pPr>
  </w:style>
  <w:style w:type="paragraph" w:customStyle="1" w:styleId="Lgendesigne">
    <w:name w:val="Légende signe"/>
    <w:basedOn w:val="Normal"/>
    <w:rsid w:val="00EA746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746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A7463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A7463"/>
    <w:rPr>
      <w:sz w:val="22"/>
      <w:lang w:val="cs-CZ" w:eastAsia="fr-FR"/>
    </w:rPr>
  </w:style>
  <w:style w:type="paragraph" w:styleId="Footer">
    <w:name w:val="footer"/>
    <w:link w:val="FooterChar"/>
    <w:uiPriority w:val="99"/>
    <w:unhideWhenUsed/>
    <w:rsid w:val="00EA7463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cs-CZ" w:eastAsia="fr-FR"/>
    </w:rPr>
  </w:style>
  <w:style w:type="character" w:customStyle="1" w:styleId="FooterChar1">
    <w:name w:val="Footer Char1"/>
    <w:basedOn w:val="DefaultParagraphFont"/>
    <w:rsid w:val="00EA7463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EA7463"/>
    <w:rPr>
      <w:noProof/>
      <w:sz w:val="24"/>
    </w:rPr>
  </w:style>
  <w:style w:type="paragraph" w:customStyle="1" w:styleId="Normal12">
    <w:name w:val="Normal12"/>
    <w:basedOn w:val="Normal"/>
    <w:link w:val="Normal12Char"/>
    <w:rsid w:val="00EA746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A7463"/>
    <w:rPr>
      <w:sz w:val="24"/>
    </w:rPr>
  </w:style>
  <w:style w:type="paragraph" w:customStyle="1" w:styleId="Normal6">
    <w:name w:val="Normal6"/>
    <w:basedOn w:val="Normal"/>
    <w:link w:val="Normal6Char"/>
    <w:rsid w:val="00EA7463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EA7463"/>
    <w:rPr>
      <w:i/>
      <w:lang w:val="fr-FR"/>
    </w:rPr>
  </w:style>
  <w:style w:type="character" w:customStyle="1" w:styleId="FooterChar2">
    <w:name w:val="Footer Char2"/>
    <w:basedOn w:val="DefaultParagraphFont"/>
    <w:semiHidden/>
    <w:rsid w:val="00EA7463"/>
    <w:rPr>
      <w:sz w:val="24"/>
      <w:lang w:val="cs-CZ"/>
    </w:rPr>
  </w:style>
  <w:style w:type="paragraph" w:customStyle="1" w:styleId="EntPE">
    <w:name w:val="EntPE"/>
    <w:basedOn w:val="Normal12"/>
    <w:rsid w:val="00EA7463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EA7463"/>
    <w:pPr>
      <w:spacing w:after="480"/>
    </w:pPr>
  </w:style>
  <w:style w:type="paragraph" w:customStyle="1" w:styleId="NormalBoldCenter">
    <w:name w:val="NormalBoldCenter"/>
    <w:basedOn w:val="Normal"/>
    <w:rsid w:val="00EA7463"/>
    <w:pPr>
      <w:jc w:val="center"/>
    </w:pPr>
    <w:rPr>
      <w:b/>
    </w:rPr>
  </w:style>
  <w:style w:type="paragraph" w:customStyle="1" w:styleId="Footprint12b">
    <w:name w:val="Footprint12b"/>
    <w:basedOn w:val="Normal"/>
    <w:rsid w:val="00EA746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A7463"/>
    <w:rPr>
      <w:szCs w:val="24"/>
    </w:rPr>
  </w:style>
  <w:style w:type="paragraph" w:customStyle="1" w:styleId="AMNumberTabs0">
    <w:name w:val="AMNumberTabs"/>
    <w:basedOn w:val="Normal"/>
    <w:rsid w:val="00EA74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EA7463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EA7463"/>
    <w:pPr>
      <w:spacing w:before="240" w:after="240"/>
      <w:jc w:val="right"/>
    </w:pPr>
    <w:rPr>
      <w:noProof/>
      <w:szCs w:val="24"/>
      <w:lang w:val="fr-FR"/>
    </w:rPr>
  </w:style>
  <w:style w:type="paragraph" w:customStyle="1" w:styleId="JustificationTitle">
    <w:name w:val="JustificationTitle"/>
    <w:basedOn w:val="Normal"/>
    <w:next w:val="Normal12"/>
    <w:rsid w:val="00EA7463"/>
    <w:pPr>
      <w:keepNext/>
      <w:spacing w:before="240" w:after="240"/>
      <w:jc w:val="center"/>
    </w:pPr>
    <w:rPr>
      <w:i/>
      <w:noProof/>
      <w:lang w:val="fr-FR"/>
    </w:rPr>
  </w:style>
  <w:style w:type="paragraph" w:styleId="BalloonText">
    <w:name w:val="Balloon Text"/>
    <w:basedOn w:val="Normal"/>
    <w:link w:val="BalloonTextChar"/>
    <w:unhideWhenUsed/>
    <w:rsid w:val="00EA74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7463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EA74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A74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746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A7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A7463"/>
    <w:rPr>
      <w:b/>
      <w:bCs/>
      <w:lang w:val="cs-CZ"/>
    </w:rPr>
  </w:style>
  <w:style w:type="paragraph" w:styleId="Revision">
    <w:name w:val="Revision"/>
    <w:hidden/>
    <w:uiPriority w:val="99"/>
    <w:semiHidden/>
    <w:rsid w:val="00EA7463"/>
    <w:rPr>
      <w:sz w:val="24"/>
    </w:rPr>
  </w:style>
  <w:style w:type="paragraph" w:styleId="Index1">
    <w:name w:val="index 1"/>
    <w:basedOn w:val="Normal"/>
    <w:next w:val="Normal"/>
    <w:autoRedefine/>
    <w:rsid w:val="00EA7463"/>
    <w:pPr>
      <w:ind w:left="240" w:hanging="240"/>
    </w:pPr>
  </w:style>
  <w:style w:type="paragraph" w:styleId="IndexHeading">
    <w:name w:val="index heading"/>
    <w:basedOn w:val="Normal"/>
    <w:next w:val="Index1"/>
    <w:rsid w:val="00EA7463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EA746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A7463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EA7463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EA7463"/>
  </w:style>
  <w:style w:type="paragraph" w:customStyle="1" w:styleId="Normal12a">
    <w:name w:val="Normal12a"/>
    <w:basedOn w:val="Normal"/>
    <w:rsid w:val="00EA7463"/>
    <w:pPr>
      <w:spacing w:after="240"/>
    </w:pPr>
  </w:style>
  <w:style w:type="paragraph" w:customStyle="1" w:styleId="PageHeadingNotTOC">
    <w:name w:val="PageHeadingNotTOC"/>
    <w:basedOn w:val="Normal"/>
    <w:rsid w:val="00EA746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A746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EA7463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EA7463"/>
    <w:rPr>
      <w:b/>
      <w:sz w:val="24"/>
      <w:lang w:val="cs-CZ"/>
    </w:rPr>
  </w:style>
  <w:style w:type="character" w:styleId="Strong">
    <w:name w:val="Strong"/>
    <w:basedOn w:val="DefaultParagraphFont"/>
    <w:uiPriority w:val="22"/>
    <w:qFormat/>
    <w:rsid w:val="00EA7463"/>
    <w:rPr>
      <w:b/>
      <w:bCs/>
    </w:rPr>
  </w:style>
  <w:style w:type="character" w:customStyle="1" w:styleId="SupBoldItalic">
    <w:name w:val="SupBoldItalic"/>
    <w:uiPriority w:val="1"/>
    <w:qFormat/>
    <w:rsid w:val="00EA7463"/>
    <w:rPr>
      <w:b/>
      <w:bCs w:val="0"/>
      <w:i/>
      <w:iCs w:val="0"/>
      <w:vertAlign w:val="superscript"/>
    </w:rPr>
  </w:style>
  <w:style w:type="paragraph" w:customStyle="1" w:styleId="RollCallVotes">
    <w:name w:val="RollCallVotes"/>
    <w:basedOn w:val="Normal"/>
    <w:rsid w:val="00EA746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EA746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A7463"/>
    <w:pPr>
      <w:spacing w:before="120" w:after="120"/>
    </w:pPr>
    <w:rPr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A746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Footer2">
    <w:name w:val="Footer2"/>
    <w:basedOn w:val="Normal12"/>
    <w:rsid w:val="00EA746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CoverBold">
    <w:name w:val="CoverBold"/>
    <w:basedOn w:val="Normal"/>
    <w:rsid w:val="00EA7463"/>
    <w:pPr>
      <w:ind w:left="1417"/>
    </w:pPr>
    <w:rPr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920EFC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DE29E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E29EB"/>
    <w:pPr>
      <w:spacing w:after="240"/>
      <w:jc w:val="center"/>
    </w:pPr>
  </w:style>
  <w:style w:type="paragraph" w:customStyle="1" w:styleId="AmDateTab">
    <w:name w:val="AmDateTab"/>
    <w:basedOn w:val="Normal"/>
    <w:rsid w:val="00DE29E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E29E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E29EB"/>
  </w:style>
  <w:style w:type="paragraph" w:customStyle="1" w:styleId="Title1">
    <w:name w:val="Title1"/>
    <w:basedOn w:val="Normal"/>
    <w:next w:val="Normal"/>
    <w:uiPriority w:val="10"/>
    <w:qFormat/>
    <w:rsid w:val="00DE29EB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E29EB"/>
    <w:rPr>
      <w:rFonts w:ascii="Cambria" w:hAnsi="Cambria"/>
      <w:spacing w:val="-10"/>
      <w:kern w:val="28"/>
      <w:sz w:val="56"/>
      <w:szCs w:val="56"/>
      <w:lang w:val="cs-CZ"/>
    </w:rPr>
  </w:style>
  <w:style w:type="paragraph" w:customStyle="1" w:styleId="Subtitle1">
    <w:name w:val="Subtitle1"/>
    <w:basedOn w:val="Normal"/>
    <w:next w:val="Normal"/>
    <w:uiPriority w:val="11"/>
    <w:qFormat/>
    <w:rsid w:val="00DE29EB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E29EB"/>
    <w:rPr>
      <w:color w:val="595959"/>
      <w:spacing w:val="15"/>
      <w:sz w:val="28"/>
      <w:szCs w:val="28"/>
      <w:lang w:val="cs-CZ"/>
    </w:rPr>
  </w:style>
  <w:style w:type="paragraph" w:customStyle="1" w:styleId="Quote1">
    <w:name w:val="Quote1"/>
    <w:basedOn w:val="Normal"/>
    <w:next w:val="Normal"/>
    <w:uiPriority w:val="29"/>
    <w:qFormat/>
    <w:rsid w:val="00DE29EB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E29EB"/>
    <w:rPr>
      <w:i/>
      <w:iCs/>
      <w:color w:val="404040"/>
      <w:sz w:val="24"/>
      <w:lang w:val="cs-CZ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lp1,L,Ha"/>
    <w:basedOn w:val="Normal"/>
    <w:link w:val="ListParagraphChar"/>
    <w:uiPriority w:val="34"/>
    <w:qFormat/>
    <w:rsid w:val="00DE29EB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DE29EB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DE29EB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9EB"/>
    <w:rPr>
      <w:i/>
      <w:iCs/>
      <w:color w:val="365F91"/>
      <w:sz w:val="24"/>
      <w:lang w:val="cs-CZ"/>
    </w:rPr>
  </w:style>
  <w:style w:type="character" w:customStyle="1" w:styleId="IntenseReference1">
    <w:name w:val="Intense Reference1"/>
    <w:basedOn w:val="DefaultParagraphFont"/>
    <w:uiPriority w:val="32"/>
    <w:qFormat/>
    <w:rsid w:val="00DE29EB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DE29EB"/>
    <w:rPr>
      <w:rFonts w:eastAsia="Calibri" w:cs="Arial"/>
      <w:sz w:val="24"/>
      <w:szCs w:val="22"/>
      <w:lang w:val="cs-CZ" w:eastAsia="en-US"/>
    </w:rPr>
  </w:style>
  <w:style w:type="paragraph" w:customStyle="1" w:styleId="TechnicalBlockBase">
    <w:name w:val="TechnicalBlockBase"/>
    <w:link w:val="TechnicalBlockBaseChar"/>
    <w:rsid w:val="00DE29EB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E29EB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paragraph" w:customStyle="1" w:styleId="TBEntRefer">
    <w:name w:val="TBEntRefer"/>
    <w:basedOn w:val="TechnicalBlockBase"/>
    <w:link w:val="EntReferChar"/>
    <w:rsid w:val="00DE29E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DE29EB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DistrbMarkers">
    <w:name w:val="TBDistrbMarkers"/>
    <w:basedOn w:val="TBEntRefer"/>
    <w:qFormat/>
    <w:rsid w:val="00DE29EB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DE29EB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DE29E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E29E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DE29E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E29E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E29E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E29E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DE29E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DE29EB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SubjectTable">
    <w:name w:val="TBSubjectTable"/>
    <w:basedOn w:val="TechnicalBlockBase"/>
    <w:rsid w:val="00DE29E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DE29EB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DE29E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DE29EB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DE29E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DE29EB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0">
    <w:name w:val="Footer Text"/>
    <w:basedOn w:val="Normal"/>
    <w:unhideWhenUsed/>
    <w:rsid w:val="00DE29EB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DE29EB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E29E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E29E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E29E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E29E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E29E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E29E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E29E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E29E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E29E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E29EB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DE29E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DE29E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E29E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E29E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E29E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E29E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E29E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E29E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E29E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E29E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E29E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E29E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E29E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E29E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E29E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E29EB"/>
    <w:pPr>
      <w:widowControl/>
      <w:numPr>
        <w:ilvl w:val="1"/>
        <w:numId w:val="46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E29EB"/>
    <w:pPr>
      <w:widowControl/>
      <w:numPr>
        <w:ilvl w:val="3"/>
        <w:numId w:val="46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E29EB"/>
    <w:pPr>
      <w:widowControl/>
      <w:numPr>
        <w:ilvl w:val="5"/>
        <w:numId w:val="46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E29EB"/>
    <w:pPr>
      <w:widowControl/>
      <w:numPr>
        <w:ilvl w:val="7"/>
        <w:numId w:val="46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E29EB"/>
    <w:pPr>
      <w:widowControl/>
      <w:numPr>
        <w:ilvl w:val="8"/>
        <w:numId w:val="46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E29EB"/>
    <w:pPr>
      <w:widowControl/>
      <w:numPr>
        <w:numId w:val="46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E29EB"/>
    <w:pPr>
      <w:widowControl/>
      <w:numPr>
        <w:ilvl w:val="2"/>
        <w:numId w:val="46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E29EB"/>
    <w:pPr>
      <w:widowControl/>
      <w:numPr>
        <w:ilvl w:val="4"/>
        <w:numId w:val="46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E29EB"/>
    <w:pPr>
      <w:widowControl/>
      <w:numPr>
        <w:ilvl w:val="6"/>
        <w:numId w:val="46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E29EB"/>
    <w:pPr>
      <w:widowControl/>
      <w:numPr>
        <w:numId w:val="47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E29EB"/>
    <w:pPr>
      <w:widowControl/>
      <w:numPr>
        <w:ilvl w:val="1"/>
        <w:numId w:val="47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E29EB"/>
    <w:pPr>
      <w:widowControl/>
      <w:numPr>
        <w:ilvl w:val="2"/>
        <w:numId w:val="47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E29EB"/>
    <w:pPr>
      <w:widowControl/>
      <w:numPr>
        <w:ilvl w:val="3"/>
        <w:numId w:val="47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E29EB"/>
    <w:pPr>
      <w:widowControl/>
      <w:numPr>
        <w:ilvl w:val="4"/>
        <w:numId w:val="47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E29EB"/>
    <w:pPr>
      <w:widowControl/>
      <w:numPr>
        <w:numId w:val="48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E29EB"/>
    <w:pPr>
      <w:widowControl/>
      <w:numPr>
        <w:numId w:val="49"/>
      </w:numPr>
      <w:tabs>
        <w:tab w:val="num" w:pos="720"/>
        <w:tab w:val="clear" w:pos="1134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E29EB"/>
    <w:pPr>
      <w:widowControl/>
      <w:numPr>
        <w:numId w:val="50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E29EB"/>
    <w:pPr>
      <w:widowControl/>
      <w:numPr>
        <w:numId w:val="51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E29EB"/>
    <w:pPr>
      <w:widowControl/>
      <w:numPr>
        <w:numId w:val="52"/>
      </w:numPr>
      <w:tabs>
        <w:tab w:val="num" w:pos="1440"/>
        <w:tab w:val="clear" w:pos="2835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E29EB"/>
    <w:pPr>
      <w:widowControl/>
      <w:numPr>
        <w:numId w:val="5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E29EB"/>
    <w:pPr>
      <w:widowControl/>
      <w:numPr>
        <w:numId w:val="5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E29EB"/>
    <w:pPr>
      <w:widowControl/>
      <w:numPr>
        <w:numId w:val="5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E29EB"/>
    <w:pPr>
      <w:widowControl/>
      <w:numPr>
        <w:numId w:val="5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E29EB"/>
    <w:pPr>
      <w:widowControl/>
      <w:numPr>
        <w:numId w:val="5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E29EB"/>
    <w:pPr>
      <w:numPr>
        <w:numId w:val="58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DE29EB"/>
    <w:pPr>
      <w:numPr>
        <w:numId w:val="59"/>
      </w:numPr>
      <w:tabs>
        <w:tab w:val="num" w:pos="720"/>
        <w:tab w:val="clear" w:pos="1134"/>
      </w:tabs>
      <w:ind w:left="720" w:hanging="360"/>
    </w:pPr>
  </w:style>
  <w:style w:type="paragraph" w:customStyle="1" w:styleId="DashEqual2">
    <w:name w:val="Dash Equal 2"/>
    <w:basedOn w:val="Dash2"/>
    <w:rsid w:val="00DE29EB"/>
    <w:pPr>
      <w:numPr>
        <w:numId w:val="60"/>
      </w:numPr>
      <w:tabs>
        <w:tab w:val="num" w:pos="1080"/>
        <w:tab w:val="clear" w:pos="1701"/>
      </w:tabs>
      <w:ind w:left="1080" w:hanging="360"/>
    </w:pPr>
  </w:style>
  <w:style w:type="paragraph" w:customStyle="1" w:styleId="DashEqual3">
    <w:name w:val="Dash Equal 3"/>
    <w:basedOn w:val="Dash3"/>
    <w:rsid w:val="00DE29EB"/>
    <w:pPr>
      <w:numPr>
        <w:numId w:val="61"/>
      </w:numPr>
      <w:tabs>
        <w:tab w:val="num" w:pos="1080"/>
        <w:tab w:val="clear" w:pos="2268"/>
      </w:tabs>
      <w:ind w:left="1080" w:hanging="360"/>
    </w:pPr>
  </w:style>
  <w:style w:type="paragraph" w:customStyle="1" w:styleId="DashEqual4">
    <w:name w:val="Dash Equal 4"/>
    <w:basedOn w:val="Dash4"/>
    <w:rsid w:val="00DE29EB"/>
    <w:pPr>
      <w:numPr>
        <w:numId w:val="62"/>
      </w:numPr>
      <w:tabs>
        <w:tab w:val="num" w:pos="1440"/>
        <w:tab w:val="clear" w:pos="2835"/>
      </w:tabs>
      <w:ind w:left="1440" w:hanging="360"/>
    </w:pPr>
  </w:style>
  <w:style w:type="character" w:customStyle="1" w:styleId="Marker">
    <w:name w:val="Marker"/>
    <w:basedOn w:val="DefaultParagraphFont"/>
    <w:rsid w:val="00DE29E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E29E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E29E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E29EB"/>
    <w:pPr>
      <w:numPr>
        <w:numId w:val="63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DE29EB"/>
    <w:pPr>
      <w:numPr>
        <w:numId w:val="64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E29EB"/>
    <w:pPr>
      <w:numPr>
        <w:numId w:val="65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DE29EB"/>
    <w:pPr>
      <w:jc w:val="center"/>
    </w:pPr>
  </w:style>
  <w:style w:type="paragraph" w:customStyle="1" w:styleId="Jardin">
    <w:name w:val="Jardin"/>
    <w:basedOn w:val="Normal"/>
    <w:rsid w:val="00DE29E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E29E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E29E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E29E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E29EB"/>
    <w:rPr>
      <w:b/>
    </w:rPr>
  </w:style>
  <w:style w:type="paragraph" w:customStyle="1" w:styleId="Annex">
    <w:name w:val="Annex"/>
    <w:basedOn w:val="Normal"/>
    <w:next w:val="Normal"/>
    <w:rsid w:val="00DE29E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E29E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E29E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E29E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E29EB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E29E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E29EB"/>
    <w:rPr>
      <w:rFonts w:eastAsia="Calibr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DE29EB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DE29EB"/>
    <w:rPr>
      <w:color w:val="808080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rsid w:val="00DE29EB"/>
    <w:rPr>
      <w:rFonts w:eastAsia="Calibri"/>
      <w:sz w:val="24"/>
      <w:szCs w:val="22"/>
      <w:lang w:val="cs-CZ" w:eastAsia="en-US"/>
    </w:rPr>
  </w:style>
  <w:style w:type="paragraph" w:styleId="TOC4">
    <w:name w:val="toc 4"/>
    <w:basedOn w:val="Normal"/>
    <w:next w:val="Normal"/>
    <w:uiPriority w:val="39"/>
    <w:unhideWhenUsed/>
    <w:rsid w:val="00DE29E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E29E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E29E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E29E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E29E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E29E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DE29E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E29E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E29E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E29E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E29E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E29E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E29E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E29E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E29E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E29E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E29E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E29E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E29E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E29E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E29E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E29E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DE29E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E29E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E29E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E29E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E29E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E29E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E29E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E29E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E29E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E29E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E29E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E29E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DE29EB"/>
    <w:pPr>
      <w:widowControl/>
      <w:numPr>
        <w:numId w:val="66"/>
      </w:numPr>
      <w:tabs>
        <w:tab w:val="num" w:pos="567"/>
        <w:tab w:val="clear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DE29EB"/>
    <w:pPr>
      <w:widowControl/>
      <w:numPr>
        <w:numId w:val="67"/>
      </w:numPr>
      <w:tabs>
        <w:tab w:val="num" w:pos="567"/>
        <w:tab w:val="clear" w:pos="141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DE29EB"/>
    <w:pPr>
      <w:widowControl/>
      <w:numPr>
        <w:numId w:val="68"/>
      </w:numPr>
      <w:tabs>
        <w:tab w:val="num" w:pos="567"/>
        <w:tab w:val="clear" w:pos="1984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DE29EB"/>
    <w:pPr>
      <w:widowControl/>
      <w:numPr>
        <w:numId w:val="69"/>
      </w:numPr>
      <w:tabs>
        <w:tab w:val="num" w:pos="1134"/>
        <w:tab w:val="clear" w:pos="2551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DE29EB"/>
    <w:pPr>
      <w:widowControl/>
      <w:numPr>
        <w:numId w:val="70"/>
      </w:numPr>
      <w:tabs>
        <w:tab w:val="num" w:pos="1701"/>
        <w:tab w:val="clear" w:pos="3118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E29EB"/>
    <w:pPr>
      <w:widowControl/>
      <w:numPr>
        <w:numId w:val="71"/>
      </w:numPr>
      <w:tabs>
        <w:tab w:val="num" w:pos="2268"/>
        <w:tab w:val="clear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E29EB"/>
    <w:pPr>
      <w:widowControl/>
      <w:numPr>
        <w:numId w:val="72"/>
      </w:numPr>
      <w:tabs>
        <w:tab w:val="num" w:pos="2835"/>
        <w:tab w:val="clear" w:pos="4252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E29EB"/>
    <w:pPr>
      <w:widowControl/>
      <w:numPr>
        <w:numId w:val="73"/>
      </w:numPr>
      <w:tabs>
        <w:tab w:val="num" w:pos="567"/>
        <w:tab w:val="clear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E29EB"/>
    <w:pPr>
      <w:widowControl/>
      <w:numPr>
        <w:numId w:val="74"/>
      </w:numPr>
      <w:tabs>
        <w:tab w:val="num" w:pos="1134"/>
        <w:tab w:val="clear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E29EB"/>
    <w:pPr>
      <w:widowControl/>
      <w:numPr>
        <w:numId w:val="75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E29EB"/>
    <w:pPr>
      <w:widowControl/>
      <w:numPr>
        <w:ilvl w:val="1"/>
        <w:numId w:val="75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E29EB"/>
    <w:pPr>
      <w:widowControl/>
      <w:numPr>
        <w:ilvl w:val="2"/>
        <w:numId w:val="75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E29EB"/>
    <w:pPr>
      <w:widowControl/>
      <w:numPr>
        <w:ilvl w:val="3"/>
        <w:numId w:val="75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E29EB"/>
    <w:pPr>
      <w:widowControl/>
      <w:numPr>
        <w:ilvl w:val="4"/>
        <w:numId w:val="75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E29EB"/>
    <w:pPr>
      <w:widowControl/>
      <w:numPr>
        <w:ilvl w:val="5"/>
        <w:numId w:val="75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E29EB"/>
    <w:pPr>
      <w:widowControl/>
      <w:numPr>
        <w:ilvl w:val="6"/>
        <w:numId w:val="75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E29E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E29E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E29E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E29E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E29E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E29E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E29E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E29E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E29E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E29E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E29E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E29E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E29E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E29E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E29E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E29E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E29E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E29E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E29E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DE29EB"/>
    <w:pPr>
      <w:widowControl/>
      <w:numPr>
        <w:numId w:val="76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E29EB"/>
    <w:pPr>
      <w:widowControl/>
      <w:numPr>
        <w:ilvl w:val="2"/>
        <w:numId w:val="76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E29EB"/>
    <w:pPr>
      <w:widowControl/>
      <w:numPr>
        <w:ilvl w:val="4"/>
        <w:numId w:val="76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E29EB"/>
    <w:pPr>
      <w:widowControl/>
      <w:numPr>
        <w:ilvl w:val="6"/>
        <w:numId w:val="76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E29EB"/>
    <w:pPr>
      <w:widowControl/>
      <w:numPr>
        <w:ilvl w:val="1"/>
        <w:numId w:val="76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E29EB"/>
    <w:pPr>
      <w:widowControl/>
      <w:numPr>
        <w:ilvl w:val="3"/>
        <w:numId w:val="76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E29EB"/>
    <w:pPr>
      <w:widowControl/>
      <w:numPr>
        <w:ilvl w:val="5"/>
        <w:numId w:val="76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E29EB"/>
    <w:pPr>
      <w:widowControl/>
      <w:numPr>
        <w:ilvl w:val="7"/>
        <w:numId w:val="76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E29EB"/>
    <w:pPr>
      <w:widowControl/>
      <w:numPr>
        <w:ilvl w:val="8"/>
        <w:numId w:val="76"/>
      </w:numPr>
      <w:tabs>
        <w:tab w:val="num" w:pos="2268"/>
        <w:tab w:val="clear" w:pos="311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E29EB"/>
    <w:pPr>
      <w:widowControl/>
      <w:numPr>
        <w:numId w:val="77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E29EB"/>
    <w:pPr>
      <w:widowControl/>
      <w:numPr>
        <w:numId w:val="78"/>
      </w:numPr>
      <w:tabs>
        <w:tab w:val="num" w:pos="567"/>
        <w:tab w:val="clear" w:pos="3685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E29EB"/>
    <w:pPr>
      <w:widowControl/>
      <w:numPr>
        <w:numId w:val="79"/>
      </w:numPr>
      <w:tabs>
        <w:tab w:val="num" w:pos="1134"/>
        <w:tab w:val="clear" w:pos="4252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E29EB"/>
    <w:pPr>
      <w:widowControl/>
      <w:numPr>
        <w:numId w:val="80"/>
      </w:numPr>
      <w:tabs>
        <w:tab w:val="num" w:pos="1701"/>
        <w:tab w:val="clear" w:pos="4819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E29EB"/>
    <w:pPr>
      <w:widowControl/>
      <w:numPr>
        <w:numId w:val="81"/>
      </w:numPr>
      <w:tabs>
        <w:tab w:val="num" w:pos="2268"/>
        <w:tab w:val="clear" w:pos="5386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E29E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E29E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E29E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DE29EB"/>
    <w:pPr>
      <w:widowControl/>
      <w:numPr>
        <w:numId w:val="82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E29E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E29E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E29E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E29E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E29E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E29E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E29E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DE29E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E29E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E29E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E29E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E29E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E29E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E29E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E29E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E29E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E29E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E29E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E29E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E29E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E29E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E29E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E29E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E29E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E29EB"/>
    <w:pPr>
      <w:spacing w:before="240"/>
    </w:pPr>
  </w:style>
  <w:style w:type="paragraph" w:customStyle="1" w:styleId="Accordtitre">
    <w:name w:val="Accord titre"/>
    <w:basedOn w:val="Normal"/>
    <w:rsid w:val="00DE29E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E29E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E29E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E29E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E29E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E29EB"/>
    <w:pPr>
      <w:spacing w:after="240"/>
    </w:pPr>
  </w:style>
  <w:style w:type="paragraph" w:customStyle="1" w:styleId="Annexetitre">
    <w:name w:val="Annexe titre"/>
    <w:basedOn w:val="Normal"/>
    <w:next w:val="Normal"/>
    <w:rsid w:val="00DE29E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E29E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E29E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E29E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E29E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E29E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E29E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E29E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E29E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E29E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E29E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E29E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E29E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E29E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E29E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E29E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E29E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E29E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E29E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E29E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E29E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E29E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E29E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E29E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E29E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E29E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E29E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E29E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E29E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DE29E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E29EB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DE29EB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DE29EB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E29EB"/>
    <w:rPr>
      <w:color w:val="800080"/>
      <w:u w:val="single"/>
    </w:rPr>
  </w:style>
  <w:style w:type="character" w:customStyle="1" w:styleId="Emphasis1">
    <w:name w:val="Emphasis1"/>
    <w:basedOn w:val="DefaultParagraphFont"/>
    <w:uiPriority w:val="20"/>
    <w:qFormat/>
    <w:rsid w:val="00DE29EB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DE29EB"/>
    <w:rPr>
      <w:i/>
      <w:color w:val="5A5A5A"/>
    </w:rPr>
  </w:style>
  <w:style w:type="character" w:styleId="SubtleReference">
    <w:name w:val="Subtle Reference"/>
    <w:basedOn w:val="DefaultParagraphFont"/>
    <w:uiPriority w:val="31"/>
    <w:qFormat/>
    <w:rsid w:val="00DE29EB"/>
    <w:rPr>
      <w:sz w:val="24"/>
      <w:szCs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DE29EB"/>
    <w:rPr>
      <w:rFonts w:ascii="Cambria" w:eastAsia="Times New Roman" w:hAnsi="Cambria"/>
      <w:b/>
      <w:i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E29EB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DE29EB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9EB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DE29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cs-CZ"/>
    </w:rPr>
  </w:style>
  <w:style w:type="paragraph" w:styleId="Quote">
    <w:name w:val="Quote"/>
    <w:basedOn w:val="Normal"/>
    <w:next w:val="Normal"/>
    <w:link w:val="QuoteChar"/>
    <w:uiPriority w:val="29"/>
    <w:qFormat/>
    <w:rsid w:val="00DE29E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DE29EB"/>
    <w:rPr>
      <w:i/>
      <w:iCs/>
      <w:color w:val="404040" w:themeColor="text1" w:themeTint="BF"/>
      <w:sz w:val="24"/>
      <w:lang w:val="cs-CZ"/>
    </w:rPr>
  </w:style>
  <w:style w:type="character" w:styleId="IntenseEmphasis">
    <w:name w:val="Intense Emphasis"/>
    <w:basedOn w:val="DefaultParagraphFont"/>
    <w:uiPriority w:val="21"/>
    <w:qFormat/>
    <w:rsid w:val="00DE29EB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9E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DE29EB"/>
    <w:rPr>
      <w:i/>
      <w:iCs/>
      <w:color w:val="5B9BD5" w:themeColor="accent1"/>
      <w:sz w:val="24"/>
      <w:lang w:val="cs-CZ"/>
    </w:rPr>
  </w:style>
  <w:style w:type="character" w:styleId="IntenseReference">
    <w:name w:val="Intense Reference"/>
    <w:basedOn w:val="DefaultParagraphFont"/>
    <w:uiPriority w:val="32"/>
    <w:qFormat/>
    <w:rsid w:val="00DE29EB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DE29EB"/>
    <w:rPr>
      <w:color w:val="954F72" w:themeColor="followedHyperlink"/>
      <w:u w:val="single"/>
    </w:rPr>
  </w:style>
  <w:style w:type="character" w:styleId="Emphasis">
    <w:name w:val="Emphasis"/>
    <w:basedOn w:val="DefaultParagraphFont"/>
    <w:qFormat/>
    <w:rsid w:val="00DE29EB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DE29EB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DE29EB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394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2026-08-31T13:21:00Z</dcterms:created>
  <dcterms:modified xsi:type="dcterms:W3CDTF">2026-08-31T13:21:00Z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