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82B41F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F6C36" w:rsidP="0010095E" w14:paraId="1E48E652" w14:textId="77777777">
            <w:pPr>
              <w:pStyle w:val="EPName"/>
            </w:pPr>
            <w:r w:rsidRPr="002F6C36">
              <w:t>Euroopan parlamentti</w:t>
            </w:r>
          </w:p>
          <w:p w:rsidR="00751A4A" w:rsidRPr="002F6C36" w:rsidP="005F1B17" w14:paraId="6DB8A21E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6C36">
              <w:t>2024</w:t>
            </w:r>
            <w:r w:rsidRPr="002F6C36" w:rsidR="00817416">
              <w:t>-202</w:t>
            </w:r>
            <w:r w:rsidRPr="002F6C3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F6C36" w:rsidP="0010095E" w14:paraId="5F3039EE" w14:textId="77777777">
            <w:pPr>
              <w:pStyle w:val="EPLogo"/>
            </w:pPr>
            <w:r w:rsidRPr="002F6C3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F6C36" w:rsidP="004C5D52" w14:paraId="0E8F81A5" w14:textId="77777777">
      <w:pPr>
        <w:pStyle w:val="LineTop"/>
      </w:pPr>
    </w:p>
    <w:p w:rsidR="00680577" w:rsidRPr="002F6C36" w:rsidP="00680577" w14:paraId="326D5EA6" w14:textId="77777777">
      <w:pPr>
        <w:pStyle w:val="EPBodyTA1"/>
      </w:pPr>
      <w:r w:rsidRPr="002F6C36">
        <w:t>HYVÄKSYTYT TEKSTIT</w:t>
      </w:r>
    </w:p>
    <w:p w:rsidR="00D058B8" w:rsidRPr="002F6C36" w:rsidP="00D058B8" w14:paraId="28D4D9A0" w14:textId="77777777">
      <w:pPr>
        <w:pStyle w:val="LineBottom"/>
      </w:pPr>
    </w:p>
    <w:p w:rsidR="001937BB" w:rsidRPr="002F6C36" w:rsidP="001937BB" w14:paraId="08ADA85E" w14:textId="2334AAB9">
      <w:pPr>
        <w:pStyle w:val="ATHeading1"/>
      </w:pPr>
      <w:bookmarkStart w:id="0" w:name="TANumber"/>
      <w:r w:rsidRPr="002F6C36">
        <w:t>P10_TA(2026)0</w:t>
      </w:r>
      <w:bookmarkEnd w:id="0"/>
      <w:r w:rsidRPr="002F6C36" w:rsidR="002F6C36">
        <w:t>227</w:t>
      </w:r>
    </w:p>
    <w:p w:rsidR="001937BB" w:rsidRPr="002F6C36" w:rsidP="001937BB" w14:paraId="0920DE71" w14:textId="5B1F5648">
      <w:pPr>
        <w:pStyle w:val="ATHeading2"/>
      </w:pPr>
      <w:bookmarkStart w:id="1" w:name="title"/>
      <w:r w:rsidRPr="002F6C36">
        <w:rPr>
          <w:bCs/>
        </w:rPr>
        <w:t>Ajoneuvojen suunnittelua koskevat kiertotalousvaatimukset ja romuajoneuvojen jätehuolto</w:t>
      </w:r>
      <w:bookmarkEnd w:id="1"/>
    </w:p>
    <w:p w:rsidR="001937BB" w:rsidRPr="002F6C36" w:rsidP="001937BB" w14:paraId="4D0242AF" w14:textId="77777777">
      <w:pPr>
        <w:rPr>
          <w:i/>
          <w:vanish/>
        </w:rPr>
      </w:pPr>
      <w:r>
        <w:rPr>
          <w:i/>
        </w:rPr>
        <w:fldChar w:fldCharType="begin"/>
      </w:r>
      <w:r w:rsidRPr="002F6C36">
        <w:rPr>
          <w:i/>
        </w:rPr>
        <w:instrText xml:space="preserve"> TC"(</w:instrText>
      </w:r>
      <w:bookmarkStart w:id="2" w:name="DocNumber"/>
      <w:r w:rsidRPr="002F6C36">
        <w:rPr>
          <w:i/>
        </w:rPr>
        <w:instrText>A10-0158/2025</w:instrText>
      </w:r>
      <w:bookmarkEnd w:id="2"/>
      <w:r w:rsidRPr="002F6C36">
        <w:rPr>
          <w:i/>
        </w:rPr>
        <w:instrText xml:space="preserve"> - Esittelijät: Jens Gieseke; Paulius Saudargas)"\l3 \n&gt; \* MERGEFORMAT </w:instrText>
      </w:r>
      <w:r>
        <w:rPr>
          <w:i/>
        </w:rPr>
        <w:fldChar w:fldCharType="end"/>
      </w:r>
    </w:p>
    <w:p w:rsidR="001937BB" w:rsidRPr="002F6C36" w:rsidP="001937BB" w14:paraId="6AC4FECD" w14:textId="77777777">
      <w:pPr>
        <w:rPr>
          <w:vanish/>
        </w:rPr>
      </w:pPr>
      <w:bookmarkStart w:id="3" w:name="Commission"/>
      <w:r w:rsidRPr="002F6C36">
        <w:rPr>
          <w:vanish/>
        </w:rPr>
        <w:t>Ympäristön, ilmaston ja elintarvikkeiden turvallisuuden valiokunta, Sisämarkkina- ja kuluttajansuojavaliokunta</w:t>
      </w:r>
      <w:bookmarkEnd w:id="3"/>
    </w:p>
    <w:p w:rsidR="001937BB" w:rsidRPr="002F6C36" w:rsidP="001937BB" w14:paraId="226FE666" w14:textId="77777777">
      <w:pPr>
        <w:rPr>
          <w:vanish/>
        </w:rPr>
      </w:pPr>
      <w:bookmarkStart w:id="4" w:name="PE"/>
      <w:r w:rsidRPr="002F6C36">
        <w:rPr>
          <w:vanish/>
        </w:rPr>
        <w:t>PE768.004</w:t>
      </w:r>
      <w:bookmarkEnd w:id="4"/>
    </w:p>
    <w:p w:rsidR="001937BB" w:rsidRPr="002F6C36" w:rsidP="001937BB" w14:paraId="39E6AE7F" w14:textId="72545C7F">
      <w:pPr>
        <w:pStyle w:val="ATHeading3"/>
      </w:pPr>
      <w:bookmarkStart w:id="5" w:name="Sujet"/>
      <w:r w:rsidRPr="002F6C36">
        <w:t xml:space="preserve">Euroopan parlamentin lainsäädäntöpäätöslauselma </w:t>
      </w:r>
      <w:r w:rsidRPr="002F6C36" w:rsidR="00182BEE">
        <w:t>18</w:t>
      </w:r>
      <w:r w:rsidRPr="002F6C36">
        <w:t xml:space="preserve">. </w:t>
      </w:r>
      <w:r w:rsidRPr="002F6C36" w:rsidR="00CD2ECB">
        <w:t>kesä</w:t>
      </w:r>
      <w:r w:rsidRPr="002F6C36">
        <w:t>kuuta 2026 ehdotuksesta Euroopan parlamentin ja neuvoston asetukseksi ajoneuvojen suunnittelua koskevista kiertotalousvaatimuksista ja romuajoneuvojen jätehuollosta, asetusten (EU) 2018/858 ja 2019/1020 muuttamisesta sekä direktiivien 2000/53/EY ja 2005/64/EY kumoamisesta</w:t>
      </w:r>
      <w:bookmarkEnd w:id="5"/>
      <w:r w:rsidRPr="002F6C36">
        <w:t xml:space="preserve"> </w:t>
      </w:r>
      <w:bookmarkStart w:id="6" w:name="References"/>
      <w:r w:rsidRPr="002F6C36">
        <w:t>(COM(2023)0451 – C9-0308/2023 – 2023/0284(COD))</w:t>
      </w:r>
      <w:bookmarkEnd w:id="6"/>
    </w:p>
    <w:p w:rsidR="00AC5CFA" w:rsidRPr="002F6C36" w:rsidP="00AC5CFA" w14:paraId="5AA4CFD9" w14:textId="77777777">
      <w:pPr>
        <w:pStyle w:val="NormalBold"/>
        <w:widowControl/>
      </w:pPr>
      <w:r w:rsidRPr="002F6C36">
        <w:t>(Tavallinen lainsäätämisjärjestys: ensimmäinen käsittely)</w:t>
      </w:r>
    </w:p>
    <w:p w:rsidR="00AC5CFA" w:rsidRPr="002F6C36" w:rsidP="00CD2ECB" w14:paraId="7FC69EEC" w14:textId="77777777">
      <w:pPr>
        <w:pStyle w:val="EPComma"/>
        <w:widowControl/>
      </w:pPr>
      <w:r w:rsidRPr="002F6C36">
        <w:rPr>
          <w:i/>
          <w:iCs/>
        </w:rPr>
        <w:t>Euroopan parlamentti</w:t>
      </w:r>
      <w:r w:rsidRPr="002F6C36">
        <w:t>, joka</w:t>
      </w:r>
    </w:p>
    <w:p w:rsidR="00AC5CFA" w:rsidRPr="002F6C36" w:rsidP="00CD2ECB" w14:paraId="01CBB242" w14:textId="77777777">
      <w:pPr>
        <w:pStyle w:val="NormalHanging12a"/>
        <w:widowControl/>
      </w:pPr>
      <w:r w:rsidRPr="002F6C36">
        <w:t>–</w:t>
      </w:r>
      <w:r w:rsidRPr="002F6C36">
        <w:tab/>
        <w:t>ottaa huomioon komission ehdotuksen Euroopan parlamentille ja neuvostolle (COM(2023)0451),</w:t>
      </w:r>
    </w:p>
    <w:p w:rsidR="00AC5CFA" w:rsidRPr="002F6C36" w:rsidP="00CD2ECB" w14:paraId="7E823E74" w14:textId="77777777">
      <w:pPr>
        <w:pStyle w:val="NormalHanging12a"/>
        <w:widowControl/>
      </w:pPr>
      <w:r w:rsidRPr="002F6C36">
        <w:t>–</w:t>
      </w:r>
      <w:r w:rsidRPr="002F6C36">
        <w:tab/>
        <w:t>ottaa huomioon Euroopan unionin toiminnasta tehdyn sopimuksen 294 artiklan 2 kohdan ja 114 artiklan, joiden mukaisesti komissio on antanut ehdotuksen Euroopan parlamentille (C9-0308/2023),</w:t>
      </w:r>
    </w:p>
    <w:p w:rsidR="00440EA1" w:rsidRPr="002F6C36" w:rsidP="00CD2ECB" w14:paraId="2E8D9930" w14:textId="671331DB">
      <w:pPr>
        <w:pStyle w:val="NormalHanging12a"/>
        <w:widowControl/>
      </w:pPr>
      <w:r w:rsidRPr="002F6C36">
        <w:t>–</w:t>
      </w:r>
      <w:r w:rsidRPr="002F6C36">
        <w:tab/>
        <w:t>ottaa huomioon oikeudellisten asioiden valiokunnan lausunnon ehdotetusta oikeusperustasta,</w:t>
      </w:r>
    </w:p>
    <w:p w:rsidR="00AC5CFA" w:rsidRPr="002F6C36" w:rsidP="00CD2ECB" w14:paraId="65A2D5FC" w14:textId="38B1C7D5">
      <w:pPr>
        <w:pStyle w:val="NormalHanging12a"/>
        <w:widowControl/>
      </w:pPr>
      <w:r w:rsidRPr="002F6C36">
        <w:t>–</w:t>
      </w:r>
      <w:r w:rsidRPr="002F6C36">
        <w:tab/>
        <w:t>ottaa huomioon Euroopan unionin toiminnasta tehdyn sopimuksen 294 artiklan 3 kohdan</w:t>
      </w:r>
      <w:r w:rsidRPr="002F6C36" w:rsidR="00D97EA9">
        <w:t xml:space="preserve"> ja 114 artiklan ja 192 artiklan 1 kohdan</w:t>
      </w:r>
      <w:r w:rsidRPr="002F6C36">
        <w:t>,</w:t>
      </w:r>
    </w:p>
    <w:p w:rsidR="00AC5CFA" w:rsidRPr="002F6C36" w:rsidP="00CD2ECB" w14:paraId="32F82068" w14:textId="2F2785CC">
      <w:pPr>
        <w:pStyle w:val="NormalHanging12a"/>
        <w:widowControl/>
      </w:pPr>
      <w:r w:rsidRPr="002F6C36">
        <w:t xml:space="preserve">– </w:t>
      </w:r>
      <w:r w:rsidRPr="002F6C36">
        <w:tab/>
        <w:t>ottaa huomioon Euroopan talous- ja sosiaalikomitean 14. joulukuuta 2023 antaman lausunnon</w:t>
      </w:r>
      <w:r>
        <w:rPr>
          <w:rStyle w:val="FootnoteReference"/>
        </w:rPr>
        <w:footnoteReference w:id="2"/>
      </w:r>
      <w:r w:rsidRPr="002F6C36">
        <w:t>,</w:t>
      </w:r>
    </w:p>
    <w:p w:rsidR="00440EA1" w:rsidRPr="002F6C36" w:rsidP="00CD2ECB" w14:paraId="2735F74A" w14:textId="109177F5">
      <w:pPr>
        <w:pStyle w:val="NormalHanging12a"/>
        <w:widowControl/>
      </w:pPr>
      <w:r w:rsidRPr="002F6C36">
        <w:rPr>
          <w:szCs w:val="24"/>
        </w:rPr>
        <w:t>–</w:t>
      </w:r>
      <w:r w:rsidRPr="002F6C36">
        <w:rPr>
          <w:szCs w:val="24"/>
        </w:rPr>
        <w:tab/>
      </w:r>
      <w:r w:rsidRPr="002F6C36">
        <w:t>on kuullut alueiden komiteaa,</w:t>
      </w:r>
    </w:p>
    <w:p w:rsidR="00440EA1" w:rsidRPr="002F6C36" w:rsidP="00CD2ECB" w14:paraId="709160A6" w14:textId="1B60ED5F">
      <w:pPr>
        <w:pStyle w:val="NormalHanging12a"/>
        <w:widowControl/>
      </w:pPr>
      <w:bookmarkStart w:id="7" w:name="_Hlk229063293"/>
      <w:r w:rsidRPr="002F6C36">
        <w:rPr>
          <w:szCs w:val="24"/>
        </w:rPr>
        <w:t>–</w:t>
      </w:r>
      <w:r w:rsidRPr="002F6C36">
        <w:rPr>
          <w:szCs w:val="24"/>
        </w:rPr>
        <w:tab/>
        <w:t>ottaa huomioon asiasta vastaavien valiokuntien työjärjestyksen 75 artiklan 4 kohdan mukaisesti hyväksymän alustavan sopimuksen</w:t>
      </w:r>
      <w:r w:rsidRPr="002F6C36">
        <w:t xml:space="preserve"> </w:t>
      </w:r>
      <w:r w:rsidRPr="002F6C36">
        <w:rPr>
          <w:szCs w:val="24"/>
        </w:rPr>
        <w:t>sekä</w:t>
      </w:r>
      <w:r w:rsidRPr="002F6C36">
        <w:t xml:space="preserve"> </w:t>
      </w:r>
      <w:r w:rsidRPr="002F6C36">
        <w:rPr>
          <w:szCs w:val="24"/>
        </w:rPr>
        <w:t xml:space="preserve">neuvoston edustajan 25. helmikuuta </w:t>
      </w:r>
      <w:r w:rsidRPr="002F6C36">
        <w:rPr>
          <w:szCs w:val="24"/>
        </w:rPr>
        <w:t>2026 päivätyllä kirjeellä antaman sitoumuksen hyväksyä Euroopan parlamentin kanta Euroopan unionin toiminnasta tehdyn sopimuksen 294 artiklan 4 kohdan mukaisesti,</w:t>
      </w:r>
      <w:bookmarkEnd w:id="7"/>
    </w:p>
    <w:p w:rsidR="00AC5CFA" w:rsidRPr="002F6C36" w:rsidP="00CD2ECB" w14:paraId="73FFF2EB" w14:textId="5F453EF6">
      <w:pPr>
        <w:pStyle w:val="NormalHanging12a"/>
        <w:widowControl/>
      </w:pPr>
      <w:r w:rsidRPr="002F6C36">
        <w:t>–</w:t>
      </w:r>
      <w:r w:rsidRPr="002F6C36">
        <w:tab/>
        <w:t>ottaa huomioon työjärjestyksen 60 artiklan</w:t>
      </w:r>
      <w:r w:rsidRPr="002F6C36" w:rsidR="00D97EA9">
        <w:t xml:space="preserve"> ja 41 artiklan</w:t>
      </w:r>
      <w:r w:rsidRPr="002F6C36">
        <w:t>,</w:t>
      </w:r>
    </w:p>
    <w:p w:rsidR="00D97EA9" w:rsidRPr="002F6C36" w:rsidP="00CD2ECB" w14:paraId="6165CF95" w14:textId="5BB74DFA">
      <w:pPr>
        <w:pStyle w:val="NormalHanging12a"/>
        <w:widowControl/>
      </w:pPr>
      <w:r w:rsidRPr="002F6C36">
        <w:t>–</w:t>
      </w:r>
      <w:r w:rsidRPr="002F6C36">
        <w:tab/>
        <w:t>ottaa huomioon kehitysvaliokunnan ja ympäristön, ilmaston ja elintarvikkeiden turvallisuuden valiokunnan ja sisämarkkina- ja kuluttajansuojavaliokunnan työjärjestyksen 59 artiklan mukaisen yhteiskäsittelyn,</w:t>
      </w:r>
    </w:p>
    <w:p w:rsidR="00AC5CFA" w:rsidRPr="002F6C36" w:rsidP="00CD2ECB" w14:paraId="3D1729F7" w14:textId="77777777">
      <w:pPr>
        <w:pStyle w:val="NormalHanging12a"/>
        <w:widowControl/>
      </w:pPr>
      <w:r w:rsidRPr="002F6C36">
        <w:t>–</w:t>
      </w:r>
      <w:r w:rsidRPr="002F6C36">
        <w:tab/>
        <w:t>ottaa huomioon liikenne- ja matkailuvaliokunnan lausunnon,</w:t>
      </w:r>
    </w:p>
    <w:p w:rsidR="00AC5CFA" w:rsidRPr="002F6C36" w:rsidP="00CD2ECB" w14:paraId="3CB1C7AA" w14:textId="77777777">
      <w:pPr>
        <w:pStyle w:val="NormalHanging12a"/>
        <w:widowControl/>
      </w:pPr>
      <w:r w:rsidRPr="002F6C36">
        <w:t>–</w:t>
      </w:r>
      <w:r w:rsidRPr="002F6C36">
        <w:tab/>
        <w:t>ottaa huomioon ympäristön, ilmaston ja elintarvikkeiden turvallisuuden valiokunnan ja sisämarkkina- ja kuluttajansuojavaliokunnan mietinnön (A10-0158/2025),</w:t>
      </w:r>
    </w:p>
    <w:p w:rsidR="00AC5CFA" w:rsidRPr="002F6C36" w:rsidP="00CD2ECB" w14:paraId="0B45A3EC" w14:textId="77F8B6E3">
      <w:pPr>
        <w:pStyle w:val="NormalHanging12a"/>
        <w:widowControl/>
      </w:pPr>
      <w:r w:rsidRPr="002F6C36">
        <w:t>1.</w:t>
      </w:r>
      <w:r w:rsidRPr="002F6C36">
        <w:tab/>
        <w:t>vahvistaa jäljempänä esitetyn ensimmäisen käsittelyn kannan</w:t>
      </w:r>
      <w:r>
        <w:rPr>
          <w:rStyle w:val="FootnoteReference"/>
        </w:rPr>
        <w:footnoteReference w:id="3"/>
      </w:r>
      <w:r w:rsidRPr="002F6C36">
        <w:t>;</w:t>
      </w:r>
    </w:p>
    <w:p w:rsidR="00AC5CFA" w:rsidRPr="002F6C36" w:rsidP="00026445" w14:paraId="09AE3C13" w14:textId="2514F260">
      <w:pPr>
        <w:pStyle w:val="NormalHanging12a"/>
        <w:widowControl/>
      </w:pPr>
      <w:r w:rsidRPr="002F6C36">
        <w:t>2.</w:t>
      </w:r>
      <w:r w:rsidRPr="002F6C36">
        <w:tab/>
      </w:r>
      <w:r w:rsidRPr="002F6C36" w:rsidR="00026445">
        <w:t>pyytää komissiota antamaan asian uudelleen Euroopan parlamentin käsiteltäväksi, jos se korvaa ehdotuksensa, muuttaa sitä huomattavasti tai aikoo muuttaa sitä huomattavasti</w:t>
      </w:r>
      <w:r w:rsidRPr="002F6C36">
        <w:t>;</w:t>
      </w:r>
    </w:p>
    <w:p w:rsidR="00182BEE" w:rsidRPr="002F6C36" w:rsidP="00182BEE" w14:paraId="4FBBFF8B" w14:textId="77777777">
      <w:pPr>
        <w:pStyle w:val="NormalHanging12a"/>
        <w:widowControl/>
        <w:sectPr w:rsidSect="00401A6A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F6C36">
        <w:t>3.</w:t>
      </w:r>
      <w:r w:rsidRPr="002F6C36">
        <w:tab/>
        <w:t>kehottaa puhemiestä välittämään parlamentin kannan neuvostolle ja komissiolle sekä kansallisille parlamenteille.</w:t>
      </w:r>
    </w:p>
    <w:p w:rsidR="00182BEE" w:rsidRPr="002F6C36" w:rsidP="00182BEE" w14:paraId="0E3CAB66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2F6C36">
        <w:rPr>
          <w:rFonts w:eastAsia="Calibri"/>
          <w:b/>
          <w:bCs/>
          <w:color w:val="000000"/>
          <w:szCs w:val="24"/>
        </w:rPr>
        <w:t>P10_TC1-COD(2023)0284</w:t>
      </w:r>
    </w:p>
    <w:p w:rsidR="00182BEE" w:rsidRPr="003D5E61" w:rsidP="00182BEE" w14:paraId="50B24C6C" w14:textId="0BBE9B89">
      <w:pPr>
        <w:spacing w:after="240"/>
        <w:rPr>
          <w:rFonts w:eastAsia="Calibri"/>
          <w:b/>
          <w:szCs w:val="22"/>
          <w:lang w:eastAsia="en-US"/>
        </w:rPr>
      </w:pPr>
      <w:r w:rsidRPr="003D5E61">
        <w:rPr>
          <w:b/>
          <w:szCs w:val="24"/>
        </w:rPr>
        <w:t xml:space="preserve">Euroopan parlamentin kanta, vahvistettu ensimmäisessä käsittelyssä 18. kesäkuuta 2026, Euroopan parlamentin ja neuvoston asetuksen (EU) 2026/… antamiseksi </w:t>
      </w:r>
      <w:r w:rsidRPr="003D5E61">
        <w:rPr>
          <w:rFonts w:eastAsia="Calibri"/>
          <w:b/>
          <w:szCs w:val="22"/>
          <w:lang w:eastAsia="en-US"/>
        </w:rPr>
        <w:t>ajoneuvojen suunnittelua koskevista kiertotalousvaatimuksista ja romuajoneuvojen jätehuollosta, asetusten (EU) N:o 168/2013, (EU) 2018/858</w:t>
      </w:r>
      <w:r w:rsidRPr="003D5E61">
        <w:rPr>
          <w:rFonts w:eastAsia="Calibri"/>
          <w:b/>
          <w:bCs/>
          <w:szCs w:val="24"/>
          <w:lang w:eastAsia="en-US"/>
        </w:rPr>
        <w:t>, (EU) 2019/1020</w:t>
      </w:r>
      <w:r w:rsidRPr="003D5E61">
        <w:rPr>
          <w:rFonts w:eastAsia="Calibri"/>
          <w:b/>
          <w:szCs w:val="22"/>
          <w:lang w:eastAsia="en-US"/>
        </w:rPr>
        <w:t xml:space="preserve"> ja (EU) 2023/1542 muuttamisesta sekä direktiivien 2000/53/EY ja 2005/64/EY kumoamisesta</w:t>
      </w:r>
    </w:p>
    <w:p w:rsidR="00D906C8" w:rsidP="00D906C8" w14:paraId="77ABD82B" w14:textId="445352B6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</w:t>
      </w:r>
      <w:r>
        <w:rPr>
          <w:i/>
          <w:szCs w:val="24"/>
        </w:rPr>
        <w:t>6</w:t>
      </w:r>
      <w:r w:rsidRPr="002F34F6">
        <w:rPr>
          <w:i/>
          <w:szCs w:val="24"/>
        </w:rPr>
        <w:t>/</w:t>
      </w:r>
      <w:r>
        <w:rPr>
          <w:i/>
          <w:szCs w:val="24"/>
        </w:rPr>
        <w:t>1738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p w:rsidR="00D906C8" w:rsidRPr="002F6C36" w:rsidP="00182BEE" w14:paraId="01AD7D48" w14:textId="77777777">
      <w:pPr>
        <w:spacing w:after="240"/>
        <w:rPr>
          <w:rFonts w:eastAsia="Calibri"/>
          <w:b/>
          <w:bCs/>
          <w:szCs w:val="24"/>
          <w:lang w:eastAsia="en-US"/>
        </w:rPr>
      </w:pPr>
    </w:p>
    <w:sectPr w:rsidSect="00401A6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937BB" w:rsidRPr="00401A6A" w14:paraId="24EBFD37" w14:textId="77777777">
      <w:r w:rsidRPr="00401A6A">
        <w:separator/>
      </w:r>
    </w:p>
  </w:footnote>
  <w:footnote w:type="continuationSeparator" w:id="1">
    <w:p w:rsidR="001937BB" w:rsidRPr="00401A6A" w14:paraId="0A418D45" w14:textId="77777777">
      <w:r w:rsidRPr="00401A6A">
        <w:continuationSeparator/>
      </w:r>
    </w:p>
  </w:footnote>
  <w:footnote w:id="2">
    <w:p w:rsidR="00AC5CFA" w:rsidRPr="000A6CD3" w:rsidP="002F6C36" w14:paraId="1E848746" w14:textId="6FF5646C">
      <w:pPr>
        <w:pStyle w:val="FootnoteText"/>
        <w:keepLines w:val="0"/>
        <w:ind w:left="567" w:hanging="567"/>
        <w:rPr>
          <w:sz w:val="24"/>
          <w:szCs w:val="24"/>
          <w:lang w:val="fi-FI"/>
        </w:rPr>
      </w:pPr>
      <w:r w:rsidRPr="000A6CD3">
        <w:rPr>
          <w:rStyle w:val="FootnoteReference"/>
          <w:sz w:val="24"/>
          <w:szCs w:val="24"/>
          <w:lang w:val="fi-FI"/>
        </w:rPr>
        <w:footnoteRef/>
      </w:r>
      <w:r w:rsidRPr="000A6CD3" w:rsidR="00401A6A">
        <w:rPr>
          <w:sz w:val="24"/>
          <w:szCs w:val="24"/>
          <w:lang w:val="fi-FI"/>
        </w:rPr>
        <w:t xml:space="preserve"> </w:t>
      </w:r>
      <w:r w:rsidRPr="000A6CD3" w:rsidR="00401A6A">
        <w:rPr>
          <w:sz w:val="24"/>
          <w:szCs w:val="24"/>
          <w:lang w:val="fi-FI"/>
        </w:rPr>
        <w:tab/>
      </w:r>
      <w:r w:rsidRPr="000A6CD3">
        <w:rPr>
          <w:sz w:val="24"/>
          <w:szCs w:val="24"/>
          <w:lang w:val="fi-FI"/>
        </w:rPr>
        <w:t xml:space="preserve">EUVL C, C/2024/1593, 5.3.2024, ELI: </w:t>
      </w:r>
      <w:hyperlink r:id="rId1" w:history="1">
        <w:r w:rsidRPr="000A6CD3" w:rsidR="00440EA1">
          <w:rPr>
            <w:rStyle w:val="Hyperlink"/>
            <w:sz w:val="24"/>
            <w:szCs w:val="24"/>
            <w:lang w:val="fi-FI"/>
          </w:rPr>
          <w:t>http://data.europa.eu/eli/C/2024/1593/oj</w:t>
        </w:r>
      </w:hyperlink>
      <w:r w:rsidRPr="000A6CD3">
        <w:rPr>
          <w:sz w:val="24"/>
          <w:szCs w:val="24"/>
          <w:lang w:val="fi-FI"/>
        </w:rPr>
        <w:t>.</w:t>
      </w:r>
    </w:p>
  </w:footnote>
  <w:footnote w:id="3">
    <w:p w:rsidR="00440EA1" w:rsidRPr="000A6CD3" w:rsidP="002F6C36" w14:paraId="1B8D14E2" w14:textId="42736AED">
      <w:pPr>
        <w:pStyle w:val="FootnoteText"/>
        <w:keepLines w:val="0"/>
        <w:rPr>
          <w:sz w:val="24"/>
          <w:szCs w:val="24"/>
          <w:lang w:val="fi-FI"/>
        </w:rPr>
      </w:pPr>
      <w:r w:rsidRPr="000A6CD3">
        <w:rPr>
          <w:rStyle w:val="FootnoteReference"/>
          <w:sz w:val="24"/>
          <w:szCs w:val="24"/>
        </w:rPr>
        <w:footnoteRef/>
      </w:r>
      <w:r w:rsidRPr="000A6CD3">
        <w:rPr>
          <w:sz w:val="24"/>
          <w:szCs w:val="24"/>
          <w:lang w:val="fi-FI"/>
        </w:rPr>
        <w:t xml:space="preserve"> </w:t>
      </w:r>
      <w:r w:rsidRPr="000A6CD3">
        <w:rPr>
          <w:sz w:val="24"/>
          <w:szCs w:val="24"/>
          <w:lang w:val="fi-FI"/>
        </w:rPr>
        <w:tab/>
        <w:t>Tämä kanta korvaa 9. syyskuuta 2025 hyväksytyt tarkistukset (Hyväksytyt tekstit, P10_TA(2025)0168).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6495604"/>
    <w:multiLevelType w:val="multilevel"/>
    <w:tmpl w:val="9F60CF46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777675968">
    <w:abstractNumId w:val="2"/>
  </w:num>
  <w:num w:numId="2" w16cid:durableId="467404444">
    <w:abstractNumId w:val="13"/>
  </w:num>
  <w:num w:numId="3" w16cid:durableId="1685739777">
    <w:abstractNumId w:val="0"/>
  </w:num>
  <w:num w:numId="4" w16cid:durableId="166291639">
    <w:abstractNumId w:val="10"/>
  </w:num>
  <w:num w:numId="5" w16cid:durableId="1110391513">
    <w:abstractNumId w:val="17"/>
  </w:num>
  <w:num w:numId="6" w16cid:durableId="327631951">
    <w:abstractNumId w:val="9"/>
  </w:num>
  <w:num w:numId="7" w16cid:durableId="849948080">
    <w:abstractNumId w:val="7"/>
  </w:num>
  <w:num w:numId="8" w16cid:durableId="447241554">
    <w:abstractNumId w:val="27"/>
  </w:num>
  <w:num w:numId="9" w16cid:durableId="108356433">
    <w:abstractNumId w:val="32"/>
  </w:num>
  <w:num w:numId="10" w16cid:durableId="16202875">
    <w:abstractNumId w:val="28"/>
  </w:num>
  <w:num w:numId="11" w16cid:durableId="1719740644">
    <w:abstractNumId w:val="1"/>
  </w:num>
  <w:num w:numId="12" w16cid:durableId="1316641683">
    <w:abstractNumId w:val="29"/>
  </w:num>
  <w:num w:numId="13" w16cid:durableId="1918972586">
    <w:abstractNumId w:val="25"/>
  </w:num>
  <w:num w:numId="14" w16cid:durableId="1211957590">
    <w:abstractNumId w:val="3"/>
  </w:num>
  <w:num w:numId="15" w16cid:durableId="785852355">
    <w:abstractNumId w:val="31"/>
  </w:num>
  <w:num w:numId="16" w16cid:durableId="100343276">
    <w:abstractNumId w:val="36"/>
  </w:num>
  <w:num w:numId="17" w16cid:durableId="118036514">
    <w:abstractNumId w:val="22"/>
  </w:num>
  <w:num w:numId="18" w16cid:durableId="1709600658">
    <w:abstractNumId w:val="30"/>
  </w:num>
  <w:num w:numId="19" w16cid:durableId="1815443566">
    <w:abstractNumId w:val="26"/>
  </w:num>
  <w:num w:numId="20" w16cid:durableId="1817143773">
    <w:abstractNumId w:val="23"/>
  </w:num>
  <w:num w:numId="21" w16cid:durableId="914970275">
    <w:abstractNumId w:val="11"/>
  </w:num>
  <w:num w:numId="22" w16cid:durableId="571501031">
    <w:abstractNumId w:val="6"/>
  </w:num>
  <w:num w:numId="23" w16cid:durableId="216286118">
    <w:abstractNumId w:val="5"/>
  </w:num>
  <w:num w:numId="24" w16cid:durableId="717364055">
    <w:abstractNumId w:val="18"/>
  </w:num>
  <w:num w:numId="25" w16cid:durableId="254437804">
    <w:abstractNumId w:val="21"/>
  </w:num>
  <w:num w:numId="26" w16cid:durableId="1506632070">
    <w:abstractNumId w:val="20"/>
  </w:num>
  <w:num w:numId="27" w16cid:durableId="116413259">
    <w:abstractNumId w:val="37"/>
  </w:num>
  <w:num w:numId="28" w16cid:durableId="1999648621">
    <w:abstractNumId w:val="14"/>
  </w:num>
  <w:num w:numId="29" w16cid:durableId="1354920037">
    <w:abstractNumId w:val="15"/>
  </w:num>
  <w:num w:numId="30" w16cid:durableId="2017461581">
    <w:abstractNumId w:val="16"/>
  </w:num>
  <w:num w:numId="31" w16cid:durableId="1358702332">
    <w:abstractNumId w:val="19"/>
  </w:num>
  <w:num w:numId="32" w16cid:durableId="680163427">
    <w:abstractNumId w:val="8"/>
  </w:num>
  <w:num w:numId="33" w16cid:durableId="1614819933">
    <w:abstractNumId w:val="38"/>
  </w:num>
  <w:num w:numId="34" w16cid:durableId="1727030575">
    <w:abstractNumId w:val="12"/>
  </w:num>
  <w:num w:numId="35" w16cid:durableId="1071120550">
    <w:abstractNumId w:val="24"/>
  </w:num>
  <w:num w:numId="36" w16cid:durableId="1121533425">
    <w:abstractNumId w:val="34"/>
  </w:num>
  <w:num w:numId="37" w16cid:durableId="740374139">
    <w:abstractNumId w:val="33"/>
  </w:num>
  <w:num w:numId="38" w16cid:durableId="645473189">
    <w:abstractNumId w:val="35"/>
  </w:num>
  <w:num w:numId="39" w16cid:durableId="921137400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7BB"/>
    <w:rsid w:val="00002272"/>
    <w:rsid w:val="00026445"/>
    <w:rsid w:val="00064002"/>
    <w:rsid w:val="000677B9"/>
    <w:rsid w:val="000831BA"/>
    <w:rsid w:val="000A42CC"/>
    <w:rsid w:val="000A6CD3"/>
    <w:rsid w:val="000B45B2"/>
    <w:rsid w:val="000E7DD9"/>
    <w:rsid w:val="0010095E"/>
    <w:rsid w:val="00125B37"/>
    <w:rsid w:val="00182BEE"/>
    <w:rsid w:val="00187494"/>
    <w:rsid w:val="001937BB"/>
    <w:rsid w:val="001E252C"/>
    <w:rsid w:val="001F32AE"/>
    <w:rsid w:val="002767FF"/>
    <w:rsid w:val="002B18FE"/>
    <w:rsid w:val="002B5493"/>
    <w:rsid w:val="002F34F6"/>
    <w:rsid w:val="002F6C36"/>
    <w:rsid w:val="00343214"/>
    <w:rsid w:val="00361C00"/>
    <w:rsid w:val="00387479"/>
    <w:rsid w:val="00395FA1"/>
    <w:rsid w:val="003D5E61"/>
    <w:rsid w:val="003E15D4"/>
    <w:rsid w:val="00401A6A"/>
    <w:rsid w:val="00411CCE"/>
    <w:rsid w:val="0041666E"/>
    <w:rsid w:val="00421060"/>
    <w:rsid w:val="00440EA1"/>
    <w:rsid w:val="004430D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5441"/>
    <w:rsid w:val="00560270"/>
    <w:rsid w:val="00576F3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1BEE"/>
    <w:rsid w:val="00756632"/>
    <w:rsid w:val="00762C74"/>
    <w:rsid w:val="00786EC0"/>
    <w:rsid w:val="0079042D"/>
    <w:rsid w:val="007D1690"/>
    <w:rsid w:val="007E22AD"/>
    <w:rsid w:val="008046B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1CFC"/>
    <w:rsid w:val="00A43E52"/>
    <w:rsid w:val="00A4678D"/>
    <w:rsid w:val="00A57FE3"/>
    <w:rsid w:val="00A778C7"/>
    <w:rsid w:val="00AA4E3F"/>
    <w:rsid w:val="00AB127D"/>
    <w:rsid w:val="00AB441E"/>
    <w:rsid w:val="00AB6293"/>
    <w:rsid w:val="00AC5CFA"/>
    <w:rsid w:val="00AE0928"/>
    <w:rsid w:val="00AF3B82"/>
    <w:rsid w:val="00B12E95"/>
    <w:rsid w:val="00B22876"/>
    <w:rsid w:val="00B33BDA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2ECB"/>
    <w:rsid w:val="00CE1FF7"/>
    <w:rsid w:val="00CF071A"/>
    <w:rsid w:val="00D058B8"/>
    <w:rsid w:val="00D56C11"/>
    <w:rsid w:val="00D834A0"/>
    <w:rsid w:val="00D872DF"/>
    <w:rsid w:val="00D906C8"/>
    <w:rsid w:val="00D91E21"/>
    <w:rsid w:val="00D97EA9"/>
    <w:rsid w:val="00DA7FCD"/>
    <w:rsid w:val="00DF7A40"/>
    <w:rsid w:val="00E01809"/>
    <w:rsid w:val="00E365E1"/>
    <w:rsid w:val="00E820A4"/>
    <w:rsid w:val="00EB006A"/>
    <w:rsid w:val="00EB4772"/>
    <w:rsid w:val="00ED169E"/>
    <w:rsid w:val="00ED4235"/>
    <w:rsid w:val="00ED74F2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8/2025"/>
    <w:docVar w:name="dvlangue" w:val="FI"/>
    <w:docVar w:name="dvnumam" w:val="518"/>
    <w:docVar w:name="dvpe" w:val="768.004"/>
    <w:docVar w:name="dvrapporteur" w:val="Esittelijät: "/>
    <w:docVar w:name="dvstar" w:val="***I"/>
    <w:docVar w:name="dvtitre" w:val="Euroopan parlamentin lainsäädäntöpäätöslauselma xx. xxxkuuta 2026 ehdotuksesta Euroopan parlamentin ja neuvoston asetukseksi ajoneuvojen suunnittelua koskevista kiertotalousvaatimuksista ja romuajoneuvojen jätehuollosta, asetusten (EU) 2018/858 ja 2019/1020 muuttamisesta sekä direktiivien 2000/53/EY ja 2005/64/EY kumoamisesta(COM(2023)0451 – C9-0308/2023 – 2023/0284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1B05BD8"/>
  <w15:chartTrackingRefBased/>
  <w15:docId w15:val="{FEAAF686-2475-4EDD-B3B9-B6E07B02E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C5CF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CF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CF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5CF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CF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CFA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CFA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CFA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CFA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AC5CF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C5CF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C5CF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C5CFA"/>
    <w:pPr>
      <w:spacing w:after="120"/>
    </w:pPr>
  </w:style>
  <w:style w:type="paragraph" w:customStyle="1" w:styleId="PageHeading">
    <w:name w:val="PageHeading"/>
    <w:basedOn w:val="Normal"/>
    <w:rsid w:val="00AC5CF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C5CFA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AC5CFA"/>
    <w:rPr>
      <w:b/>
      <w:sz w:val="24"/>
      <w:lang w:val="fi-FI"/>
    </w:rPr>
  </w:style>
  <w:style w:type="paragraph" w:customStyle="1" w:styleId="NormalBold12a">
    <w:name w:val="NormalBold12a"/>
    <w:basedOn w:val="Normal"/>
    <w:rsid w:val="00AC5CFA"/>
    <w:pPr>
      <w:spacing w:after="240"/>
    </w:pPr>
    <w:rPr>
      <w:b/>
    </w:rPr>
  </w:style>
  <w:style w:type="paragraph" w:customStyle="1" w:styleId="AmJustText">
    <w:name w:val="AmJustText"/>
    <w:basedOn w:val="Normal"/>
    <w:rsid w:val="00AC5CFA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qFormat/>
    <w:rsid w:val="00AC5CF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C5CFA"/>
    <w:pPr>
      <w:spacing w:after="480"/>
      <w:ind w:left="1417"/>
    </w:pPr>
  </w:style>
  <w:style w:type="paragraph" w:customStyle="1" w:styleId="CoverNormal">
    <w:name w:val="CoverNormal"/>
    <w:basedOn w:val="Normal"/>
    <w:rsid w:val="00AC5CFA"/>
    <w:pPr>
      <w:ind w:left="1418"/>
    </w:pPr>
  </w:style>
  <w:style w:type="paragraph" w:customStyle="1" w:styleId="AmCrossRef">
    <w:name w:val="AmCrossRef"/>
    <w:basedOn w:val="Normal"/>
    <w:rsid w:val="00AC5CF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C5CF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C5CF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C5CF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C5CF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C5CF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C5C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5CFA"/>
    <w:rPr>
      <w:sz w:val="24"/>
      <w:lang w:val="fi-FI"/>
    </w:rPr>
  </w:style>
  <w:style w:type="paragraph" w:customStyle="1" w:styleId="AmOrLang">
    <w:name w:val="AmOrLang"/>
    <w:basedOn w:val="Normal"/>
    <w:rsid w:val="00AC5CF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C5CF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AC5CF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AC5CFA"/>
    <w:rPr>
      <w:b/>
      <w:sz w:val="24"/>
      <w:lang w:val="fi-FI"/>
    </w:rPr>
  </w:style>
  <w:style w:type="paragraph" w:customStyle="1" w:styleId="NormalBold12b">
    <w:name w:val="NormalBold12b"/>
    <w:basedOn w:val="Normal"/>
    <w:link w:val="NormalBold12bChar"/>
    <w:rsid w:val="00AC5CFA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AC5CFA"/>
    <w:rPr>
      <w:b/>
      <w:sz w:val="24"/>
      <w:lang w:val="fi-FI"/>
    </w:rPr>
  </w:style>
  <w:style w:type="paragraph" w:customStyle="1" w:styleId="EPBody">
    <w:name w:val="EPBody"/>
    <w:basedOn w:val="Normal"/>
    <w:rsid w:val="00AC5CF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C5CF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C5CFA"/>
    <w:pPr>
      <w:spacing w:before="480" w:after="240"/>
    </w:pPr>
  </w:style>
  <w:style w:type="paragraph" w:customStyle="1" w:styleId="Lgendesigne">
    <w:name w:val="Légende signe"/>
    <w:basedOn w:val="Normal"/>
    <w:rsid w:val="00AC5CF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C5CF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C5CFA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AC5CFA"/>
    <w:rPr>
      <w:noProof/>
      <w:sz w:val="24"/>
    </w:rPr>
  </w:style>
  <w:style w:type="paragraph" w:customStyle="1" w:styleId="Normal12">
    <w:name w:val="Normal12"/>
    <w:basedOn w:val="Normal"/>
    <w:link w:val="Normal12Char"/>
    <w:rsid w:val="00AC5CFA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AC5CFA"/>
    <w:rPr>
      <w:sz w:val="24"/>
    </w:rPr>
  </w:style>
  <w:style w:type="paragraph" w:customStyle="1" w:styleId="Normal6">
    <w:name w:val="Normal6"/>
    <w:basedOn w:val="Normal"/>
    <w:link w:val="Normal6Char"/>
    <w:rsid w:val="00AC5CFA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AC5CFA"/>
    <w:rPr>
      <w:i/>
    </w:rPr>
  </w:style>
  <w:style w:type="paragraph" w:customStyle="1" w:styleId="EntPE">
    <w:name w:val="EntPE"/>
    <w:basedOn w:val="Normal12"/>
    <w:rsid w:val="00AC5CFA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AC5CFA"/>
    <w:pPr>
      <w:spacing w:after="480"/>
    </w:pPr>
  </w:style>
  <w:style w:type="paragraph" w:customStyle="1" w:styleId="NormalBoldCenter">
    <w:name w:val="NormalBoldCenter"/>
    <w:basedOn w:val="Normal"/>
    <w:rsid w:val="00AC5CFA"/>
    <w:pPr>
      <w:jc w:val="center"/>
    </w:pPr>
    <w:rPr>
      <w:b/>
    </w:rPr>
  </w:style>
  <w:style w:type="paragraph" w:customStyle="1" w:styleId="Footprint12b">
    <w:name w:val="Footprint12b"/>
    <w:basedOn w:val="Normal"/>
    <w:rsid w:val="00AC5CFA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AC5CFA"/>
    <w:rPr>
      <w:szCs w:val="24"/>
    </w:rPr>
  </w:style>
  <w:style w:type="paragraph" w:customStyle="1" w:styleId="AMNumberTabs0">
    <w:name w:val="AMNumberTabs"/>
    <w:basedOn w:val="Normal"/>
    <w:rsid w:val="00AC5CF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AC5CFA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AC5CFA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AC5CFA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nhideWhenUsed/>
    <w:rsid w:val="00AC5C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C5CFA"/>
    <w:rPr>
      <w:rFonts w:ascii="Segoe UI" w:hAnsi="Segoe UI" w:cs="Segoe UI"/>
      <w:sz w:val="18"/>
      <w:szCs w:val="18"/>
      <w:lang w:val="fi-FI"/>
    </w:rPr>
  </w:style>
  <w:style w:type="character" w:styleId="CommentReference">
    <w:name w:val="annotation reference"/>
    <w:basedOn w:val="DefaultParagraphFont"/>
    <w:uiPriority w:val="99"/>
    <w:rsid w:val="00AC5C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C5CF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5CFA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C5C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C5CFA"/>
    <w:rPr>
      <w:b/>
      <w:bCs/>
      <w:lang w:val="fi-FI"/>
    </w:rPr>
  </w:style>
  <w:style w:type="paragraph" w:styleId="Revision">
    <w:name w:val="Revision"/>
    <w:hidden/>
    <w:uiPriority w:val="99"/>
    <w:semiHidden/>
    <w:rsid w:val="00AC5CFA"/>
    <w:rPr>
      <w:sz w:val="24"/>
      <w:lang w:val="fi-FI"/>
    </w:rPr>
  </w:style>
  <w:style w:type="paragraph" w:styleId="Index1">
    <w:name w:val="index 1"/>
    <w:basedOn w:val="Normal"/>
    <w:next w:val="Normal"/>
    <w:autoRedefine/>
    <w:rsid w:val="00AC5CFA"/>
    <w:pPr>
      <w:ind w:left="240" w:hanging="240"/>
    </w:pPr>
  </w:style>
  <w:style w:type="paragraph" w:styleId="IndexHeading">
    <w:name w:val="index heading"/>
    <w:basedOn w:val="Normal"/>
    <w:next w:val="Index1"/>
    <w:rsid w:val="00AC5CFA"/>
    <w:rPr>
      <w:rFonts w:asciiTheme="majorHAnsi" w:eastAsiaTheme="majorEastAsia" w:hAnsiTheme="majorHAnsi" w:cstheme="majorBidi"/>
      <w:b/>
      <w:bCs/>
    </w:rPr>
  </w:style>
  <w:style w:type="character" w:styleId="Hyperlink">
    <w:name w:val="Hyperlink"/>
    <w:basedOn w:val="DefaultParagraphFont"/>
    <w:rsid w:val="00AC5CF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C5CFA"/>
    <w:pPr>
      <w:widowControl/>
      <w:spacing w:before="100" w:beforeAutospacing="1" w:after="100" w:afterAutospacing="1"/>
    </w:pPr>
    <w:rPr>
      <w:szCs w:val="24"/>
    </w:rPr>
  </w:style>
  <w:style w:type="paragraph" w:customStyle="1" w:styleId="oj-normal">
    <w:name w:val="oj-normal"/>
    <w:basedOn w:val="Normal"/>
    <w:rsid w:val="00AC5CFA"/>
    <w:pPr>
      <w:widowControl/>
      <w:spacing w:before="100" w:beforeAutospacing="1" w:after="100" w:afterAutospacing="1"/>
    </w:pPr>
    <w:rPr>
      <w:szCs w:val="24"/>
    </w:rPr>
  </w:style>
  <w:style w:type="character" w:customStyle="1" w:styleId="oj-super">
    <w:name w:val="oj-super"/>
    <w:basedOn w:val="DefaultParagraphFont"/>
    <w:rsid w:val="00AC5CFA"/>
  </w:style>
  <w:style w:type="paragraph" w:customStyle="1" w:styleId="Normal12a">
    <w:name w:val="Normal12a"/>
    <w:basedOn w:val="Normal"/>
    <w:rsid w:val="00AC5CFA"/>
    <w:pPr>
      <w:spacing w:after="240"/>
    </w:pPr>
  </w:style>
  <w:style w:type="paragraph" w:customStyle="1" w:styleId="PageHeadingNotTOC">
    <w:name w:val="PageHeadingNotTOC"/>
    <w:basedOn w:val="Normal"/>
    <w:rsid w:val="00AC5CF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AC5CF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AC5CF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C5CF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C5CF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C5CFA"/>
    <w:pPr>
      <w:spacing w:before="120" w:after="120"/>
    </w:pPr>
    <w:rPr>
      <w:snapToGrid w:val="0"/>
      <w:sz w:val="16"/>
      <w:lang w:eastAsia="en-US"/>
    </w:rPr>
  </w:style>
  <w:style w:type="paragraph" w:customStyle="1" w:styleId="CoverBold">
    <w:name w:val="CoverBold"/>
    <w:basedOn w:val="Normal"/>
    <w:rsid w:val="00AC5CFA"/>
    <w:pPr>
      <w:ind w:left="1417"/>
    </w:pPr>
    <w:rPr>
      <w:b/>
    </w:rPr>
  </w:style>
  <w:style w:type="character" w:customStyle="1" w:styleId="FooterChar">
    <w:name w:val="Footer Char"/>
    <w:basedOn w:val="DefaultParagraphFont"/>
    <w:link w:val="Footer"/>
    <w:uiPriority w:val="99"/>
    <w:rsid w:val="00AC5CFA"/>
    <w:rPr>
      <w:sz w:val="22"/>
    </w:rPr>
  </w:style>
  <w:style w:type="paragraph" w:styleId="Footer">
    <w:name w:val="footer"/>
    <w:link w:val="FooterChar"/>
    <w:uiPriority w:val="99"/>
    <w:rsid w:val="00AC5CFA"/>
    <w:pPr>
      <w:tabs>
        <w:tab w:val="center" w:pos="4536"/>
        <w:tab w:val="right" w:pos="9072"/>
      </w:tabs>
      <w:spacing w:before="240" w:after="240" w:line="221" w:lineRule="auto"/>
    </w:pPr>
    <w:rPr>
      <w:sz w:val="22"/>
    </w:rPr>
  </w:style>
  <w:style w:type="character" w:customStyle="1" w:styleId="FooterChar1">
    <w:name w:val="Footer Char1"/>
    <w:basedOn w:val="DefaultParagraphFont"/>
    <w:rsid w:val="00AC5CFA"/>
    <w:rPr>
      <w:sz w:val="24"/>
      <w:lang w:val="fi-FI"/>
    </w:rPr>
  </w:style>
  <w:style w:type="paragraph" w:customStyle="1" w:styleId="Footer2">
    <w:name w:val="Footer2"/>
    <w:basedOn w:val="Normal12"/>
    <w:rsid w:val="00AC5CFA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SupBoldItalic">
    <w:name w:val="SupBoldItalic"/>
    <w:uiPriority w:val="1"/>
    <w:qFormat/>
    <w:rsid w:val="00AC5CFA"/>
    <w:rPr>
      <w:b/>
      <w:bCs w:val="0"/>
      <w:i/>
      <w:iCs w:val="0"/>
      <w:vertAlign w:val="superscript"/>
    </w:rPr>
  </w:style>
  <w:style w:type="character" w:styleId="Strong">
    <w:name w:val="Strong"/>
    <w:basedOn w:val="DefaultParagraphFont"/>
    <w:uiPriority w:val="22"/>
    <w:qFormat/>
    <w:rsid w:val="00AC5CF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C5CF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AC5CFA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182BEE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182BEE"/>
    <w:pPr>
      <w:spacing w:after="240"/>
      <w:jc w:val="center"/>
    </w:pPr>
  </w:style>
  <w:style w:type="paragraph" w:customStyle="1" w:styleId="AmDateTab">
    <w:name w:val="AmDateTab"/>
    <w:basedOn w:val="Normal"/>
    <w:rsid w:val="00182BEE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82BEE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182BEE"/>
  </w:style>
  <w:style w:type="paragraph" w:customStyle="1" w:styleId="Title1">
    <w:name w:val="Title1"/>
    <w:basedOn w:val="Normal"/>
    <w:next w:val="Normal"/>
    <w:uiPriority w:val="10"/>
    <w:qFormat/>
    <w:rsid w:val="00182BEE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82BEE"/>
    <w:rPr>
      <w:rFonts w:ascii="Cambria" w:hAnsi="Cambria"/>
      <w:spacing w:val="-10"/>
      <w:kern w:val="28"/>
      <w:sz w:val="56"/>
      <w:szCs w:val="56"/>
      <w:lang w:val="fi-FI"/>
    </w:rPr>
  </w:style>
  <w:style w:type="paragraph" w:customStyle="1" w:styleId="Subtitle1">
    <w:name w:val="Subtitle1"/>
    <w:basedOn w:val="Normal"/>
    <w:next w:val="Normal"/>
    <w:uiPriority w:val="11"/>
    <w:qFormat/>
    <w:rsid w:val="00182BEE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82BEE"/>
    <w:rPr>
      <w:color w:val="595959"/>
      <w:spacing w:val="15"/>
      <w:sz w:val="28"/>
      <w:szCs w:val="28"/>
      <w:lang w:val="fi-FI"/>
    </w:rPr>
  </w:style>
  <w:style w:type="paragraph" w:customStyle="1" w:styleId="Quote1">
    <w:name w:val="Quote1"/>
    <w:basedOn w:val="Normal"/>
    <w:next w:val="Normal"/>
    <w:uiPriority w:val="29"/>
    <w:qFormat/>
    <w:rsid w:val="00182BEE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182BEE"/>
    <w:rPr>
      <w:i/>
      <w:iCs/>
      <w:color w:val="404040"/>
      <w:sz w:val="24"/>
      <w:lang w:val="fi-FI"/>
    </w:rPr>
  </w:style>
  <w:style w:type="paragraph" w:styleId="ListParagraph">
    <w:name w:val="List Paragraph"/>
    <w:aliases w:val="1st level - Bullet List Paragraph,Lettre d'introduction,Paragrafo elenco,List Paragraph1,Medium Grid 1 - Accent 21,FooterText,Paragraphe de liste1,Heading 2_sj,Numbered Para 1,Dot pt,No Spacing1,List Paragraph Char Char Char,lp1,L,Ha"/>
    <w:basedOn w:val="Normal"/>
    <w:link w:val="ListParagraphChar"/>
    <w:uiPriority w:val="34"/>
    <w:qFormat/>
    <w:rsid w:val="00182BEE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182BEE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182BEE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BEE"/>
    <w:rPr>
      <w:i/>
      <w:iCs/>
      <w:color w:val="365F91"/>
      <w:sz w:val="24"/>
      <w:lang w:val="fi-FI"/>
    </w:rPr>
  </w:style>
  <w:style w:type="character" w:customStyle="1" w:styleId="IntenseReference1">
    <w:name w:val="Intense Reference1"/>
    <w:basedOn w:val="DefaultParagraphFont"/>
    <w:uiPriority w:val="32"/>
    <w:qFormat/>
    <w:rsid w:val="00182BEE"/>
    <w:rPr>
      <w:b/>
      <w:bCs/>
      <w:smallCaps/>
      <w:color w:val="365F91"/>
      <w:spacing w:val="5"/>
    </w:rPr>
  </w:style>
  <w:style w:type="paragraph" w:styleId="NoSpacing">
    <w:name w:val="No Spacing"/>
    <w:uiPriority w:val="1"/>
    <w:qFormat/>
    <w:rsid w:val="00182BEE"/>
    <w:rPr>
      <w:rFonts w:eastAsia="Calibri" w:cs="Arial"/>
      <w:sz w:val="24"/>
      <w:szCs w:val="22"/>
      <w:lang w:val="fi-FI" w:eastAsia="en-US"/>
    </w:rPr>
  </w:style>
  <w:style w:type="paragraph" w:customStyle="1" w:styleId="TechnicalBlockBase">
    <w:name w:val="TechnicalBlockBase"/>
    <w:link w:val="TechnicalBlockBaseChar"/>
    <w:rsid w:val="00182BEE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fi-FI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182BEE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fi-FI" w:eastAsia="fr-BE"/>
    </w:rPr>
  </w:style>
  <w:style w:type="paragraph" w:customStyle="1" w:styleId="TBEntRefer">
    <w:name w:val="TBEntRefer"/>
    <w:basedOn w:val="TechnicalBlockBase"/>
    <w:link w:val="EntReferChar"/>
    <w:rsid w:val="00182BEE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182BEE"/>
    <w:rPr>
      <w:rFonts w:ascii="Arial" w:hAnsi="Arial" w:cs="Arial"/>
      <w:b/>
      <w:sz w:val="23"/>
      <w:u w:color="606060"/>
      <w:lang w:val="fi-FI" w:eastAsia="fr-BE"/>
    </w:rPr>
  </w:style>
  <w:style w:type="paragraph" w:customStyle="1" w:styleId="TBDistrbMarkers">
    <w:name w:val="TBDistrbMarkers"/>
    <w:basedOn w:val="TBEntRefer"/>
    <w:qFormat/>
    <w:rsid w:val="00182BEE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182BEE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182BEE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182BEE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182BEE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182BEE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182BEE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182BEE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182BEE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182BEE"/>
    <w:rPr>
      <w:rFonts w:ascii="Arial" w:hAnsi="Arial" w:cs="Arial"/>
      <w:b/>
      <w:sz w:val="23"/>
      <w:u w:color="606060"/>
      <w:lang w:val="fi-FI" w:eastAsia="fr-BE"/>
    </w:rPr>
  </w:style>
  <w:style w:type="paragraph" w:customStyle="1" w:styleId="TBSubjectTable">
    <w:name w:val="TBSubjectTable"/>
    <w:basedOn w:val="TechnicalBlockBase"/>
    <w:rsid w:val="00182BEE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182BEE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182BEE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182BEE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182BEE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uiPriority w:val="99"/>
    <w:unhideWhenUsed/>
    <w:rsid w:val="00182BEE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paragraph" w:customStyle="1" w:styleId="FooterText0">
    <w:name w:val="Footer Text"/>
    <w:basedOn w:val="Normal"/>
    <w:unhideWhenUsed/>
    <w:rsid w:val="00182BEE"/>
    <w:pPr>
      <w:widowControl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182BEE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182BEE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182BEE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182BEE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182BEE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182BEE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182BEE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182BEE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182BE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182BEE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182BEE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qFormat/>
    <w:rsid w:val="00182BEE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qFormat/>
    <w:rsid w:val="00182BEE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182BEE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182BEE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182BEE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182BEE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182BEE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182BEE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182BEE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182BEE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182BEE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182BEE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182BEE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182BEE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182BEE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182BEE"/>
    <w:pPr>
      <w:widowControl/>
      <w:numPr>
        <w:ilvl w:val="1"/>
        <w:numId w:val="3"/>
      </w:numPr>
      <w:tabs>
        <w:tab w:val="num" w:pos="360"/>
        <w:tab w:val="clear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182BEE"/>
    <w:pPr>
      <w:widowControl/>
      <w:numPr>
        <w:ilvl w:val="3"/>
        <w:numId w:val="3"/>
      </w:numPr>
      <w:tabs>
        <w:tab w:val="num" w:pos="360"/>
        <w:tab w:val="clear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182BEE"/>
    <w:pPr>
      <w:widowControl/>
      <w:numPr>
        <w:ilvl w:val="5"/>
        <w:numId w:val="3"/>
      </w:numPr>
      <w:tabs>
        <w:tab w:val="num" w:pos="360"/>
        <w:tab w:val="clear" w:pos="1701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182BEE"/>
    <w:pPr>
      <w:widowControl/>
      <w:numPr>
        <w:ilvl w:val="7"/>
        <w:numId w:val="3"/>
      </w:numPr>
      <w:tabs>
        <w:tab w:val="num" w:pos="360"/>
        <w:tab w:val="clear" w:pos="2268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182BEE"/>
    <w:pPr>
      <w:widowControl/>
      <w:numPr>
        <w:ilvl w:val="8"/>
        <w:numId w:val="3"/>
      </w:numPr>
      <w:tabs>
        <w:tab w:val="num" w:pos="360"/>
        <w:tab w:val="clear" w:pos="2835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182BEE"/>
    <w:pPr>
      <w:widowControl/>
      <w:numPr>
        <w:numId w:val="3"/>
      </w:numPr>
      <w:tabs>
        <w:tab w:val="num" w:pos="360"/>
        <w:tab w:val="clear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182BEE"/>
    <w:pPr>
      <w:widowControl/>
      <w:numPr>
        <w:ilvl w:val="2"/>
        <w:numId w:val="3"/>
      </w:numPr>
      <w:tabs>
        <w:tab w:val="num" w:pos="360"/>
        <w:tab w:val="clear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182BEE"/>
    <w:pPr>
      <w:widowControl/>
      <w:numPr>
        <w:ilvl w:val="4"/>
        <w:numId w:val="3"/>
      </w:numPr>
      <w:tabs>
        <w:tab w:val="num" w:pos="360"/>
        <w:tab w:val="clear" w:pos="1701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182BEE"/>
    <w:pPr>
      <w:widowControl/>
      <w:numPr>
        <w:ilvl w:val="6"/>
        <w:numId w:val="3"/>
      </w:numPr>
      <w:tabs>
        <w:tab w:val="num" w:pos="360"/>
        <w:tab w:val="clear" w:pos="2268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182BEE"/>
    <w:pPr>
      <w:widowControl/>
      <w:numPr>
        <w:numId w:val="4"/>
      </w:numPr>
      <w:tabs>
        <w:tab w:val="num" w:pos="360"/>
        <w:tab w:val="clear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182BEE"/>
    <w:pPr>
      <w:widowControl/>
      <w:numPr>
        <w:ilvl w:val="1"/>
        <w:numId w:val="4"/>
      </w:numPr>
      <w:tabs>
        <w:tab w:val="num" w:pos="360"/>
        <w:tab w:val="clear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182BEE"/>
    <w:pPr>
      <w:widowControl/>
      <w:numPr>
        <w:ilvl w:val="2"/>
        <w:numId w:val="4"/>
      </w:numPr>
      <w:tabs>
        <w:tab w:val="num" w:pos="360"/>
        <w:tab w:val="clear" w:pos="1701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182BEE"/>
    <w:pPr>
      <w:widowControl/>
      <w:numPr>
        <w:ilvl w:val="3"/>
        <w:numId w:val="4"/>
      </w:numPr>
      <w:tabs>
        <w:tab w:val="num" w:pos="360"/>
        <w:tab w:val="clear" w:pos="2268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182BEE"/>
    <w:pPr>
      <w:widowControl/>
      <w:numPr>
        <w:ilvl w:val="4"/>
        <w:numId w:val="4"/>
      </w:numPr>
      <w:tabs>
        <w:tab w:val="num" w:pos="360"/>
        <w:tab w:val="clear" w:pos="2835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182BEE"/>
    <w:pPr>
      <w:widowControl/>
      <w:numPr>
        <w:numId w:val="5"/>
      </w:numPr>
      <w:tabs>
        <w:tab w:val="clear" w:pos="56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182BEE"/>
    <w:pPr>
      <w:widowControl/>
      <w:numPr>
        <w:numId w:val="6"/>
      </w:numPr>
      <w:tabs>
        <w:tab w:val="num" w:pos="720"/>
        <w:tab w:val="clear" w:pos="1134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182BEE"/>
    <w:pPr>
      <w:widowControl/>
      <w:numPr>
        <w:numId w:val="7"/>
      </w:numPr>
      <w:tabs>
        <w:tab w:val="num" w:pos="1080"/>
        <w:tab w:val="clear" w:pos="1701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182BEE"/>
    <w:pPr>
      <w:widowControl/>
      <w:numPr>
        <w:numId w:val="8"/>
      </w:numPr>
      <w:tabs>
        <w:tab w:val="num" w:pos="1080"/>
        <w:tab w:val="clear" w:pos="2268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182BEE"/>
    <w:pPr>
      <w:widowControl/>
      <w:numPr>
        <w:numId w:val="9"/>
      </w:numPr>
      <w:tabs>
        <w:tab w:val="num" w:pos="1440"/>
        <w:tab w:val="clear" w:pos="2835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182BEE"/>
    <w:pPr>
      <w:widowControl/>
      <w:numPr>
        <w:numId w:val="1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182BEE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182BEE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182BEE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182BEE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182BEE"/>
    <w:pPr>
      <w:numPr>
        <w:numId w:val="15"/>
      </w:numPr>
      <w:tabs>
        <w:tab w:val="clear" w:pos="567"/>
        <w:tab w:val="num" w:pos="720"/>
      </w:tabs>
      <w:ind w:left="720" w:hanging="360"/>
    </w:pPr>
  </w:style>
  <w:style w:type="paragraph" w:customStyle="1" w:styleId="DashEqual1">
    <w:name w:val="Dash Equal 1"/>
    <w:basedOn w:val="Dash1"/>
    <w:rsid w:val="00182BEE"/>
    <w:pPr>
      <w:numPr>
        <w:numId w:val="16"/>
      </w:numPr>
      <w:tabs>
        <w:tab w:val="num" w:pos="720"/>
        <w:tab w:val="clear" w:pos="1134"/>
      </w:tabs>
      <w:ind w:left="720" w:hanging="360"/>
    </w:pPr>
  </w:style>
  <w:style w:type="paragraph" w:customStyle="1" w:styleId="DashEqual2">
    <w:name w:val="Dash Equal 2"/>
    <w:basedOn w:val="Dash2"/>
    <w:rsid w:val="00182BEE"/>
    <w:pPr>
      <w:numPr>
        <w:numId w:val="17"/>
      </w:numPr>
      <w:tabs>
        <w:tab w:val="num" w:pos="1080"/>
        <w:tab w:val="clear" w:pos="1701"/>
      </w:tabs>
      <w:ind w:left="1080" w:hanging="360"/>
    </w:pPr>
  </w:style>
  <w:style w:type="paragraph" w:customStyle="1" w:styleId="DashEqual3">
    <w:name w:val="Dash Equal 3"/>
    <w:basedOn w:val="Dash3"/>
    <w:rsid w:val="00182BEE"/>
    <w:pPr>
      <w:numPr>
        <w:numId w:val="18"/>
      </w:numPr>
      <w:tabs>
        <w:tab w:val="num" w:pos="1080"/>
        <w:tab w:val="clear" w:pos="2268"/>
      </w:tabs>
      <w:ind w:left="1080" w:hanging="360"/>
    </w:pPr>
  </w:style>
  <w:style w:type="paragraph" w:customStyle="1" w:styleId="DashEqual4">
    <w:name w:val="Dash Equal 4"/>
    <w:basedOn w:val="Dash4"/>
    <w:rsid w:val="00182BEE"/>
    <w:pPr>
      <w:numPr>
        <w:numId w:val="19"/>
      </w:numPr>
      <w:tabs>
        <w:tab w:val="num" w:pos="1440"/>
        <w:tab w:val="clear" w:pos="2835"/>
      </w:tabs>
      <w:ind w:left="1440" w:hanging="360"/>
    </w:pPr>
  </w:style>
  <w:style w:type="character" w:customStyle="1" w:styleId="Marker">
    <w:name w:val="Marker"/>
    <w:basedOn w:val="DefaultParagraphFont"/>
    <w:rsid w:val="00182BEE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182BEE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182BEE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182BEE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123">
    <w:name w:val="Heading 123"/>
    <w:basedOn w:val="HeadingLeft"/>
    <w:next w:val="Normal"/>
    <w:rsid w:val="00182BEE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182BEE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Centered">
    <w:name w:val="Heading Centered"/>
    <w:basedOn w:val="HeadingLeft"/>
    <w:next w:val="Normal"/>
    <w:rsid w:val="00182BEE"/>
    <w:pPr>
      <w:jc w:val="center"/>
    </w:pPr>
  </w:style>
  <w:style w:type="paragraph" w:customStyle="1" w:styleId="Jardin">
    <w:name w:val="Jardin"/>
    <w:basedOn w:val="Normal"/>
    <w:rsid w:val="00182BEE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182BEE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182BEE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182BEE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182BEE"/>
    <w:rPr>
      <w:b/>
    </w:rPr>
  </w:style>
  <w:style w:type="paragraph" w:customStyle="1" w:styleId="Annex">
    <w:name w:val="Annex"/>
    <w:basedOn w:val="Normal"/>
    <w:next w:val="Normal"/>
    <w:rsid w:val="00182BEE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182BEE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182BEE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182BEE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182BEE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182BEE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82BEE"/>
    <w:rPr>
      <w:rFonts w:eastAsia="Calibri"/>
      <w:lang w:val="fi-FI" w:eastAsia="en-US"/>
    </w:rPr>
  </w:style>
  <w:style w:type="character" w:styleId="EndnoteReference">
    <w:name w:val="endnote reference"/>
    <w:basedOn w:val="DefaultParagraphFont"/>
    <w:uiPriority w:val="99"/>
    <w:unhideWhenUsed/>
    <w:rsid w:val="00182BEE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182BEE"/>
    <w:rPr>
      <w:color w:val="808080"/>
    </w:rPr>
  </w:style>
  <w:style w:type="character" w:customStyle="1" w:styleId="ListParagraphChar">
    <w:name w:val="List Paragraph Char"/>
    <w:aliases w:val="1st level - Bullet List Paragraph Char,Lettre d'introduction Char,Paragrafo elenco Char,List Paragraph1 Char,Medium Grid 1 - Accent 21 Char,FooterText Char,Paragraphe de liste1 Char,Heading 2_sj Char,Numbered Para 1 Char,Dot pt Char"/>
    <w:link w:val="ListParagraph"/>
    <w:uiPriority w:val="34"/>
    <w:qFormat/>
    <w:rsid w:val="00182BEE"/>
    <w:rPr>
      <w:rFonts w:eastAsia="Calibri"/>
      <w:sz w:val="24"/>
      <w:szCs w:val="22"/>
      <w:lang w:val="fi-FI" w:eastAsia="en-US"/>
    </w:rPr>
  </w:style>
  <w:style w:type="paragraph" w:styleId="TOC4">
    <w:name w:val="toc 4"/>
    <w:basedOn w:val="Normal"/>
    <w:next w:val="Normal"/>
    <w:uiPriority w:val="39"/>
    <w:unhideWhenUsed/>
    <w:rsid w:val="00182BE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182BEE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182BEE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182BEE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182BEE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182BEE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182BEE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182BEE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182BEE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182BEE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182BE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182BEE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182BE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182BE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182BEE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182BEE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182BEE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182BEE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182BEE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182BEE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182BEE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182BEE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182BEE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182BEE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182BEE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182BEE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182BEE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182BEE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182BEE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182BEE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182BEE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182BEE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182BEE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182BEE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182BEE"/>
    <w:pPr>
      <w:widowControl/>
      <w:numPr>
        <w:numId w:val="23"/>
      </w:numPr>
      <w:tabs>
        <w:tab w:val="num" w:pos="567"/>
        <w:tab w:val="clear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182BEE"/>
    <w:pPr>
      <w:widowControl/>
      <w:numPr>
        <w:numId w:val="24"/>
      </w:numPr>
      <w:tabs>
        <w:tab w:val="num" w:pos="567"/>
        <w:tab w:val="clear" w:pos="141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182BEE"/>
    <w:pPr>
      <w:widowControl/>
      <w:numPr>
        <w:numId w:val="25"/>
      </w:numPr>
      <w:tabs>
        <w:tab w:val="num" w:pos="567"/>
        <w:tab w:val="clear" w:pos="1984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182BEE"/>
    <w:pPr>
      <w:widowControl/>
      <w:numPr>
        <w:numId w:val="26"/>
      </w:numPr>
      <w:tabs>
        <w:tab w:val="num" w:pos="1134"/>
        <w:tab w:val="clear" w:pos="2551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182BEE"/>
    <w:pPr>
      <w:widowControl/>
      <w:numPr>
        <w:numId w:val="27"/>
      </w:numPr>
      <w:tabs>
        <w:tab w:val="num" w:pos="1701"/>
        <w:tab w:val="clear" w:pos="3118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182BEE"/>
    <w:pPr>
      <w:widowControl/>
      <w:numPr>
        <w:numId w:val="28"/>
      </w:numPr>
      <w:tabs>
        <w:tab w:val="num" w:pos="2268"/>
        <w:tab w:val="clear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182BEE"/>
    <w:pPr>
      <w:widowControl/>
      <w:numPr>
        <w:numId w:val="29"/>
      </w:numPr>
      <w:tabs>
        <w:tab w:val="num" w:pos="2835"/>
        <w:tab w:val="clear" w:pos="4252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182BEE"/>
    <w:pPr>
      <w:widowControl/>
      <w:numPr>
        <w:numId w:val="30"/>
      </w:numPr>
      <w:tabs>
        <w:tab w:val="num" w:pos="567"/>
        <w:tab w:val="clear" w:pos="4819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182BEE"/>
    <w:pPr>
      <w:widowControl/>
      <w:numPr>
        <w:numId w:val="31"/>
      </w:numPr>
      <w:tabs>
        <w:tab w:val="num" w:pos="1134"/>
        <w:tab w:val="clear" w:pos="5386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182BEE"/>
    <w:pPr>
      <w:widowControl/>
      <w:numPr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182BEE"/>
    <w:pPr>
      <w:widowControl/>
      <w:numPr>
        <w:ilvl w:val="1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182BEE"/>
    <w:pPr>
      <w:widowControl/>
      <w:numPr>
        <w:ilvl w:val="2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182BEE"/>
    <w:pPr>
      <w:widowControl/>
      <w:numPr>
        <w:ilvl w:val="3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182BEE"/>
    <w:pPr>
      <w:widowControl/>
      <w:numPr>
        <w:ilvl w:val="4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182BEE"/>
    <w:pPr>
      <w:widowControl/>
      <w:numPr>
        <w:ilvl w:val="5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182BEE"/>
    <w:pPr>
      <w:widowControl/>
      <w:numPr>
        <w:ilvl w:val="6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82BE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82BE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82BE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82BE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182BE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182BE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182BE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182BE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82BEE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82BE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82BE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82BE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182BE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182BE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182BE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82BEE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82BEE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82BEE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82BEE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182BEE"/>
    <w:pPr>
      <w:widowControl/>
      <w:numPr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182BEE"/>
    <w:pPr>
      <w:widowControl/>
      <w:numPr>
        <w:ilvl w:val="2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182BEE"/>
    <w:pPr>
      <w:widowControl/>
      <w:numPr>
        <w:ilvl w:val="4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182BEE"/>
    <w:pPr>
      <w:widowControl/>
      <w:numPr>
        <w:ilvl w:val="6"/>
        <w:numId w:val="33"/>
      </w:numPr>
      <w:tabs>
        <w:tab w:val="num" w:pos="2268"/>
        <w:tab w:val="clear" w:pos="2551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182BEE"/>
    <w:pPr>
      <w:widowControl/>
      <w:numPr>
        <w:ilvl w:val="1"/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182BEE"/>
    <w:pPr>
      <w:widowControl/>
      <w:numPr>
        <w:ilvl w:val="3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182BEE"/>
    <w:pPr>
      <w:widowControl/>
      <w:numPr>
        <w:ilvl w:val="5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182BEE"/>
    <w:pPr>
      <w:widowControl/>
      <w:numPr>
        <w:ilvl w:val="7"/>
        <w:numId w:val="33"/>
      </w:numPr>
      <w:tabs>
        <w:tab w:val="num" w:pos="2268"/>
        <w:tab w:val="clear" w:pos="2551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182BEE"/>
    <w:pPr>
      <w:widowControl/>
      <w:numPr>
        <w:ilvl w:val="8"/>
        <w:numId w:val="33"/>
      </w:numPr>
      <w:tabs>
        <w:tab w:val="num" w:pos="2268"/>
        <w:tab w:val="clear" w:pos="311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182BEE"/>
    <w:pPr>
      <w:widowControl/>
      <w:numPr>
        <w:numId w:val="34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182BEE"/>
    <w:pPr>
      <w:widowControl/>
      <w:numPr>
        <w:numId w:val="35"/>
      </w:numPr>
      <w:tabs>
        <w:tab w:val="num" w:pos="567"/>
        <w:tab w:val="clear" w:pos="3685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182BEE"/>
    <w:pPr>
      <w:widowControl/>
      <w:numPr>
        <w:numId w:val="36"/>
      </w:numPr>
      <w:tabs>
        <w:tab w:val="num" w:pos="1134"/>
        <w:tab w:val="clear" w:pos="4252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182BEE"/>
    <w:pPr>
      <w:widowControl/>
      <w:numPr>
        <w:numId w:val="37"/>
      </w:numPr>
      <w:tabs>
        <w:tab w:val="num" w:pos="1701"/>
        <w:tab w:val="clear" w:pos="4819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182BEE"/>
    <w:pPr>
      <w:widowControl/>
      <w:numPr>
        <w:numId w:val="38"/>
      </w:numPr>
      <w:tabs>
        <w:tab w:val="num" w:pos="2268"/>
        <w:tab w:val="clear" w:pos="5386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182BE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182BE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182BEE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182BEE"/>
    <w:pPr>
      <w:widowControl/>
      <w:numPr>
        <w:numId w:val="39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82BEE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182BEE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82BEE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82BEE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82BEE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182BE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82BEE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182BEE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182BEE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82BEE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182BEE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182BEE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182BE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182BEE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182BEE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182BEE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182BEE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182BEE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182BEE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182BE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182BEE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182BEE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182BEE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182BEE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182BEE"/>
    <w:pPr>
      <w:spacing w:before="240"/>
    </w:pPr>
  </w:style>
  <w:style w:type="paragraph" w:customStyle="1" w:styleId="Accordtitre">
    <w:name w:val="Accord titre"/>
    <w:basedOn w:val="Normal"/>
    <w:rsid w:val="00182BEE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182BEE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182BEE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182BEE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182BEE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82BEE"/>
    <w:pPr>
      <w:spacing w:after="240"/>
    </w:pPr>
  </w:style>
  <w:style w:type="paragraph" w:customStyle="1" w:styleId="Annexetitre">
    <w:name w:val="Annexe titre"/>
    <w:basedOn w:val="Normal"/>
    <w:next w:val="Normal"/>
    <w:rsid w:val="00182BE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182BEE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182BE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182BE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182BE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182BE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182BEE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182BE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182BEE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182BEE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182BEE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182BEE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182BEE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182BEE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182BEE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182BEE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182BEE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182BEE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182BEE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182BEE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182BEE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182BEE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182BEE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182BEE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182BEE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182BEE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182BE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182BE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182BEE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i-FI" w:eastAsia="en-US"/>
    </w:rPr>
  </w:style>
  <w:style w:type="paragraph" w:customStyle="1" w:styleId="CommentFwdQuotedText">
    <w:name w:val="CommentFwdQuotedText"/>
    <w:basedOn w:val="Normal"/>
    <w:rsid w:val="00182BEE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182BEE"/>
    <w:pPr>
      <w:pBdr>
        <w:top w:val="none" w:sz="0" w:space="0" w:color="auto"/>
        <w:left w:val="single" w:sz="4" w:space="20" w:color="auto"/>
      </w:pBdr>
    </w:pPr>
  </w:style>
  <w:style w:type="table" w:customStyle="1" w:styleId="TableGrid1">
    <w:name w:val="Table Grid1"/>
    <w:basedOn w:val="TableNormal"/>
    <w:next w:val="TableGrid"/>
    <w:uiPriority w:val="59"/>
    <w:rsid w:val="00182BEE"/>
    <w:rPr>
      <w:rFonts w:ascii="Calibri" w:eastAsia="Calibri" w:hAnsi="Calibri" w:cs="Arial"/>
      <w:sz w:val="22"/>
      <w:szCs w:val="22"/>
      <w:lang w:val="fi-F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182BEE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182BEE"/>
    <w:rPr>
      <w:color w:val="800080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82BEE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182BEE"/>
    <w:rPr>
      <w:rFonts w:asciiTheme="majorHAnsi" w:eastAsiaTheme="majorEastAsia" w:hAnsiTheme="majorHAnsi" w:cstheme="majorBidi"/>
      <w:spacing w:val="-10"/>
      <w:kern w:val="28"/>
      <w:sz w:val="56"/>
      <w:szCs w:val="56"/>
      <w:lang w:val="fi-FI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2BEE"/>
    <w:pPr>
      <w:numPr>
        <w:ilvl w:val="1"/>
      </w:numPr>
      <w:spacing w:after="160"/>
    </w:pPr>
    <w:rPr>
      <w:color w:val="595959"/>
      <w:spacing w:val="15"/>
      <w:sz w:val="28"/>
      <w:szCs w:val="28"/>
    </w:rPr>
  </w:style>
  <w:style w:type="character" w:customStyle="1" w:styleId="SubtitleChar1">
    <w:name w:val="Subtitle Char1"/>
    <w:basedOn w:val="DefaultParagraphFont"/>
    <w:rsid w:val="00182BE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i-FI"/>
    </w:rPr>
  </w:style>
  <w:style w:type="paragraph" w:styleId="Quote">
    <w:name w:val="Quote"/>
    <w:basedOn w:val="Normal"/>
    <w:next w:val="Normal"/>
    <w:link w:val="QuoteChar"/>
    <w:uiPriority w:val="29"/>
    <w:qFormat/>
    <w:rsid w:val="00182BEE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1">
    <w:name w:val="Quote Char1"/>
    <w:basedOn w:val="DefaultParagraphFont"/>
    <w:uiPriority w:val="29"/>
    <w:rsid w:val="00182BEE"/>
    <w:rPr>
      <w:i/>
      <w:iCs/>
      <w:color w:val="404040" w:themeColor="text1" w:themeTint="BF"/>
      <w:sz w:val="24"/>
      <w:lang w:val="fi-FI"/>
    </w:rPr>
  </w:style>
  <w:style w:type="character" w:styleId="IntenseEmphasis">
    <w:name w:val="Intense Emphasis"/>
    <w:basedOn w:val="DefaultParagraphFont"/>
    <w:uiPriority w:val="21"/>
    <w:qFormat/>
    <w:rsid w:val="00182BEE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BE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IntenseQuoteChar1">
    <w:name w:val="Intense Quote Char1"/>
    <w:basedOn w:val="DefaultParagraphFont"/>
    <w:uiPriority w:val="30"/>
    <w:rsid w:val="00182BEE"/>
    <w:rPr>
      <w:i/>
      <w:iCs/>
      <w:color w:val="5B9BD5" w:themeColor="accent1"/>
      <w:sz w:val="24"/>
      <w:lang w:val="fi-FI"/>
    </w:rPr>
  </w:style>
  <w:style w:type="character" w:styleId="IntenseReference">
    <w:name w:val="Intense Reference"/>
    <w:basedOn w:val="DefaultParagraphFont"/>
    <w:uiPriority w:val="32"/>
    <w:qFormat/>
    <w:rsid w:val="00182BEE"/>
    <w:rPr>
      <w:b/>
      <w:bCs/>
      <w:smallCaps/>
      <w:color w:val="5B9BD5" w:themeColor="accent1"/>
      <w:spacing w:val="5"/>
    </w:rPr>
  </w:style>
  <w:style w:type="character" w:customStyle="1" w:styleId="NormalHanging12aChar">
    <w:name w:val="NormalHanging12a Char"/>
    <w:link w:val="NormalHanging12a"/>
    <w:rsid w:val="00440EA1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159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312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2026-09-01T12:25:00Z</dcterms:created>
  <dcterms:modified xsi:type="dcterms:W3CDTF">2026-09-01T12:25:00Z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P10_TA(2026)0227_</vt:lpwstr>
  </property>
  <property fmtid="{D5CDD505-2E9C-101B-9397-08002B2CF9AE}" pid="4" name="&lt;Type&gt;">
    <vt:lpwstr>RR</vt:lpwstr>
  </property>
</Properties>
</file>