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E9EEBE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71674" w:rsidP="0010095E" w14:paraId="004FEDE1" w14:textId="77777777">
            <w:pPr>
              <w:pStyle w:val="EPName"/>
            </w:pPr>
            <w:r w:rsidRPr="00071674">
              <w:t>Europski parlament</w:t>
            </w:r>
          </w:p>
          <w:p w:rsidR="00751A4A" w:rsidRPr="00071674" w:rsidP="005F1B17" w14:paraId="1565721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1674">
              <w:t>2024</w:t>
            </w:r>
            <w:r w:rsidRPr="00071674" w:rsidR="00817416">
              <w:t>-202</w:t>
            </w:r>
            <w:r w:rsidRPr="0007167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71674" w:rsidP="0010095E" w14:paraId="6FD662F3" w14:textId="77777777">
            <w:pPr>
              <w:pStyle w:val="EPLogo"/>
            </w:pPr>
            <w:r w:rsidRPr="0007167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71674" w:rsidP="004C5D52" w14:paraId="01CC26D4" w14:textId="77777777">
      <w:pPr>
        <w:pStyle w:val="LineTop"/>
      </w:pPr>
    </w:p>
    <w:p w:rsidR="00680577" w:rsidRPr="00071674" w:rsidP="00680577" w14:paraId="0FFA51CF" w14:textId="77777777">
      <w:pPr>
        <w:pStyle w:val="EPBodyTA1"/>
      </w:pPr>
      <w:r w:rsidRPr="00071674">
        <w:t>USVOJENI TEKSTOVI</w:t>
      </w:r>
    </w:p>
    <w:p w:rsidR="00D058B8" w:rsidRPr="00071674" w:rsidP="00D058B8" w14:paraId="11212DEC" w14:textId="77777777">
      <w:pPr>
        <w:pStyle w:val="LineBottom"/>
      </w:pPr>
    </w:p>
    <w:p w:rsidR="00B71EBC" w:rsidRPr="00071674" w:rsidP="00B71EBC" w14:paraId="40EB784C" w14:textId="1F0A0BFF">
      <w:pPr>
        <w:pStyle w:val="ATHeading1"/>
      </w:pPr>
      <w:bookmarkStart w:id="0" w:name="TANumber"/>
      <w:r w:rsidRPr="00071674">
        <w:t>P10_TA(2026)0</w:t>
      </w:r>
      <w:r w:rsidR="00B44815">
        <w:t>227</w:t>
      </w:r>
      <w:bookmarkEnd w:id="0"/>
    </w:p>
    <w:p w:rsidR="00B71EBC" w:rsidRPr="00071674" w:rsidP="00B71EBC" w14:paraId="2472D2FA" w14:textId="44E79637">
      <w:pPr>
        <w:pStyle w:val="ATHeading2"/>
      </w:pPr>
      <w:bookmarkStart w:id="1" w:name="title"/>
      <w:r w:rsidRPr="00CA7BDE">
        <w:rPr>
          <w:bCs/>
        </w:rPr>
        <w:t>Zahtjevi za kružnost u konstrukciji vozila i gospodarenje otpadnim vozilima</w:t>
      </w:r>
      <w:bookmarkEnd w:id="1"/>
    </w:p>
    <w:p w:rsidR="00B71EBC" w:rsidRPr="00071674" w:rsidP="00B71EBC" w14:paraId="641492B7" w14:textId="77777777">
      <w:pPr>
        <w:rPr>
          <w:i/>
          <w:vanish/>
        </w:rPr>
      </w:pPr>
      <w:r>
        <w:rPr>
          <w:i/>
        </w:rPr>
        <w:fldChar w:fldCharType="begin"/>
      </w:r>
      <w:r w:rsidRPr="00071674">
        <w:rPr>
          <w:i/>
        </w:rPr>
        <w:instrText xml:space="preserve"> TC"(</w:instrText>
      </w:r>
      <w:bookmarkStart w:id="2" w:name="DocNumber"/>
      <w:r w:rsidRPr="00071674">
        <w:rPr>
          <w:i/>
        </w:rPr>
        <w:instrText>A10-0158/2025</w:instrText>
      </w:r>
      <w:bookmarkEnd w:id="2"/>
      <w:r w:rsidRPr="00071674">
        <w:rPr>
          <w:i/>
        </w:rPr>
        <w:instrText xml:space="preserve"> - Izvjestitelji: Jens Gieseke, Paulius Saudargas)"\l3 \n&gt; \* MERGEFORMAT </w:instrText>
      </w:r>
      <w:r>
        <w:rPr>
          <w:i/>
        </w:rPr>
        <w:fldChar w:fldCharType="end"/>
      </w:r>
    </w:p>
    <w:p w:rsidR="00B71EBC" w:rsidRPr="00071674" w:rsidP="00B71EBC" w14:paraId="044D64C7" w14:textId="77777777">
      <w:pPr>
        <w:rPr>
          <w:vanish/>
        </w:rPr>
      </w:pPr>
      <w:bookmarkStart w:id="3" w:name="Commission"/>
      <w:r w:rsidRPr="00071674">
        <w:rPr>
          <w:vanish/>
        </w:rPr>
        <w:t>Odbor za okoliš, klimu i sigurnost hrane, Odbor za unutarnje tržište i zaštitu potrošača</w:t>
      </w:r>
      <w:bookmarkEnd w:id="3"/>
    </w:p>
    <w:p w:rsidR="00B71EBC" w:rsidRPr="00071674" w:rsidP="00B71EBC" w14:paraId="281FE828" w14:textId="77777777">
      <w:pPr>
        <w:rPr>
          <w:vanish/>
        </w:rPr>
      </w:pPr>
      <w:bookmarkStart w:id="4" w:name="PE"/>
      <w:r w:rsidRPr="00071674">
        <w:rPr>
          <w:vanish/>
        </w:rPr>
        <w:t>PE768.004</w:t>
      </w:r>
      <w:bookmarkEnd w:id="4"/>
    </w:p>
    <w:p w:rsidR="00B71EBC" w:rsidRPr="00071674" w:rsidP="00B71EBC" w14:paraId="6B1A1368" w14:textId="48DB5392">
      <w:pPr>
        <w:pStyle w:val="ATHeading3"/>
      </w:pPr>
      <w:bookmarkStart w:id="5" w:name="Sujet"/>
      <w:r w:rsidRPr="00071674">
        <w:t xml:space="preserve">Zakonodavna rezolucija Europskog parlamenta od </w:t>
      </w:r>
      <w:r w:rsidR="00B10113">
        <w:t xml:space="preserve">18. lipnja </w:t>
      </w:r>
      <w:r w:rsidRPr="00071674">
        <w:t>2026. o Prijedlogu uredbe Europskog parlamenta i Vijeća o zahtjevima za kružnost u konstrukciji vozila, o gospodarenju otpadnim vozilima, o izmjeni uredbi (EU) 2018/858 i 2019/1020 i o stavljanju izvan snage direktiva 2000/53/EZ i 2005/64/EZ</w:t>
      </w:r>
      <w:bookmarkEnd w:id="5"/>
      <w:r w:rsidRPr="00071674">
        <w:t xml:space="preserve"> </w:t>
      </w:r>
      <w:bookmarkStart w:id="6" w:name="References"/>
      <w:r w:rsidRPr="00071674">
        <w:t>(COM(2023)0451 – C9-0308/2023 – 2023/0284(COD))</w:t>
      </w:r>
      <w:bookmarkEnd w:id="6"/>
    </w:p>
    <w:p w:rsidR="00A01B78" w:rsidRPr="00071674" w:rsidP="00A01B78" w14:paraId="53269F2C" w14:textId="77777777">
      <w:pPr>
        <w:pStyle w:val="NormalBold"/>
      </w:pPr>
      <w:r w:rsidRPr="00071674">
        <w:t>(Redovni zakonodavni postupak: prvo čitanje)</w:t>
      </w:r>
    </w:p>
    <w:p w:rsidR="00A01B78" w:rsidRPr="00071674" w:rsidP="00A01B78" w14:paraId="0BB53042" w14:textId="77777777">
      <w:pPr>
        <w:pStyle w:val="EPComma"/>
      </w:pPr>
      <w:r w:rsidRPr="00071674">
        <w:rPr>
          <w:i/>
        </w:rPr>
        <w:t>Europski parlament</w:t>
      </w:r>
      <w:r w:rsidRPr="00071674">
        <w:t>,</w:t>
      </w:r>
    </w:p>
    <w:p w:rsidR="00A01B78" w:rsidRPr="00071674" w:rsidP="00A01B78" w14:paraId="4108FC37" w14:textId="77777777">
      <w:pPr>
        <w:pStyle w:val="NormalHanging12a"/>
      </w:pPr>
      <w:r w:rsidRPr="00071674">
        <w:t>–</w:t>
      </w:r>
      <w:r w:rsidRPr="00071674">
        <w:tab/>
        <w:t>uzimajući u obzir Prijedlog Komisije upućen Europskom parlamentu i Vijeću (COM(2023)0451),</w:t>
      </w:r>
    </w:p>
    <w:p w:rsidR="00A01B78" w:rsidP="00A01B78" w14:paraId="10C09237" w14:textId="77777777">
      <w:pPr>
        <w:pStyle w:val="NormalHanging12a"/>
      </w:pPr>
      <w:r w:rsidRPr="00071674">
        <w:t>–</w:t>
      </w:r>
      <w:r w:rsidRPr="00071674">
        <w:tab/>
        <w:t>uzimajući u obzir članak 294. stavak 2. i članak 114. Ugovora o funkcioniranju Europske unije, u skladu s kojima je Komisija podnijela prijedlog Parlamentu (C9-0308/2023),</w:t>
      </w:r>
    </w:p>
    <w:p w:rsidR="008C7FB4" w:rsidRPr="00071674" w:rsidP="00A01B78" w14:paraId="2C001296" w14:textId="10485C1F">
      <w:pPr>
        <w:pStyle w:val="NormalHanging12a"/>
      </w:pPr>
      <w:r w:rsidRPr="008C7FB4">
        <w:t>–</w:t>
      </w:r>
      <w:r w:rsidRPr="008C7FB4">
        <w:tab/>
        <w:t>uzimajući u obzir mišljenje Odbora za pravna pitanja o predloženoj pravnoj osnovi,</w:t>
      </w:r>
    </w:p>
    <w:p w:rsidR="00A01B78" w:rsidRPr="00071674" w:rsidP="00A01B78" w14:paraId="46B5FF5A" w14:textId="17196DDB">
      <w:pPr>
        <w:pStyle w:val="NormalHanging12a"/>
      </w:pPr>
      <w:r w:rsidRPr="00071674">
        <w:t>–</w:t>
      </w:r>
      <w:r w:rsidRPr="00071674">
        <w:tab/>
        <w:t>uzimajući u obzir članak 294. stavak 3.</w:t>
      </w:r>
      <w:r w:rsidR="0049552D">
        <w:t xml:space="preserve"> te</w:t>
      </w:r>
      <w:r w:rsidR="0039344F">
        <w:t xml:space="preserve"> članak 114. i članak 192. stavak 1.</w:t>
      </w:r>
      <w:r w:rsidRPr="00071674">
        <w:t xml:space="preserve"> Ugovora o funkcioniranju Europske unije,</w:t>
      </w:r>
    </w:p>
    <w:p w:rsidR="00A01B78" w:rsidP="00A01B78" w14:paraId="4F120273" w14:textId="45982A2C">
      <w:pPr>
        <w:pStyle w:val="NormalHanging12a"/>
      </w:pPr>
      <w:r w:rsidRPr="00071674">
        <w:t>–</w:t>
      </w:r>
      <w:r w:rsidRPr="00071674">
        <w:tab/>
        <w:t>uzimajući u obzir mišljenje Europskog</w:t>
      </w:r>
      <w:r w:rsidR="0039344F">
        <w:t>a</w:t>
      </w:r>
      <w:r w:rsidRPr="00071674">
        <w:t xml:space="preserve"> gospodarskog i socijalnog odbora od 14. prosinca 2023.</w:t>
      </w:r>
      <w:r>
        <w:rPr>
          <w:rStyle w:val="FootnoteReference"/>
        </w:rPr>
        <w:footnoteReference w:id="2"/>
      </w:r>
      <w:r w:rsidRPr="00071674">
        <w:t>,</w:t>
      </w:r>
      <w:r w:rsidR="008C7FB4">
        <w:t xml:space="preserve"> </w:t>
      </w:r>
    </w:p>
    <w:p w:rsidR="008C7FB4" w:rsidRPr="008C7FB4" w:rsidP="008C7FB4" w14:paraId="4B382229" w14:textId="1E28C6FB">
      <w:pPr>
        <w:pStyle w:val="NormalHanging12a"/>
      </w:pPr>
      <w:r w:rsidRPr="008C7FB4">
        <w:t>–</w:t>
      </w:r>
      <w:r w:rsidRPr="008C7FB4">
        <w:tab/>
      </w:r>
      <w:r w:rsidR="00B10113">
        <w:t>nakon savjetovanja s</w:t>
      </w:r>
      <w:r w:rsidRPr="008C7FB4">
        <w:t xml:space="preserve"> Odbor</w:t>
      </w:r>
      <w:r w:rsidR="00B10113">
        <w:t>om</w:t>
      </w:r>
      <w:r w:rsidRPr="008C7FB4">
        <w:t xml:space="preserve"> regija,</w:t>
      </w:r>
    </w:p>
    <w:p w:rsidR="008C7FB4" w:rsidRPr="00071674" w:rsidP="00A01B78" w14:paraId="407EEE58" w14:textId="67090559">
      <w:pPr>
        <w:pStyle w:val="NormalHanging12a"/>
      </w:pPr>
      <w:r w:rsidRPr="008C7FB4">
        <w:t>–</w:t>
      </w:r>
      <w:r w:rsidRPr="008C7FB4">
        <w:tab/>
        <w:t xml:space="preserve">uzimajući u obzir privremeni sporazum koji </w:t>
      </w:r>
      <w:r w:rsidR="00410BC4">
        <w:t>su</w:t>
      </w:r>
      <w:r w:rsidRPr="008C7FB4">
        <w:t xml:space="preserve"> odobri</w:t>
      </w:r>
      <w:r w:rsidR="00410BC4">
        <w:t>li</w:t>
      </w:r>
      <w:r w:rsidRPr="008C7FB4">
        <w:t xml:space="preserve"> nadležni odbor</w:t>
      </w:r>
      <w:r w:rsidR="00410BC4">
        <w:t>i</w:t>
      </w:r>
      <w:r w:rsidRPr="008C7FB4">
        <w:t xml:space="preserve"> u skladu s člankom 75. stavkom 4. Poslovnika te činjenicu da se predstavnik Vijeća pismom od 2</w:t>
      </w:r>
      <w:r w:rsidR="00410BC4">
        <w:t>5</w:t>
      </w:r>
      <w:r w:rsidRPr="008C7FB4">
        <w:t xml:space="preserve">. </w:t>
      </w:r>
      <w:r w:rsidR="00410BC4">
        <w:t>veljače</w:t>
      </w:r>
      <w:r w:rsidRPr="008C7FB4">
        <w:t xml:space="preserve"> 2026. obvezao prihvatiti stajalište Europskog parlamenta u skladu s člankom 294. stavkom 4. Ugovora o funkcioniranju Europske unije,</w:t>
      </w:r>
    </w:p>
    <w:p w:rsidR="00A01B78" w:rsidP="00A01B78" w14:paraId="00F4DF0E" w14:textId="683D3F96">
      <w:pPr>
        <w:pStyle w:val="NormalHanging12a"/>
      </w:pPr>
      <w:r w:rsidRPr="00071674">
        <w:t>–</w:t>
      </w:r>
      <w:r w:rsidRPr="00071674">
        <w:tab/>
        <w:t>uzimajući u obzir članak 60.</w:t>
      </w:r>
      <w:r w:rsidR="0039344F">
        <w:t xml:space="preserve"> i 41.</w:t>
      </w:r>
      <w:r w:rsidRPr="00071674">
        <w:t xml:space="preserve"> Poslovnika,</w:t>
      </w:r>
    </w:p>
    <w:p w:rsidR="0039344F" w:rsidRPr="00071674" w:rsidP="00A01B78" w14:paraId="5217D0D7" w14:textId="4AE41235">
      <w:pPr>
        <w:pStyle w:val="NormalHanging12a"/>
      </w:pPr>
      <w:r w:rsidRPr="0039344F">
        <w:t>–</w:t>
      </w:r>
      <w:r w:rsidRPr="0039344F">
        <w:tab/>
        <w:t>uzimajući u obzir zajedničke rasprave Odbora za okoliš, klimu i sigurnost hrane te Odbora za unutarnje tržište i zaštitu potrošača u skladu s člankom 59. Poslovnika,</w:t>
      </w:r>
    </w:p>
    <w:p w:rsidR="00A01B78" w:rsidRPr="00071674" w:rsidP="00A01B78" w14:paraId="4D1DD76E" w14:textId="77777777">
      <w:pPr>
        <w:pStyle w:val="NormalHanging12a"/>
      </w:pPr>
      <w:r w:rsidRPr="00071674">
        <w:t>–</w:t>
      </w:r>
      <w:r w:rsidRPr="00071674">
        <w:tab/>
        <w:t xml:space="preserve">uzimajući u obzir mišljenje Odbora za </w:t>
      </w:r>
      <w:r w:rsidRPr="00071674">
        <w:rPr>
          <w:color w:val="000000"/>
        </w:rPr>
        <w:t>promet i turizam,</w:t>
      </w:r>
    </w:p>
    <w:p w:rsidR="00A01B78" w:rsidRPr="00071674" w:rsidP="00A01B78" w14:paraId="0CDE6B69" w14:textId="4DC17799">
      <w:pPr>
        <w:pStyle w:val="NormalHanging12a"/>
      </w:pPr>
      <w:r w:rsidRPr="00071674">
        <w:t>–</w:t>
      </w:r>
      <w:r w:rsidRPr="00071674">
        <w:tab/>
        <w:t>uzimajući u obzir izvješće Odbora za okoliš, klimu i sigurnost hrane i Odbora za unutarnje tržište i zaštitu potrošača (A10-0158/2025),</w:t>
      </w:r>
      <w:r w:rsidR="0039344F">
        <w:t xml:space="preserve"> </w:t>
      </w:r>
    </w:p>
    <w:p w:rsidR="00A01B78" w:rsidRPr="00071674" w:rsidP="00A01B78" w14:paraId="4BCB4EEB" w14:textId="2CB739E0">
      <w:pPr>
        <w:pStyle w:val="NormalHanging12a"/>
      </w:pPr>
      <w:r w:rsidRPr="00071674">
        <w:t>1.</w:t>
      </w:r>
      <w:r w:rsidRPr="00071674">
        <w:tab/>
        <w:t>usvaja sljedeće stajalište u prvom čitanju</w:t>
      </w:r>
      <w:r>
        <w:rPr>
          <w:rStyle w:val="FootnoteReference"/>
        </w:rPr>
        <w:footnoteReference w:id="3"/>
      </w:r>
      <w:r w:rsidRPr="00071674">
        <w:t>;</w:t>
      </w:r>
    </w:p>
    <w:p w:rsidR="00A01B78" w:rsidRPr="00071674" w:rsidP="00A01B78" w14:paraId="519F7AEA" w14:textId="7667AC19">
      <w:pPr>
        <w:pStyle w:val="NormalHanging12a"/>
      </w:pPr>
      <w:r w:rsidRPr="00071674">
        <w:t>2.</w:t>
      </w:r>
      <w:r w:rsidRPr="00071674">
        <w:tab/>
      </w:r>
      <w:r w:rsidR="0049552D">
        <w:t>poziva Komisiju</w:t>
      </w:r>
      <w:r w:rsidRPr="0039344F" w:rsidR="0039344F">
        <w:t xml:space="preserve"> da predmet ponovno uputi Parlamentu ako zamijeni, bitno izmijeni ili namjerava bitno izmijeniti svoj Prijedlog</w:t>
      </w:r>
      <w:r w:rsidRPr="00071674">
        <w:t>;</w:t>
      </w:r>
    </w:p>
    <w:p w:rsidR="00A01B78" w:rsidRPr="00071674" w:rsidP="00A01B78" w14:paraId="6E3B5246" w14:textId="77777777">
      <w:pPr>
        <w:pStyle w:val="NormalHanging12a"/>
      </w:pPr>
      <w:r w:rsidRPr="00071674">
        <w:t>3.</w:t>
      </w:r>
      <w:r w:rsidRPr="00071674">
        <w:tab/>
        <w:t>nalaže svojoj predsjednici da stajalište Parlamenta proslijedi Vijeću, Komisiji i nacionalnim parlamentima.</w:t>
      </w:r>
    </w:p>
    <w:p w:rsidR="00CC43CA" w:rsidP="00A01B78" w14:paraId="563AA2CD" w14:textId="77777777">
      <w:pPr>
        <w:widowControl/>
        <w:sectPr w:rsidSect="0007167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10BC4" w:rsidRPr="005C1F36" w:rsidP="00410BC4" w14:paraId="1462F857" w14:textId="77777777">
      <w:pPr>
        <w:widowControl/>
        <w:spacing w:before="120" w:after="120"/>
        <w:rPr>
          <w:rFonts w:eastAsia="Calibri"/>
          <w:b/>
          <w:bCs/>
          <w:szCs w:val="24"/>
          <w:lang w:eastAsia="en-US"/>
        </w:rPr>
      </w:pPr>
      <w:r w:rsidRPr="005C1F36">
        <w:rPr>
          <w:rFonts w:eastAsia="Calibri"/>
          <w:b/>
          <w:bCs/>
          <w:szCs w:val="24"/>
          <w:lang w:eastAsia="en-US"/>
        </w:rPr>
        <w:t>P10_TC1-COD(2023)0284</w:t>
      </w:r>
    </w:p>
    <w:p w:rsidR="00CC43CA" w:rsidP="008C7FB4" w14:paraId="2D2262A0" w14:textId="02423572">
      <w:pPr>
        <w:widowControl/>
        <w:spacing w:before="120" w:after="120"/>
        <w:rPr>
          <w:rFonts w:eastAsia="Calibri"/>
          <w:b/>
          <w:szCs w:val="24"/>
          <w:lang w:eastAsia="en-US"/>
        </w:rPr>
      </w:pPr>
      <w:r w:rsidRPr="005550BC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</w:t>
      </w:r>
      <w:r w:rsidR="00410BC4">
        <w:rPr>
          <w:rFonts w:eastAsia="Calibri"/>
          <w:b/>
          <w:szCs w:val="24"/>
          <w:lang w:eastAsia="en-US"/>
        </w:rPr>
        <w:t>8</w:t>
      </w:r>
      <w:r w:rsidRPr="005550BC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>lip</w:t>
      </w:r>
      <w:r w:rsidRPr="005550BC">
        <w:rPr>
          <w:rFonts w:eastAsia="Calibri"/>
          <w:b/>
          <w:szCs w:val="24"/>
          <w:lang w:eastAsia="en-US"/>
        </w:rPr>
        <w:t>nja 20</w:t>
      </w:r>
      <w:r>
        <w:rPr>
          <w:rFonts w:eastAsia="Calibri"/>
          <w:b/>
          <w:szCs w:val="24"/>
          <w:lang w:eastAsia="en-US"/>
        </w:rPr>
        <w:t>26</w:t>
      </w:r>
      <w:r w:rsidRPr="005550BC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5550BC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(</w:t>
      </w:r>
      <w:r w:rsidRPr="005550BC">
        <w:rPr>
          <w:rFonts w:eastAsia="Calibri"/>
          <w:b/>
          <w:szCs w:val="24"/>
          <w:lang w:eastAsia="en-US"/>
        </w:rPr>
        <w:t>EU</w:t>
      </w:r>
      <w:r>
        <w:rPr>
          <w:rFonts w:eastAsia="Calibri"/>
          <w:b/>
          <w:szCs w:val="24"/>
          <w:lang w:eastAsia="en-US"/>
        </w:rPr>
        <w:t xml:space="preserve">) </w:t>
      </w:r>
      <w:r w:rsidRPr="005550BC">
        <w:rPr>
          <w:rFonts w:eastAsia="Calibri"/>
          <w:b/>
          <w:szCs w:val="24"/>
          <w:lang w:eastAsia="en-US"/>
        </w:rPr>
        <w:t>20</w:t>
      </w:r>
      <w:r>
        <w:rPr>
          <w:rFonts w:eastAsia="Calibri"/>
          <w:b/>
          <w:szCs w:val="24"/>
          <w:lang w:eastAsia="en-US"/>
        </w:rPr>
        <w:t>26</w:t>
      </w:r>
      <w:r w:rsidRPr="005550BC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CC43CA">
        <w:rPr>
          <w:rFonts w:eastAsia="Calibri"/>
          <w:b/>
          <w:szCs w:val="24"/>
          <w:lang w:eastAsia="en-US"/>
        </w:rPr>
        <w:t xml:space="preserve">o zahtjevima za kružnost u konstrukciji vozila, o gospodarenju otpadnim vozilima, o izmjeni uredbi </w:t>
      </w:r>
      <w:r w:rsidRPr="00113255">
        <w:rPr>
          <w:rFonts w:eastAsia="Calibri"/>
          <w:b/>
          <w:szCs w:val="24"/>
          <w:lang w:eastAsia="en-US"/>
        </w:rPr>
        <w:t>(EU) br. 168/2013,</w:t>
      </w:r>
      <w:r w:rsidRPr="00CC43CA">
        <w:rPr>
          <w:rFonts w:eastAsia="Calibri"/>
          <w:b/>
          <w:szCs w:val="24"/>
          <w:lang w:eastAsia="en-US"/>
        </w:rPr>
        <w:t xml:space="preserve"> (EU) 2018/858, (EU) 2019/1020 i </w:t>
      </w:r>
      <w:r w:rsidRPr="00113255">
        <w:rPr>
          <w:rFonts w:eastAsia="Calibri"/>
          <w:b/>
          <w:szCs w:val="24"/>
          <w:lang w:eastAsia="en-US"/>
        </w:rPr>
        <w:t>(EU) 2023/1542</w:t>
      </w:r>
      <w:r w:rsidRPr="00CC43CA">
        <w:rPr>
          <w:rFonts w:eastAsia="Calibri"/>
          <w:b/>
          <w:szCs w:val="24"/>
          <w:lang w:eastAsia="en-US"/>
        </w:rPr>
        <w:t xml:space="preserve"> i o stavljanju izvan snage direktiva 2000/53/EZ i 2005/64/EZ</w:t>
      </w:r>
      <w:r w:rsidR="00410BC4">
        <w:rPr>
          <w:rFonts w:eastAsia="Calibri"/>
          <w:b/>
          <w:szCs w:val="24"/>
          <w:lang w:eastAsia="en-US"/>
        </w:rPr>
        <w:t xml:space="preserve"> </w:t>
      </w:r>
    </w:p>
    <w:p w:rsidR="00113255" w:rsidP="00113255" w14:paraId="5485B5B6" w14:textId="5AC79C5E">
      <w:pPr>
        <w:spacing w:before="480"/>
        <w:rPr>
          <w:i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 xml:space="preserve">m Parlamenta i Vijeća, stajalište Parlamenta odgovara konačnom zakonodavnom aktu, </w:t>
      </w:r>
      <w:r>
        <w:rPr>
          <w:i/>
        </w:rPr>
        <w:t>Uredbi (EU) 2026/17</w:t>
      </w:r>
      <w:r>
        <w:rPr>
          <w:i/>
        </w:rPr>
        <w:t>38</w:t>
      </w:r>
      <w:r>
        <w:rPr>
          <w:i/>
        </w:rPr>
        <w:t>.)</w:t>
      </w:r>
    </w:p>
    <w:p w:rsidR="00113255" w:rsidRPr="00CC43CA" w:rsidP="008C7FB4" w14:paraId="057A1D35" w14:textId="77777777">
      <w:pPr>
        <w:widowControl/>
        <w:spacing w:before="120" w:after="120"/>
        <w:rPr>
          <w:rFonts w:eastAsia="Calibri"/>
          <w:b/>
          <w:bCs/>
          <w:szCs w:val="24"/>
          <w:lang w:eastAsia="en-US"/>
        </w:rPr>
      </w:pPr>
    </w:p>
    <w:sectPr w:rsidSect="00CC43C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71EBC" w:rsidRPr="00071674" w14:paraId="52CEC207" w14:textId="77777777">
      <w:r w:rsidRPr="00071674">
        <w:separator/>
      </w:r>
    </w:p>
  </w:footnote>
  <w:footnote w:type="continuationSeparator" w:id="1">
    <w:p w:rsidR="00B71EBC" w:rsidRPr="00071674" w14:paraId="6A715804" w14:textId="77777777">
      <w:r w:rsidRPr="00071674">
        <w:continuationSeparator/>
      </w:r>
    </w:p>
  </w:footnote>
  <w:footnote w:id="2">
    <w:p w:rsidR="00A01B78" w:rsidRPr="00071674" w:rsidP="00964C5B" w14:paraId="78E4F179" w14:textId="020BBD6A">
      <w:pPr>
        <w:pStyle w:val="FootnoteText"/>
        <w:ind w:left="567" w:hanging="567"/>
        <w:rPr>
          <w:sz w:val="24"/>
          <w:lang w:val="hr-HR"/>
        </w:rPr>
      </w:pPr>
      <w:r w:rsidRPr="00071674">
        <w:rPr>
          <w:rStyle w:val="FootnoteReference"/>
          <w:sz w:val="24"/>
          <w:lang w:val="hr-HR"/>
        </w:rPr>
        <w:footnoteRef/>
      </w:r>
      <w:r w:rsidRPr="00071674" w:rsidR="00071674">
        <w:rPr>
          <w:sz w:val="24"/>
          <w:lang w:val="hr-HR"/>
        </w:rPr>
        <w:t xml:space="preserve"> </w:t>
      </w:r>
      <w:r w:rsidRPr="00071674" w:rsidR="00071674">
        <w:rPr>
          <w:sz w:val="24"/>
          <w:lang w:val="hr-HR"/>
        </w:rPr>
        <w:tab/>
      </w:r>
      <w:r w:rsidRPr="00071674">
        <w:rPr>
          <w:sz w:val="24"/>
          <w:lang w:val="hr-HR"/>
        </w:rPr>
        <w:t xml:space="preserve">SL C, C/2024/1593, 5.3.2024., ELI: </w:t>
      </w:r>
      <w:hyperlink r:id="rId1" w:history="1">
        <w:r w:rsidRPr="00410BC4">
          <w:rPr>
            <w:rStyle w:val="Hyperlink"/>
            <w:sz w:val="24"/>
            <w:lang w:val="hr-HR"/>
          </w:rPr>
          <w:t>http://data.europa.eu/eli/C/2024/1593/oj</w:t>
        </w:r>
      </w:hyperlink>
      <w:r w:rsidRPr="00071674">
        <w:rPr>
          <w:sz w:val="24"/>
          <w:lang w:val="hr-HR"/>
        </w:rPr>
        <w:t>.</w:t>
      </w:r>
    </w:p>
  </w:footnote>
  <w:footnote w:id="3">
    <w:p w:rsidR="00410BC4" w:rsidRPr="005C1F36" w:rsidP="005C1F36" w14:paraId="0C340492" w14:textId="0771D3DC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5C1F36">
        <w:rPr>
          <w:lang w:val="hr-HR"/>
        </w:rPr>
        <w:t xml:space="preserve"> </w:t>
      </w:r>
      <w:r w:rsidRPr="005C1F36">
        <w:rPr>
          <w:sz w:val="24"/>
          <w:szCs w:val="24"/>
          <w:lang w:val="hr-HR"/>
        </w:rPr>
        <w:tab/>
        <w:t xml:space="preserve">Ovo stajalište zamjenjuje amandmane usvojene na sjednici 9. rujna 2025. (Usvojeni tekstovi, </w:t>
      </w:r>
      <w:r w:rsidRPr="005C1F36">
        <w:rPr>
          <w:sz w:val="24"/>
          <w:szCs w:val="24"/>
          <w:lang w:val="en-GB"/>
        </w:rPr>
        <w:t>P10_TA(2025)0168).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3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4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503400067">
    <w:abstractNumId w:val="2"/>
  </w:num>
  <w:num w:numId="2" w16cid:durableId="1925332607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BC"/>
    <w:rsid w:val="00002272"/>
    <w:rsid w:val="00064002"/>
    <w:rsid w:val="000677B9"/>
    <w:rsid w:val="00071674"/>
    <w:rsid w:val="000831BA"/>
    <w:rsid w:val="000854C4"/>
    <w:rsid w:val="000A42CC"/>
    <w:rsid w:val="000C4461"/>
    <w:rsid w:val="000E7DD9"/>
    <w:rsid w:val="0010095E"/>
    <w:rsid w:val="00113255"/>
    <w:rsid w:val="00125B37"/>
    <w:rsid w:val="00187494"/>
    <w:rsid w:val="001A4147"/>
    <w:rsid w:val="001F32AE"/>
    <w:rsid w:val="002767FF"/>
    <w:rsid w:val="00293D49"/>
    <w:rsid w:val="002B18FE"/>
    <w:rsid w:val="002B5493"/>
    <w:rsid w:val="002E07D7"/>
    <w:rsid w:val="00343214"/>
    <w:rsid w:val="00361C00"/>
    <w:rsid w:val="00365133"/>
    <w:rsid w:val="0039344F"/>
    <w:rsid w:val="00395FA1"/>
    <w:rsid w:val="003E15D4"/>
    <w:rsid w:val="003F535E"/>
    <w:rsid w:val="00410BC4"/>
    <w:rsid w:val="00411CCE"/>
    <w:rsid w:val="00415E36"/>
    <w:rsid w:val="0041666E"/>
    <w:rsid w:val="00421060"/>
    <w:rsid w:val="004333DF"/>
    <w:rsid w:val="00465BC0"/>
    <w:rsid w:val="00471C19"/>
    <w:rsid w:val="004867E3"/>
    <w:rsid w:val="00494A28"/>
    <w:rsid w:val="0049552D"/>
    <w:rsid w:val="004C0004"/>
    <w:rsid w:val="004C5D52"/>
    <w:rsid w:val="0050519A"/>
    <w:rsid w:val="005072A1"/>
    <w:rsid w:val="00514517"/>
    <w:rsid w:val="00545827"/>
    <w:rsid w:val="005550BC"/>
    <w:rsid w:val="00560270"/>
    <w:rsid w:val="00580309"/>
    <w:rsid w:val="005C1F36"/>
    <w:rsid w:val="005C2568"/>
    <w:rsid w:val="005E494C"/>
    <w:rsid w:val="005F1B17"/>
    <w:rsid w:val="006037C0"/>
    <w:rsid w:val="006631B6"/>
    <w:rsid w:val="006729A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D17"/>
    <w:rsid w:val="007D1690"/>
    <w:rsid w:val="007E22AD"/>
    <w:rsid w:val="00813B44"/>
    <w:rsid w:val="00817416"/>
    <w:rsid w:val="00842779"/>
    <w:rsid w:val="00865F67"/>
    <w:rsid w:val="00881A7B"/>
    <w:rsid w:val="008840E5"/>
    <w:rsid w:val="00887B3E"/>
    <w:rsid w:val="008C2AC6"/>
    <w:rsid w:val="008C7FB4"/>
    <w:rsid w:val="008F5BB8"/>
    <w:rsid w:val="00930C23"/>
    <w:rsid w:val="0093193B"/>
    <w:rsid w:val="009509D8"/>
    <w:rsid w:val="00950B64"/>
    <w:rsid w:val="00964C5B"/>
    <w:rsid w:val="00981893"/>
    <w:rsid w:val="009F6E27"/>
    <w:rsid w:val="00A01B78"/>
    <w:rsid w:val="00A1687D"/>
    <w:rsid w:val="00A43E52"/>
    <w:rsid w:val="00A4678D"/>
    <w:rsid w:val="00A778C7"/>
    <w:rsid w:val="00AB441E"/>
    <w:rsid w:val="00AB6293"/>
    <w:rsid w:val="00AE0928"/>
    <w:rsid w:val="00AF3B82"/>
    <w:rsid w:val="00B10113"/>
    <w:rsid w:val="00B12E95"/>
    <w:rsid w:val="00B22876"/>
    <w:rsid w:val="00B44815"/>
    <w:rsid w:val="00B558F0"/>
    <w:rsid w:val="00B57AE4"/>
    <w:rsid w:val="00B71EBC"/>
    <w:rsid w:val="00BA4AFE"/>
    <w:rsid w:val="00BD48FE"/>
    <w:rsid w:val="00BD7BD8"/>
    <w:rsid w:val="00BE6ADC"/>
    <w:rsid w:val="00C05BFE"/>
    <w:rsid w:val="00C07241"/>
    <w:rsid w:val="00C23CD4"/>
    <w:rsid w:val="00C61C0C"/>
    <w:rsid w:val="00C941CB"/>
    <w:rsid w:val="00CA7BDE"/>
    <w:rsid w:val="00CC2357"/>
    <w:rsid w:val="00CC43C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5"/>
    <w:docVar w:name="dvlangue" w:val="HR"/>
    <w:docVar w:name="dvnumam" w:val="518"/>
    <w:docVar w:name="dvpe" w:val="768.004"/>
    <w:docVar w:name="dvrapporteur" w:val="Izvjestitelji: "/>
    <w:docVar w:name="dvstar" w:val="***I"/>
    <w:docVar w:name="dvtitre" w:val="Zakonodavna rezolucija Europskog parlamenta od .... 2026. o Prijedlogu uredbe Europskog parlamenta i Vijeća o zahtjevima za kružnost u konstrukciji vozila, o gospodarenju otpadnim vozilima, o izmjeni uredbi (EU) 2018/858 i 2019/1020 i o stavljanju izvan snage direktiva 2000/53/EZ i 2005/64/EZ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BD6F20"/>
  <w15:chartTrackingRefBased/>
  <w15:docId w15:val="{EBA87D63-A4A9-4631-A398-3A5F3DC7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01B7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B7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B7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B7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B7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B78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B78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B78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B78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01B7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1B7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1B7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1B78"/>
    <w:pPr>
      <w:spacing w:after="120"/>
    </w:pPr>
  </w:style>
  <w:style w:type="paragraph" w:customStyle="1" w:styleId="PageHeading">
    <w:name w:val="PageHeading"/>
    <w:basedOn w:val="Normal"/>
    <w:rsid w:val="00A01B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1B7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01B78"/>
    <w:rPr>
      <w:b/>
      <w:sz w:val="24"/>
      <w:lang w:val="hr-HR"/>
    </w:rPr>
  </w:style>
  <w:style w:type="paragraph" w:customStyle="1" w:styleId="NormalBold12a">
    <w:name w:val="NormalBold12a"/>
    <w:basedOn w:val="Normal"/>
    <w:rsid w:val="00A01B78"/>
    <w:pPr>
      <w:spacing w:after="240"/>
    </w:pPr>
    <w:rPr>
      <w:b/>
    </w:rPr>
  </w:style>
  <w:style w:type="paragraph" w:customStyle="1" w:styleId="AmJustText">
    <w:name w:val="AmJustText"/>
    <w:basedOn w:val="Normal"/>
    <w:rsid w:val="00A01B7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1B7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1B78"/>
    <w:pPr>
      <w:spacing w:after="480"/>
      <w:ind w:left="1417"/>
    </w:pPr>
  </w:style>
  <w:style w:type="paragraph" w:customStyle="1" w:styleId="CoverNormal">
    <w:name w:val="CoverNormal"/>
    <w:basedOn w:val="Normal"/>
    <w:rsid w:val="00A01B78"/>
    <w:pPr>
      <w:ind w:left="1418"/>
    </w:pPr>
  </w:style>
  <w:style w:type="paragraph" w:customStyle="1" w:styleId="AmCrossRef">
    <w:name w:val="AmCrossRef"/>
    <w:basedOn w:val="Normal"/>
    <w:rsid w:val="00A01B7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1B7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1B7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1B7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1B7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1B7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01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1B78"/>
    <w:rPr>
      <w:sz w:val="24"/>
      <w:lang w:val="hr-HR"/>
    </w:rPr>
  </w:style>
  <w:style w:type="paragraph" w:customStyle="1" w:styleId="AmOrLang">
    <w:name w:val="AmOrLang"/>
    <w:basedOn w:val="Normal"/>
    <w:rsid w:val="00A01B7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1B7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01B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01B78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A01B78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A01B78"/>
    <w:rPr>
      <w:b/>
      <w:sz w:val="24"/>
      <w:lang w:val="hr-HR"/>
    </w:rPr>
  </w:style>
  <w:style w:type="paragraph" w:customStyle="1" w:styleId="EPBody">
    <w:name w:val="EPBody"/>
    <w:basedOn w:val="Normal"/>
    <w:rsid w:val="00A01B7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1B7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1B78"/>
    <w:pPr>
      <w:spacing w:before="480" w:after="240"/>
    </w:pPr>
  </w:style>
  <w:style w:type="paragraph" w:customStyle="1" w:styleId="Lgendesigne">
    <w:name w:val="Légende signe"/>
    <w:basedOn w:val="Normal"/>
    <w:rsid w:val="00A01B7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1B7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1B78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A01B78"/>
    <w:rPr>
      <w:noProof/>
      <w:sz w:val="24"/>
    </w:rPr>
  </w:style>
  <w:style w:type="paragraph" w:customStyle="1" w:styleId="Normal12">
    <w:name w:val="Normal12"/>
    <w:basedOn w:val="Normal"/>
    <w:link w:val="Normal12Char"/>
    <w:rsid w:val="00A01B7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01B78"/>
    <w:rPr>
      <w:sz w:val="24"/>
    </w:rPr>
  </w:style>
  <w:style w:type="paragraph" w:customStyle="1" w:styleId="Normal6">
    <w:name w:val="Normal6"/>
    <w:basedOn w:val="Normal"/>
    <w:link w:val="Normal6Char"/>
    <w:rsid w:val="00A01B78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A01B78"/>
    <w:rPr>
      <w:i/>
    </w:rPr>
  </w:style>
  <w:style w:type="paragraph" w:customStyle="1" w:styleId="EntPE">
    <w:name w:val="EntPE"/>
    <w:basedOn w:val="Normal12"/>
    <w:rsid w:val="00A01B78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A01B78"/>
    <w:pPr>
      <w:spacing w:after="480"/>
    </w:pPr>
  </w:style>
  <w:style w:type="paragraph" w:customStyle="1" w:styleId="NormalBoldCenter">
    <w:name w:val="NormalBoldCenter"/>
    <w:basedOn w:val="Normal"/>
    <w:rsid w:val="00A01B78"/>
    <w:pPr>
      <w:jc w:val="center"/>
    </w:pPr>
    <w:rPr>
      <w:b/>
    </w:rPr>
  </w:style>
  <w:style w:type="paragraph" w:customStyle="1" w:styleId="Footprint12b">
    <w:name w:val="Footprint12b"/>
    <w:basedOn w:val="Normal"/>
    <w:rsid w:val="00A01B7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01B78"/>
    <w:rPr>
      <w:szCs w:val="24"/>
    </w:rPr>
  </w:style>
  <w:style w:type="paragraph" w:customStyle="1" w:styleId="AMNumberTabs0">
    <w:name w:val="AMNumberTabs"/>
    <w:basedOn w:val="Normal"/>
    <w:rsid w:val="00A01B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01B7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01B7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01B78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A01B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1B78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A01B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01B7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1B78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01B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01B78"/>
    <w:rPr>
      <w:b/>
      <w:bCs/>
      <w:lang w:val="hr-HR"/>
    </w:rPr>
  </w:style>
  <w:style w:type="paragraph" w:styleId="Revision">
    <w:name w:val="Revision"/>
    <w:hidden/>
    <w:uiPriority w:val="99"/>
    <w:semiHidden/>
    <w:rsid w:val="00A01B78"/>
    <w:rPr>
      <w:sz w:val="24"/>
      <w:lang w:val="hr-HR"/>
    </w:rPr>
  </w:style>
  <w:style w:type="paragraph" w:styleId="Index1">
    <w:name w:val="index 1"/>
    <w:basedOn w:val="Normal"/>
    <w:next w:val="Normal"/>
    <w:autoRedefine/>
    <w:rsid w:val="00A01B78"/>
    <w:pPr>
      <w:ind w:left="240" w:hanging="240"/>
    </w:pPr>
  </w:style>
  <w:style w:type="paragraph" w:styleId="IndexHeading">
    <w:name w:val="index heading"/>
    <w:basedOn w:val="Normal"/>
    <w:next w:val="Index1"/>
    <w:rsid w:val="00A01B78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A01B7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1B78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A01B78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A01B78"/>
  </w:style>
  <w:style w:type="paragraph" w:customStyle="1" w:styleId="Normal12a">
    <w:name w:val="Normal12a"/>
    <w:basedOn w:val="Normal"/>
    <w:rsid w:val="00A01B78"/>
    <w:pPr>
      <w:spacing w:after="240"/>
    </w:pPr>
  </w:style>
  <w:style w:type="paragraph" w:customStyle="1" w:styleId="PageHeadingNotTOC">
    <w:name w:val="PageHeadingNotTOC"/>
    <w:basedOn w:val="Normal"/>
    <w:rsid w:val="00A01B7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01B7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01B7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01B7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01B7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01B78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A01B78"/>
    <w:pPr>
      <w:ind w:left="1417"/>
    </w:pPr>
    <w:rPr>
      <w:b/>
    </w:rPr>
  </w:style>
  <w:style w:type="paragraph" w:styleId="Footer">
    <w:name w:val="footer"/>
    <w:basedOn w:val="Normal"/>
    <w:link w:val="FooterChar"/>
    <w:uiPriority w:val="99"/>
    <w:rsid w:val="00A01B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8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01B78"/>
    <w:rPr>
      <w:color w:val="605E5C"/>
      <w:shd w:val="clear" w:color="auto" w:fill="E1DFDD"/>
    </w:rPr>
  </w:style>
  <w:style w:type="character" w:customStyle="1" w:styleId="SupBoldItalic">
    <w:name w:val="SupBoldItalic"/>
    <w:uiPriority w:val="1"/>
    <w:qFormat/>
    <w:rsid w:val="00A01B78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A01B78"/>
    <w:rPr>
      <w:b/>
      <w:bCs/>
    </w:rPr>
  </w:style>
  <w:style w:type="character" w:customStyle="1" w:styleId="FooterChar1">
    <w:name w:val="Footer Char1"/>
    <w:basedOn w:val="DefaultParagraphFont"/>
    <w:rsid w:val="00A01B78"/>
    <w:rPr>
      <w:sz w:val="24"/>
      <w:szCs w:val="24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A01B78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1B78"/>
    <w:rPr>
      <w:rFonts w:ascii="Arial" w:hAnsi="Arial" w:eastAsiaTheme="majorEastAsia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B78"/>
    <w:pPr>
      <w:widowControl/>
      <w:spacing w:after="60"/>
      <w:jc w:val="center"/>
      <w:outlineLvl w:val="1"/>
    </w:pPr>
    <w:rPr>
      <w:rFonts w:ascii="Arial" w:hAnsi="Arial" w:eastAsiaTheme="majorEastAsia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01B78"/>
    <w:rPr>
      <w:rFonts w:ascii="Arial" w:hAnsi="Arial" w:eastAsiaTheme="majorEastAsia" w:cs="Arial"/>
      <w:sz w:val="24"/>
      <w:szCs w:val="24"/>
      <w:lang w:val="hr-HR" w:eastAsia="en-US"/>
    </w:rPr>
  </w:style>
  <w:style w:type="character" w:styleId="Emphasis">
    <w:name w:val="Emphasis"/>
    <w:basedOn w:val="DefaultParagraphFont"/>
    <w:uiPriority w:val="20"/>
    <w:qFormat/>
    <w:rsid w:val="00A01B7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01B78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A01B7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01B78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01B78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B78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B78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A01B7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01B7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01B7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01B7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01B78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A01B78"/>
  </w:style>
  <w:style w:type="character" w:customStyle="1" w:styleId="Hyperlink1">
    <w:name w:val="Hyperlink1"/>
    <w:basedOn w:val="DefaultParagraphFont"/>
    <w:uiPriority w:val="99"/>
    <w:unhideWhenUsed/>
    <w:rsid w:val="00A01B78"/>
    <w:rPr>
      <w:color w:val="0563C1"/>
      <w:u w:val="single"/>
    </w:rPr>
  </w:style>
  <w:style w:type="paragraph" w:customStyle="1" w:styleId="AmDocTypeTab">
    <w:name w:val="AmDocTypeTab"/>
    <w:basedOn w:val="Normal"/>
    <w:rsid w:val="00CC43C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C43CA"/>
    <w:pPr>
      <w:spacing w:after="240"/>
      <w:jc w:val="center"/>
    </w:pPr>
  </w:style>
  <w:style w:type="paragraph" w:customStyle="1" w:styleId="AmDateTab">
    <w:name w:val="AmDateTab"/>
    <w:basedOn w:val="Normal"/>
    <w:rsid w:val="00CC43C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C43CA"/>
    <w:pPr>
      <w:spacing w:before="720" w:after="240"/>
      <w:jc w:val="center"/>
    </w:pPr>
  </w:style>
  <w:style w:type="paragraph" w:customStyle="1" w:styleId="Title1">
    <w:name w:val="Title1"/>
    <w:basedOn w:val="Normal"/>
    <w:next w:val="Normal"/>
    <w:uiPriority w:val="10"/>
    <w:qFormat/>
    <w:rsid w:val="00CC43CA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CC43CA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CC43CA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CC43CA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CC43CA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CC43CA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CC43CA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C43CA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eastAsia="fr-BE"/>
    </w:rPr>
  </w:style>
  <w:style w:type="paragraph" w:customStyle="1" w:styleId="TBEntRefer">
    <w:name w:val="TBEntRefer"/>
    <w:basedOn w:val="TechnicalBlockBase"/>
    <w:link w:val="EntReferChar"/>
    <w:rsid w:val="00CC43C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CC43CA"/>
    <w:rPr>
      <w:rFonts w:ascii="Arial" w:hAnsi="Arial" w:cs="Arial"/>
      <w:b/>
      <w:sz w:val="23"/>
      <w:u w:color="606060"/>
      <w:lang w:eastAsia="fr-BE"/>
    </w:rPr>
  </w:style>
  <w:style w:type="paragraph" w:customStyle="1" w:styleId="TBDistrbMarkers">
    <w:name w:val="TBDistrbMarkers"/>
    <w:basedOn w:val="TBEntRefer"/>
    <w:qFormat/>
    <w:rsid w:val="00CC43CA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CC43CA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CC43C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C43C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CC43C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C43C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C43C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C43C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CC43C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CC43CA"/>
    <w:rPr>
      <w:rFonts w:ascii="Arial" w:hAnsi="Arial" w:cs="Arial"/>
      <w:b/>
      <w:sz w:val="23"/>
      <w:u w:color="606060"/>
      <w:lang w:eastAsia="fr-BE"/>
    </w:rPr>
  </w:style>
  <w:style w:type="paragraph" w:customStyle="1" w:styleId="TBSubjectTable">
    <w:name w:val="TBSubjectTable"/>
    <w:basedOn w:val="TechnicalBlockBase"/>
    <w:rsid w:val="00CC43C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CC43C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CC43C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CC43C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CC43C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CC43CA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CC43CA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C43CA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C43CA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C43C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C43C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C43C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C43C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C43C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C43C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C43C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C43C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C43CA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CC43CA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CC43CA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C43CA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C43CA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C43CA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C43C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C43C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C43C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C43C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C43C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C43C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C43C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C43C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C43C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C43C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C43C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C43C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C43C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C43CA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C43CA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C43C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C43C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C43C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C43CA"/>
    <w:pPr>
      <w:widowControl/>
      <w:numPr>
        <w:ilvl w:val="6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C43CA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C43CA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C43CA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C43CA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C43CA"/>
    <w:pPr>
      <w:widowControl/>
      <w:numPr>
        <w:ilvl w:val="4"/>
        <w:numId w:val="4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C43CA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C43CA"/>
    <w:pPr>
      <w:widowControl/>
      <w:numPr>
        <w:numId w:val="6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C43CA"/>
    <w:pPr>
      <w:widowControl/>
      <w:numPr>
        <w:numId w:val="7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C43CA"/>
    <w:pPr>
      <w:widowControl/>
      <w:numPr>
        <w:numId w:val="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C43CA"/>
    <w:pPr>
      <w:widowControl/>
      <w:numPr>
        <w:numId w:val="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C43CA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C43CA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C43CA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C43CA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C43CA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C43CA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CC43CA"/>
    <w:pPr>
      <w:numPr>
        <w:numId w:val="16"/>
      </w:numPr>
      <w:tabs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CC43CA"/>
    <w:pPr>
      <w:numPr>
        <w:numId w:val="17"/>
      </w:numPr>
      <w:tabs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CC43CA"/>
    <w:pPr>
      <w:numPr>
        <w:numId w:val="18"/>
      </w:numPr>
      <w:tabs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CC43CA"/>
    <w:pPr>
      <w:numPr>
        <w:numId w:val="19"/>
      </w:numPr>
      <w:tabs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CC43C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C43C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C43C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C43CA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CC43CA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C43CA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CC43CA"/>
    <w:pPr>
      <w:jc w:val="center"/>
    </w:pPr>
  </w:style>
  <w:style w:type="paragraph" w:customStyle="1" w:styleId="Jardin">
    <w:name w:val="Jardin"/>
    <w:basedOn w:val="Normal"/>
    <w:rsid w:val="00CC43C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C43C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C43C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C43C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C43CA"/>
    <w:rPr>
      <w:b/>
    </w:rPr>
  </w:style>
  <w:style w:type="paragraph" w:customStyle="1" w:styleId="Annex">
    <w:name w:val="Annex"/>
    <w:basedOn w:val="Normal"/>
    <w:next w:val="Normal"/>
    <w:rsid w:val="00CC43C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C43C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C43C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C43C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C43C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C43C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C43CA"/>
    <w:rPr>
      <w:rFonts w:eastAsia="Calibri"/>
      <w:lang w:val="hr-HR" w:eastAsia="en-US"/>
    </w:rPr>
  </w:style>
  <w:style w:type="character" w:styleId="EndnoteReference">
    <w:name w:val="endnote reference"/>
    <w:basedOn w:val="DefaultParagraphFont"/>
    <w:uiPriority w:val="99"/>
    <w:unhideWhenUsed/>
    <w:rsid w:val="00CC43C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CC43CA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CC43CA"/>
    <w:rPr>
      <w:rFonts w:eastAsiaTheme="minorHAnsi"/>
      <w:sz w:val="24"/>
      <w:szCs w:val="24"/>
      <w:lang w:val="hr-HR" w:eastAsia="en-US"/>
    </w:rPr>
  </w:style>
  <w:style w:type="paragraph" w:styleId="TOC4">
    <w:name w:val="toc 4"/>
    <w:basedOn w:val="Normal"/>
    <w:next w:val="Normal"/>
    <w:uiPriority w:val="39"/>
    <w:unhideWhenUsed/>
    <w:rsid w:val="00CC43C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C43C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C43C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C43C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C43C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C43C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C43C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C43C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C43C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C43C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C43C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C43C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C43C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C43C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C43C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C43C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C43C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C43C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C43C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C43C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C43C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C43C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C43C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C43C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C43C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C43C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C43C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C43C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C43C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C43C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C43C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C43C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C43C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C43CA"/>
    <w:pPr>
      <w:widowControl/>
      <w:numPr>
        <w:numId w:val="23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C43CA"/>
    <w:pPr>
      <w:widowControl/>
      <w:numPr>
        <w:numId w:val="24"/>
      </w:numPr>
      <w:tabs>
        <w:tab w:val="num" w:pos="567"/>
        <w:tab w:val="clear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C43CA"/>
    <w:pPr>
      <w:widowControl/>
      <w:numPr>
        <w:numId w:val="25"/>
      </w:numPr>
      <w:tabs>
        <w:tab w:val="num" w:pos="567"/>
        <w:tab w:val="clear" w:pos="198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C43CA"/>
    <w:pPr>
      <w:widowControl/>
      <w:numPr>
        <w:numId w:val="26"/>
      </w:numPr>
      <w:tabs>
        <w:tab w:val="num" w:pos="1134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C43CA"/>
    <w:pPr>
      <w:widowControl/>
      <w:numPr>
        <w:numId w:val="27"/>
      </w:numPr>
      <w:tabs>
        <w:tab w:val="num" w:pos="1701"/>
        <w:tab w:val="clear" w:pos="311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C43CA"/>
    <w:pPr>
      <w:widowControl/>
      <w:numPr>
        <w:numId w:val="28"/>
      </w:numPr>
      <w:tabs>
        <w:tab w:val="num" w:pos="2268"/>
        <w:tab w:val="clear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C43CA"/>
    <w:pPr>
      <w:widowControl/>
      <w:numPr>
        <w:numId w:val="29"/>
      </w:numPr>
      <w:tabs>
        <w:tab w:val="num" w:pos="2835"/>
        <w:tab w:val="clear" w:pos="4252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C43CA"/>
    <w:pPr>
      <w:widowControl/>
      <w:numPr>
        <w:numId w:val="30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C43CA"/>
    <w:pPr>
      <w:widowControl/>
      <w:numPr>
        <w:numId w:val="31"/>
      </w:numPr>
      <w:tabs>
        <w:tab w:val="num" w:pos="1134"/>
        <w:tab w:val="clear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C43CA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C43CA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C43CA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C43CA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C43CA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C43CA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C43CA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C43C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C43C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C43C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C43C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C43C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C43C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C43C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C43C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C43C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C43C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C43C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C43C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C43C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C43C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C43C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C43CA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C43CA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C43CA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C43CA"/>
    <w:pPr>
      <w:widowControl/>
      <w:numPr>
        <w:ilvl w:val="6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C43CA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C43CA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C43CA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C43CA"/>
    <w:pPr>
      <w:widowControl/>
      <w:numPr>
        <w:ilvl w:val="7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C43CA"/>
    <w:pPr>
      <w:widowControl/>
      <w:numPr>
        <w:ilvl w:val="8"/>
        <w:numId w:val="33"/>
      </w:numPr>
      <w:tabs>
        <w:tab w:val="num" w:pos="2268"/>
        <w:tab w:val="clear" w:pos="311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C43CA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C43CA"/>
    <w:pPr>
      <w:widowControl/>
      <w:numPr>
        <w:numId w:val="35"/>
      </w:numPr>
      <w:tabs>
        <w:tab w:val="num" w:pos="567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C43CA"/>
    <w:pPr>
      <w:widowControl/>
      <w:numPr>
        <w:numId w:val="36"/>
      </w:numPr>
      <w:tabs>
        <w:tab w:val="num" w:pos="1134"/>
        <w:tab w:val="clear" w:pos="4252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C43CA"/>
    <w:pPr>
      <w:widowControl/>
      <w:numPr>
        <w:numId w:val="37"/>
      </w:numPr>
      <w:tabs>
        <w:tab w:val="num" w:pos="1701"/>
        <w:tab w:val="clear" w:pos="4819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C43CA"/>
    <w:pPr>
      <w:widowControl/>
      <w:numPr>
        <w:numId w:val="38"/>
      </w:numPr>
      <w:tabs>
        <w:tab w:val="num" w:pos="2268"/>
        <w:tab w:val="clear" w:pos="5386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C43C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C43C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C43C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C43CA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C43C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C43C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C43C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C43C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C43C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C43C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C43C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C43C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C43C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C43C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C43C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C43C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C43C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C43C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C43C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C43C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C43C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C43C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C43C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C43C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C43C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C43C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C43C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C43CA"/>
    <w:pPr>
      <w:spacing w:before="240"/>
    </w:pPr>
  </w:style>
  <w:style w:type="paragraph" w:customStyle="1" w:styleId="Accordtitre">
    <w:name w:val="Accord titre"/>
    <w:basedOn w:val="Normal"/>
    <w:rsid w:val="00CC43C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C43C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C43C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C43C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C43C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C43CA"/>
    <w:pPr>
      <w:spacing w:after="240"/>
    </w:pPr>
  </w:style>
  <w:style w:type="paragraph" w:customStyle="1" w:styleId="Annexetitre">
    <w:name w:val="Annexe titre"/>
    <w:basedOn w:val="Normal"/>
    <w:next w:val="Normal"/>
    <w:rsid w:val="00CC43C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C43C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C43C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C43C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C43C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C43C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C43C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C43C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C43C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C43C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C43C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C43C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C43C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C43C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C43C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C43C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C43C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C43C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C43C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C43C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C43C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C43C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C43C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C43C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C43C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C43C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C43C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C43C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C43C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CC43C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C43CA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CC43CA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CC43CA"/>
    <w:rPr>
      <w:color w:val="800080"/>
      <w:u w:val="single"/>
    </w:rPr>
  </w:style>
  <w:style w:type="paragraph" w:customStyle="1" w:styleId="EPFooterRC">
    <w:name w:val="EPFooterRC"/>
    <w:basedOn w:val="Normal"/>
    <w:rsid w:val="00CC43CA"/>
    <w:pPr>
      <w:tabs>
        <w:tab w:val="center" w:pos="4535"/>
        <w:tab w:val="left" w:pos="6662"/>
      </w:tabs>
    </w:pPr>
    <w:rPr>
      <w:sz w:val="22"/>
    </w:rPr>
  </w:style>
  <w:style w:type="character" w:customStyle="1" w:styleId="TitleChar1">
    <w:name w:val="Title Char1"/>
    <w:basedOn w:val="DefaultParagraphFont"/>
    <w:rsid w:val="00CC43CA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character" w:customStyle="1" w:styleId="SubtitleChar1">
    <w:name w:val="Subtitle Char1"/>
    <w:basedOn w:val="DefaultParagraphFont"/>
    <w:rsid w:val="00CC43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hr-HR"/>
    </w:rPr>
  </w:style>
  <w:style w:type="character" w:customStyle="1" w:styleId="QuoteChar1">
    <w:name w:val="Quote Char1"/>
    <w:basedOn w:val="DefaultParagraphFont"/>
    <w:uiPriority w:val="29"/>
    <w:rsid w:val="00CC43CA"/>
    <w:rPr>
      <w:i/>
      <w:iCs/>
      <w:color w:val="404040" w:themeColor="text1" w:themeTint="BF"/>
      <w:sz w:val="24"/>
      <w:lang w:val="hr-HR"/>
    </w:rPr>
  </w:style>
  <w:style w:type="character" w:customStyle="1" w:styleId="IntenseQuoteChar1">
    <w:name w:val="Intense Quote Char1"/>
    <w:basedOn w:val="DefaultParagraphFont"/>
    <w:uiPriority w:val="30"/>
    <w:rsid w:val="00CC43CA"/>
    <w:rPr>
      <w:i/>
      <w:iCs/>
      <w:color w:val="2E74B5" w:themeColor="accent1" w:themeShade="BF"/>
      <w:sz w:val="24"/>
      <w:lang w:val="hr-HR"/>
    </w:rPr>
  </w:style>
  <w:style w:type="character" w:styleId="FollowedHyperlink">
    <w:name w:val="FollowedHyperlink"/>
    <w:basedOn w:val="DefaultParagraphFont"/>
    <w:rsid w:val="00CC43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2026-09-03T12:11:00Z</dcterms:created>
  <dcterms:modified xsi:type="dcterms:W3CDTF">2026-09-03T12:11:00Z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