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12E7C2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0546" w:rsidP="0010095E" w14:paraId="7594DDEC" w14:textId="77777777">
            <w:pPr>
              <w:pStyle w:val="EPName"/>
            </w:pPr>
            <w:r w:rsidRPr="002D0546">
              <w:t>Parlament Ewropew</w:t>
            </w:r>
          </w:p>
          <w:p w:rsidR="00751A4A" w:rsidRPr="002D0546" w:rsidP="005F1B17" w14:paraId="6B12932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0546">
              <w:t>2024</w:t>
            </w:r>
            <w:r w:rsidRPr="002D0546" w:rsidR="00817416">
              <w:t>-202</w:t>
            </w:r>
            <w:r w:rsidRPr="002D054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0546" w:rsidP="0010095E" w14:paraId="42A43914" w14:textId="77777777">
            <w:pPr>
              <w:pStyle w:val="EPLogo"/>
            </w:pPr>
            <w:r w:rsidRPr="002D054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0546" w:rsidP="004C5D52" w14:paraId="5F5C9284" w14:textId="77777777">
      <w:pPr>
        <w:pStyle w:val="LineTop"/>
      </w:pPr>
    </w:p>
    <w:p w:rsidR="00680577" w:rsidRPr="002D0546" w:rsidP="00680577" w14:paraId="7D6DC94F" w14:textId="77777777">
      <w:pPr>
        <w:pStyle w:val="EPBodyTA1"/>
      </w:pPr>
      <w:r w:rsidRPr="002D0546">
        <w:t>TESTI ADOTTATI</w:t>
      </w:r>
    </w:p>
    <w:p w:rsidR="00D058B8" w:rsidRPr="002D0546" w:rsidP="00D058B8" w14:paraId="77D0E976" w14:textId="77777777">
      <w:pPr>
        <w:pStyle w:val="LineBottom"/>
      </w:pPr>
    </w:p>
    <w:p w:rsidR="00936502" w:rsidRPr="002D0546" w:rsidP="00936502" w14:paraId="2499472F" w14:textId="2D5D737A">
      <w:pPr>
        <w:pStyle w:val="ATHeading1"/>
      </w:pPr>
      <w:bookmarkStart w:id="0" w:name="TANumber"/>
      <w:r w:rsidRPr="002D0546">
        <w:t>P10_TA(2026)0</w:t>
      </w:r>
      <w:r w:rsidR="004564AB">
        <w:t>227</w:t>
      </w:r>
      <w:bookmarkEnd w:id="0"/>
    </w:p>
    <w:p w:rsidR="00936502" w:rsidRPr="002D0546" w:rsidP="00936502" w14:paraId="274C9E88" w14:textId="77777777">
      <w:pPr>
        <w:pStyle w:val="ATHeading2"/>
      </w:pPr>
      <w:bookmarkStart w:id="1" w:name="title"/>
      <w:r w:rsidRPr="002D0546">
        <w:t>Ir-rekwiżiti taċ-ċirkolarità għad-disinn tal-vetturi u l-ġestjoni ta’ vetturi li ma għadhomx jintużaw</w:t>
      </w:r>
      <w:bookmarkEnd w:id="1"/>
    </w:p>
    <w:p w:rsidR="00936502" w:rsidRPr="002D0546" w:rsidP="00936502" w14:paraId="416A93AF" w14:textId="2CC23F5D">
      <w:pPr>
        <w:rPr>
          <w:i/>
          <w:vanish/>
        </w:rPr>
      </w:pPr>
      <w:r>
        <w:rPr>
          <w:i/>
        </w:rPr>
        <w:fldChar w:fldCharType="begin"/>
      </w:r>
      <w:r w:rsidRPr="002D0546">
        <w:rPr>
          <w:i/>
        </w:rPr>
        <w:instrText xml:space="preserve"> TC"(</w:instrText>
      </w:r>
      <w:bookmarkStart w:id="2" w:name="DocNumber"/>
      <w:r w:rsidRPr="002D0546">
        <w:rPr>
          <w:i/>
        </w:rPr>
        <w:instrText>A10-0158/2025</w:instrText>
      </w:r>
      <w:bookmarkEnd w:id="2"/>
      <w:r w:rsidRPr="002D0546">
        <w:rPr>
          <w:i/>
        </w:rPr>
        <w:instrText xml:space="preserve"> - Rapporteur</w:instrText>
      </w:r>
      <w:r w:rsidR="000B05B8">
        <w:rPr>
          <w:i/>
        </w:rPr>
        <w:instrText>s</w:instrText>
      </w:r>
      <w:r w:rsidRPr="002D0546">
        <w:rPr>
          <w:i/>
        </w:rPr>
        <w:instrText xml:space="preserve">: Jens Gieseke; Paulius Saudargas)"\l3 \n&gt; \* MERGEFORMAT </w:instrText>
      </w:r>
      <w:r>
        <w:rPr>
          <w:i/>
        </w:rPr>
        <w:fldChar w:fldCharType="end"/>
      </w:r>
    </w:p>
    <w:p w:rsidR="00936502" w:rsidRPr="002D0546" w:rsidP="00936502" w14:paraId="30B076F8" w14:textId="77777777">
      <w:pPr>
        <w:rPr>
          <w:vanish/>
        </w:rPr>
      </w:pPr>
      <w:bookmarkStart w:id="3" w:name="Commission"/>
      <w:r w:rsidRPr="002D0546">
        <w:rPr>
          <w:vanish/>
        </w:rPr>
        <w:t>Il-Kumitat għall-Ambjent, il-Klima u s-Sikurezza tal-Ikel, Il-Kumitat għas-Suq Intern u l-Ħarsien tal-Konsumatur</w:t>
      </w:r>
      <w:bookmarkEnd w:id="3"/>
    </w:p>
    <w:p w:rsidR="00936502" w:rsidRPr="002D0546" w:rsidP="00936502" w14:paraId="7CD0CC20" w14:textId="77777777">
      <w:pPr>
        <w:rPr>
          <w:vanish/>
        </w:rPr>
      </w:pPr>
      <w:bookmarkStart w:id="4" w:name="PE"/>
      <w:r w:rsidRPr="002D0546">
        <w:rPr>
          <w:vanish/>
        </w:rPr>
        <w:t>PE768.004</w:t>
      </w:r>
      <w:bookmarkEnd w:id="4"/>
    </w:p>
    <w:p w:rsidR="00936502" w:rsidRPr="002D0546" w:rsidP="00936502" w14:paraId="7133E521" w14:textId="686FA497">
      <w:pPr>
        <w:pStyle w:val="ATHeading3"/>
      </w:pPr>
      <w:bookmarkStart w:id="5" w:name="Sujet"/>
      <w:r w:rsidRPr="002D0546">
        <w:t xml:space="preserve">Riżoluzzjoni </w:t>
      </w:r>
      <w:r w:rsidRPr="002D0546">
        <w:t>leġiżlattiva</w:t>
      </w:r>
      <w:r w:rsidRPr="002D0546">
        <w:t xml:space="preserve"> tal-Parlament Ewropew </w:t>
      </w:r>
      <w:r w:rsidR="00DE14A3">
        <w:t>tat-18 ta’ Ġunju</w:t>
      </w:r>
      <w:r w:rsidRPr="002D0546">
        <w:t xml:space="preserve"> 2026 dwar il-proposta għal regolament tal-Parlament Ewropew u tal-Kunsill dwar ir-rekwiżiti taċ-ċirkolarità għad-disinn tal-vetturi u dwar il-ġestjoni ta’ vetturi li ma għadhomx jintużaw, li jemenda r-Regolamenti (UE) 2018/858 u 2019/1020 u li jħassar id-Direttivi 2000/53/KE u 2005/64/KE</w:t>
      </w:r>
      <w:bookmarkEnd w:id="5"/>
      <w:r w:rsidRPr="002D0546">
        <w:t xml:space="preserve"> </w:t>
      </w:r>
      <w:bookmarkStart w:id="6" w:name="References"/>
      <w:r w:rsidRPr="002D0546">
        <w:t>(COM(2023)0451 – C9-0308/2023 – 2023/0284(COD))</w:t>
      </w:r>
      <w:bookmarkEnd w:id="6"/>
    </w:p>
    <w:p w:rsidR="0014044E" w:rsidRPr="002D0546" w:rsidP="0014044E" w14:paraId="0FD93501" w14:textId="77777777">
      <w:pPr>
        <w:pStyle w:val="NormalBold"/>
      </w:pPr>
      <w:r w:rsidRPr="002D0546">
        <w:t>(Proċedura leġiżlattiva ordinarja: l-ewwel qari)</w:t>
      </w:r>
    </w:p>
    <w:p w:rsidR="0014044E" w:rsidRPr="002D0546" w:rsidP="0014044E" w14:paraId="1AD323D5" w14:textId="77777777">
      <w:pPr>
        <w:pStyle w:val="EPComma"/>
      </w:pPr>
      <w:r w:rsidRPr="002D0546">
        <w:rPr>
          <w:i/>
        </w:rPr>
        <w:t>Il-Parlament Ewropew</w:t>
      </w:r>
      <w:r w:rsidRPr="002D0546">
        <w:t>,</w:t>
      </w:r>
    </w:p>
    <w:p w:rsidR="0014044E" w:rsidRPr="002D0546" w:rsidP="0014044E" w14:paraId="31126C42" w14:textId="77777777">
      <w:pPr>
        <w:pStyle w:val="NormalHanging12a"/>
      </w:pPr>
      <w:r w:rsidRPr="002D0546">
        <w:t>–</w:t>
      </w:r>
      <w:r w:rsidRPr="002D0546">
        <w:tab/>
        <w:t>wara li kkunsidra l-proposta tal-Kummissjoni lill-Parlament Ewropew u lill-Kunsill (COM(2023)0451),</w:t>
      </w:r>
    </w:p>
    <w:p w:rsidR="0014044E" w:rsidP="0014044E" w14:paraId="2ACFFD90" w14:textId="77777777">
      <w:pPr>
        <w:pStyle w:val="NormalHanging12a"/>
      </w:pPr>
      <w:r w:rsidRPr="002D0546">
        <w:t>–</w:t>
      </w:r>
      <w:r w:rsidRPr="002D0546">
        <w:tab/>
        <w:t>wara li kkunsidra l-Artikolu 294(2) u l-Artikolu 114 tat-Trattat dwar il-Funzjonament tal-Unjoni Ewropea, skont liema artikoli l-Kummissjoni ppreżentat il-proposta lill-Parlament (C9-0308/2023),</w:t>
      </w:r>
    </w:p>
    <w:p w:rsidR="00DE14A3" w:rsidRPr="002D0546" w:rsidP="0014044E" w14:paraId="3C030CE2" w14:textId="4C4799A9">
      <w:pPr>
        <w:pStyle w:val="NormalHanging12a"/>
      </w:pPr>
      <w:r w:rsidRPr="00DE14A3">
        <w:t>–</w:t>
      </w:r>
      <w:r w:rsidRPr="00DE14A3">
        <w:tab/>
        <w:t xml:space="preserve">wara li kkunsidra </w:t>
      </w:r>
      <w:r>
        <w:t xml:space="preserve">l-opinjoni </w:t>
      </w:r>
      <w:r w:rsidRPr="00DE14A3">
        <w:t xml:space="preserve">tal-Kumitat għall-Affarijiet Legali dwar il-bażi </w:t>
      </w:r>
      <w:r w:rsidR="00477C2A">
        <w:t>ġuridika</w:t>
      </w:r>
      <w:r w:rsidRPr="00DE14A3">
        <w:t xml:space="preserve"> proposta</w:t>
      </w:r>
      <w:r>
        <w:t>,</w:t>
      </w:r>
    </w:p>
    <w:p w:rsidR="0014044E" w:rsidRPr="002D0546" w:rsidP="0014044E" w14:paraId="083F5223" w14:textId="62FBEBF9">
      <w:pPr>
        <w:pStyle w:val="NormalHanging12a"/>
      </w:pPr>
      <w:r w:rsidRPr="002D0546">
        <w:t>–</w:t>
      </w:r>
      <w:r w:rsidRPr="002D0546">
        <w:tab/>
        <w:t xml:space="preserve">wara li kkunsidra l-Artikolu 294(3) </w:t>
      </w:r>
      <w:r w:rsidR="000B05B8">
        <w:t xml:space="preserve">u l-Artikolu 114 u l-Artikolu 192(1) </w:t>
      </w:r>
      <w:r w:rsidRPr="002D0546">
        <w:t>tat-Trattat dwar il-Funzjonament tal-Unjoni Ewropea,</w:t>
      </w:r>
    </w:p>
    <w:p w:rsidR="0014044E" w:rsidP="0014044E" w14:paraId="003EAD82" w14:textId="77777777">
      <w:pPr>
        <w:pStyle w:val="NormalHanging12a"/>
      </w:pPr>
      <w:r w:rsidRPr="002D0546">
        <w:t xml:space="preserve">– </w:t>
      </w:r>
      <w:r w:rsidRPr="002D0546">
        <w:tab/>
        <w:t>wara li kkunsidra l-opinjoni tal-Kumitat Ekonomiku u Soċjali Ewropew tal-14 ta’ Diċembru 2023</w:t>
      </w:r>
      <w:r>
        <w:rPr>
          <w:rStyle w:val="FootnoteReference"/>
        </w:rPr>
        <w:footnoteReference w:id="2"/>
      </w:r>
      <w:r w:rsidRPr="002D0546">
        <w:t>,</w:t>
      </w:r>
    </w:p>
    <w:p w:rsidR="00DE14A3" w:rsidP="0014044E" w14:paraId="247052D1" w14:textId="0C0F07DE">
      <w:pPr>
        <w:pStyle w:val="NormalHanging12a"/>
      </w:pPr>
      <w:r w:rsidRPr="002D0546">
        <w:t xml:space="preserve">– </w:t>
      </w:r>
      <w:r w:rsidRPr="002D0546">
        <w:tab/>
        <w:t xml:space="preserve">wara li </w:t>
      </w:r>
      <w:r>
        <w:t>kkonsulta mal-Kumitat tar-Reġjuni,</w:t>
      </w:r>
    </w:p>
    <w:p w:rsidR="00DE14A3" w:rsidRPr="002D0546" w:rsidP="0014044E" w14:paraId="51F42A5B" w14:textId="1BF46623">
      <w:pPr>
        <w:pStyle w:val="NormalHanging12a"/>
      </w:pPr>
      <w:r w:rsidRPr="00DE14A3">
        <w:t>–</w:t>
      </w:r>
      <w:r w:rsidRPr="00DE14A3">
        <w:tab/>
        <w:t>wara li kkunsidra l-ftehim proviżorju approvat mill-kumitati responsabbli fis-sens tal-Artikolu 75(4) tar-Regoli ta' Proċedura tiegħu u l-impenn meħud mir-rappreżentant tal-Kunsill, permezz tal-ittra tal-</w:t>
      </w:r>
      <w:r>
        <w:t>2</w:t>
      </w:r>
      <w:r w:rsidRPr="00DE14A3">
        <w:t xml:space="preserve">5 ta' </w:t>
      </w:r>
      <w:r>
        <w:t>Frar</w:t>
      </w:r>
      <w:r w:rsidRPr="00DE14A3">
        <w:t xml:space="preserve"> </w:t>
      </w:r>
      <w:r>
        <w:t>2026</w:t>
      </w:r>
      <w:r w:rsidRPr="00DE14A3">
        <w:t>, li japprova l-pożizzjoni tal-Parlament, skont l-Artikolu 294(4) tat-Trattat dwar il-Funzjonament tal-Unjoni Ewropea,</w:t>
      </w:r>
    </w:p>
    <w:p w:rsidR="0014044E" w:rsidRPr="002D0546" w:rsidP="0014044E" w14:paraId="7F930ED1" w14:textId="4B13E1F6">
      <w:pPr>
        <w:pStyle w:val="NormalHanging12a"/>
      </w:pPr>
      <w:r w:rsidRPr="002D0546">
        <w:t>–</w:t>
      </w:r>
      <w:r w:rsidRPr="002D0546">
        <w:tab/>
        <w:t xml:space="preserve">wara li kkunsidra l-Artikolu 60 </w:t>
      </w:r>
      <w:r w:rsidR="000B05B8">
        <w:t xml:space="preserve">u 41 </w:t>
      </w:r>
      <w:r w:rsidRPr="002D0546">
        <w:t>tar-Regoli ta’ Proċedura tiegħu,</w:t>
      </w:r>
    </w:p>
    <w:p w:rsidR="000B05B8" w:rsidRPr="00DB7A1A" w:rsidP="000B05B8" w14:paraId="63292D39" w14:textId="418FB0D0">
      <w:pPr>
        <w:pStyle w:val="NormalHanging12a"/>
      </w:pPr>
      <w:r w:rsidRPr="002D0546">
        <w:t>–</w:t>
      </w:r>
      <w:r w:rsidRPr="002D0546">
        <w:tab/>
      </w:r>
      <w:r w:rsidRPr="000B05B8">
        <w:t xml:space="preserve">wara li kkunsidra d-deliberazzjonijiet konġunti tal-Kumitat </w:t>
      </w:r>
      <w:r>
        <w:t>għall</w:t>
      </w:r>
      <w:r w:rsidRPr="000B05B8">
        <w:t>-Ambjent, il-Klima u s-</w:t>
      </w:r>
      <w:r w:rsidRPr="000B05B8">
        <w:t xml:space="preserve">Sikurezza tal-Ikel u l-Kumitat </w:t>
      </w:r>
      <w:r>
        <w:t>għa</w:t>
      </w:r>
      <w:r w:rsidRPr="000B05B8">
        <w:t>s-Suq Intern u l-</w:t>
      </w:r>
      <w:r>
        <w:t>Ħarsien</w:t>
      </w:r>
      <w:r w:rsidRPr="000B05B8">
        <w:t xml:space="preserve"> tal-Konsumatur skont l-Artikolu 59 tar-Regoli ta' Proċedura,</w:t>
      </w:r>
    </w:p>
    <w:p w:rsidR="0014044E" w:rsidRPr="002D0546" w:rsidP="00DB7A1A" w14:paraId="47AC69C7" w14:textId="27C73FC9">
      <w:pPr>
        <w:pStyle w:val="NormalHanging12a"/>
        <w:numPr>
          <w:ilvl w:val="0"/>
          <w:numId w:val="41"/>
        </w:numPr>
        <w:ind w:left="567" w:hanging="567"/>
      </w:pPr>
      <w:r w:rsidRPr="002D0546">
        <w:t>wara li kkunsidra l-opinjoni tal-Kumitat għat-Trasport u t-Turiżmu,</w:t>
      </w:r>
    </w:p>
    <w:p w:rsidR="0014044E" w:rsidRPr="002D0546" w:rsidP="0014044E" w14:paraId="3C62D747" w14:textId="77777777">
      <w:pPr>
        <w:pStyle w:val="NormalHanging12a"/>
      </w:pPr>
      <w:r w:rsidRPr="002D0546">
        <w:t>–</w:t>
      </w:r>
      <w:r w:rsidRPr="002D0546">
        <w:tab/>
        <w:t>wara li kkunsidra r-rapport tal-Kumitat għall-Ambjent, il-Klima u s-Sikurezza tal-Ikel u tal-Kumitat għas-Suq Intern u l-Ħarsien tal-Konsumatur (A10-0158/2025),</w:t>
      </w:r>
    </w:p>
    <w:p w:rsidR="0014044E" w:rsidRPr="002D0546" w:rsidP="0014044E" w14:paraId="36E98C6B" w14:textId="21C11D22">
      <w:pPr>
        <w:pStyle w:val="NormalHanging12a"/>
      </w:pPr>
      <w:r w:rsidRPr="002D0546">
        <w:t>1.</w:t>
      </w:r>
      <w:r w:rsidRPr="002D0546">
        <w:tab/>
        <w:t>Jadotta l-pożizzjoni fl-ewwel qari li tidher hawn taħt</w:t>
      </w:r>
      <w:r>
        <w:rPr>
          <w:rStyle w:val="FootnoteReference"/>
        </w:rPr>
        <w:footnoteReference w:id="3"/>
      </w:r>
      <w:r w:rsidRPr="002D0546">
        <w:t>;</w:t>
      </w:r>
    </w:p>
    <w:p w:rsidR="0014044E" w:rsidRPr="002D0546" w:rsidP="0014044E" w14:paraId="38BCC59B" w14:textId="5089A4A9">
      <w:pPr>
        <w:pStyle w:val="NormalHanging12a"/>
      </w:pPr>
      <w:r w:rsidRPr="002D0546">
        <w:t>2.</w:t>
      </w:r>
      <w:r w:rsidRPr="002D0546">
        <w:tab/>
      </w:r>
      <w:r w:rsidRPr="000131A4" w:rsidR="00001C95">
        <w:t>Jitlob lill-Kummissjoni terġa’ tirreferi l-kwistjoni lill-Parlament jekk tibdel il-proposta tagħha, temendaha b’mod sustanzjali jew ikollha l-ħsieb li temendaha b’mod sustanzjali</w:t>
      </w:r>
      <w:r w:rsidRPr="002D0546">
        <w:t>;</w:t>
      </w:r>
    </w:p>
    <w:p w:rsidR="00DE14A3" w:rsidP="0014044E" w14:paraId="4CB01F99" w14:textId="77777777">
      <w:pPr>
        <w:pStyle w:val="NormalHanging12a"/>
        <w:sectPr w:rsidSect="002D054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D0546">
        <w:t>3.</w:t>
      </w:r>
      <w:r w:rsidRPr="002D0546">
        <w:tab/>
        <w:t>Jagħti istruzzjonijiet lill-President tiegħu biex tgħaddi l-pożizzjoni tal-Parlament lill-Kunsill u lill-Kummissjoni kif ukoll lill-parlamenti nazzjonali.</w:t>
      </w:r>
    </w:p>
    <w:p w:rsidR="0014044E" w:rsidRPr="0090020A" w:rsidP="0014044E" w14:paraId="3CF591E4" w14:textId="0FEFD51C">
      <w:pPr>
        <w:pStyle w:val="NormalHanging12a"/>
        <w:rPr>
          <w:b/>
          <w:bCs/>
        </w:rPr>
      </w:pPr>
      <w:r w:rsidRPr="0090020A">
        <w:rPr>
          <w:b/>
          <w:bCs/>
        </w:rPr>
        <w:t>P10_TC1-COD(2023)0284</w:t>
      </w:r>
    </w:p>
    <w:p w:rsidR="0090020A" w:rsidRPr="009C4346" w:rsidP="0090020A" w14:paraId="354E0643" w14:textId="739B5884">
      <w:pPr>
        <w:spacing w:after="120"/>
        <w:rPr>
          <w:rFonts w:eastAsia="Calibri"/>
          <w:b/>
          <w:szCs w:val="22"/>
          <w:lang w:eastAsia="en-US"/>
        </w:rPr>
      </w:pPr>
      <w:r w:rsidRPr="009C4346">
        <w:rPr>
          <w:rFonts w:eastAsia="Calibri"/>
          <w:b/>
          <w:bCs/>
        </w:rPr>
        <w:t>Pożizzjoni tal-Parlament Ewropew adottata fl-ewwel qari tat-18</w:t>
      </w:r>
      <w:r w:rsidRPr="009C4346">
        <w:rPr>
          <w:b/>
        </w:rPr>
        <w:t xml:space="preserve"> </w:t>
      </w:r>
      <w:r w:rsidRPr="009C4346">
        <w:rPr>
          <w:rFonts w:eastAsia="Calibri"/>
          <w:b/>
          <w:bCs/>
        </w:rPr>
        <w:t xml:space="preserve">ta’ Ġunju 2026 bil-ħsieb tal-adozzjoni tar-Regolament (UE) 2026/... </w:t>
      </w:r>
      <w:r w:rsidRPr="009C4346">
        <w:rPr>
          <w:b/>
          <w:color w:val="000000"/>
          <w:szCs w:val="22"/>
        </w:rPr>
        <w:t>tal-Parlament Ewropew u tal-Kunsill</w:t>
      </w:r>
      <w:r w:rsidRPr="009C4346">
        <w:rPr>
          <w:rFonts w:eastAsia="Calibri"/>
          <w:b/>
          <w:szCs w:val="22"/>
        </w:rPr>
        <w:t xml:space="preserve"> </w:t>
      </w:r>
      <w:r w:rsidRPr="009C4346">
        <w:rPr>
          <w:rFonts w:eastAsia="Calibri"/>
          <w:b/>
          <w:szCs w:val="22"/>
          <w:lang w:eastAsia="en-US"/>
        </w:rPr>
        <w:t>dwar ir-rekwiżiti taċ-ċirkolarità għad-disinn tal-vetturi u dwar il-ġestjoni ta’ vetturi li ma għadhomx jintużaw, li jemenda r-Regolamenti (UE) Nru 168/2013, (UE) 2018/858, (UE) 2019/1020 u (UE) 2023/1542</w:t>
      </w:r>
      <w:r w:rsidRPr="009C4346" w:rsidR="000B05B8">
        <w:rPr>
          <w:rFonts w:eastAsia="Calibri"/>
          <w:b/>
          <w:szCs w:val="22"/>
          <w:lang w:eastAsia="en-US"/>
        </w:rPr>
        <w:t xml:space="preserve"> </w:t>
      </w:r>
      <w:r w:rsidRPr="009C4346">
        <w:rPr>
          <w:rFonts w:eastAsia="Calibri"/>
          <w:b/>
          <w:szCs w:val="22"/>
          <w:lang w:eastAsia="en-US"/>
        </w:rPr>
        <w:t>u li jħassar id-Direttivi 2000/53/KE u 2005/64/KE</w:t>
      </w:r>
    </w:p>
    <w:p w:rsidR="009C4346" w:rsidRPr="0029750F" w:rsidP="009C4346" w14:paraId="507B0CCD" w14:textId="1B4B423B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9C4346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1738</w:t>
      </w:r>
      <w:r w:rsidRPr="0050178C">
        <w:rPr>
          <w:i/>
        </w:rPr>
        <w:t>.)</w:t>
      </w:r>
    </w:p>
    <w:p w:rsidR="009C4346" w:rsidRPr="0090020A" w:rsidP="0090020A" w14:paraId="62A10A51" w14:textId="77777777">
      <w:pPr>
        <w:spacing w:after="120"/>
        <w:rPr>
          <w:rFonts w:eastAsia="Calibri"/>
          <w:b/>
          <w:bCs/>
          <w:szCs w:val="24"/>
          <w:lang w:eastAsia="en-US"/>
        </w:rPr>
      </w:pPr>
    </w:p>
    <w:sectPr w:rsidSect="002D05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5370DBC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33FC4E7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4D7FDB8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36502" w:rsidRPr="002D0546" w14:paraId="093FBEDD" w14:textId="77777777">
      <w:r w:rsidRPr="002D0546">
        <w:separator/>
      </w:r>
    </w:p>
  </w:footnote>
  <w:footnote w:type="continuationSeparator" w:id="1">
    <w:p w:rsidR="00936502" w:rsidRPr="002D0546" w14:paraId="5D915537" w14:textId="77777777">
      <w:r w:rsidRPr="002D0546">
        <w:continuationSeparator/>
      </w:r>
    </w:p>
  </w:footnote>
  <w:footnote w:id="2">
    <w:p w:rsidR="0014044E" w:rsidRPr="00DB7A1A" w:rsidP="00DE14A3" w14:paraId="096BCD35" w14:textId="23A45293">
      <w:pPr>
        <w:pStyle w:val="FootnoteText"/>
        <w:ind w:left="567" w:hanging="567"/>
        <w:rPr>
          <w:sz w:val="24"/>
          <w:lang w:val="mt-MT"/>
        </w:rPr>
      </w:pPr>
      <w:r w:rsidRPr="00DB7A1A">
        <w:rPr>
          <w:rStyle w:val="FootnoteReference"/>
          <w:sz w:val="24"/>
          <w:lang w:val="mt-MT"/>
        </w:rPr>
        <w:footnoteRef/>
      </w:r>
      <w:r w:rsidRPr="00DB7A1A" w:rsidR="002D0546">
        <w:rPr>
          <w:sz w:val="24"/>
          <w:lang w:val="mt-MT"/>
        </w:rPr>
        <w:t xml:space="preserve"> </w:t>
      </w:r>
      <w:r w:rsidRPr="00DB7A1A" w:rsidR="002D0546">
        <w:rPr>
          <w:sz w:val="24"/>
          <w:lang w:val="mt-MT"/>
        </w:rPr>
        <w:tab/>
      </w:r>
      <w:r w:rsidRPr="00DB7A1A">
        <w:rPr>
          <w:sz w:val="24"/>
          <w:lang w:val="mt-MT"/>
        </w:rPr>
        <w:t xml:space="preserve">ĠU C, C/2024/1593, 5.3.2024, ELI: </w:t>
      </w:r>
      <w:hyperlink r:id="rId1" w:history="1">
        <w:r w:rsidRPr="00DB7A1A">
          <w:rPr>
            <w:rStyle w:val="Hyperlink"/>
            <w:sz w:val="24"/>
            <w:lang w:val="mt-MT"/>
          </w:rPr>
          <w:t>http://data.europa.eu/eli/C/2024/1593/oj</w:t>
        </w:r>
      </w:hyperlink>
      <w:r w:rsidRPr="00DB7A1A">
        <w:rPr>
          <w:sz w:val="24"/>
          <w:lang w:val="mt-MT"/>
        </w:rPr>
        <w:t>.</w:t>
      </w:r>
    </w:p>
  </w:footnote>
  <w:footnote w:id="3">
    <w:p w:rsidR="00DE14A3" w:rsidRPr="00DB7A1A" w:rsidP="00DB7A1A" w14:paraId="08877473" w14:textId="5B91AB1C">
      <w:pPr>
        <w:ind w:left="567" w:hanging="567"/>
      </w:pPr>
      <w:r w:rsidRPr="00DB7A1A">
        <w:rPr>
          <w:rStyle w:val="FootnoteReference"/>
        </w:rPr>
        <w:footnoteRef/>
      </w:r>
      <w:r w:rsidRPr="00DB7A1A">
        <w:t xml:space="preserve"> </w:t>
      </w:r>
      <w:r w:rsidRPr="00DB7A1A">
        <w:tab/>
      </w:r>
      <w:bookmarkStart w:id="7" w:name="_Hlk230006202"/>
      <w:r w:rsidRPr="00DB7A1A">
        <w:rPr>
          <w:lang w:val="it-IT"/>
        </w:rPr>
        <w:t>Din</w:t>
      </w:r>
      <w:r w:rsidRPr="00DB7A1A">
        <w:rPr>
          <w:lang w:val="it-IT"/>
        </w:rPr>
        <w:t xml:space="preserve"> il-</w:t>
      </w:r>
      <w:r w:rsidRPr="00DB7A1A">
        <w:rPr>
          <w:lang w:val="it-IT"/>
        </w:rPr>
        <w:t>pożizzjoni</w:t>
      </w:r>
      <w:r w:rsidRPr="00DB7A1A">
        <w:rPr>
          <w:lang w:val="it-IT"/>
        </w:rPr>
        <w:t xml:space="preserve"> </w:t>
      </w:r>
      <w:r w:rsidRPr="00DB7A1A">
        <w:t>tissostitwixxi</w:t>
      </w:r>
      <w:r w:rsidRPr="00DB7A1A">
        <w:rPr>
          <w:lang w:val="it-IT"/>
        </w:rPr>
        <w:t xml:space="preserve"> l-emendi adottati fid-9 ta’ Settembru 2025 (Testi adottati, P10_</w:t>
      </w:r>
      <w:r w:rsidRPr="00DB7A1A">
        <w:rPr>
          <w:lang w:val="it-IT"/>
        </w:rPr>
        <w:t>TA(</w:t>
      </w:r>
      <w:r w:rsidRPr="00DB7A1A">
        <w:rPr>
          <w:lang w:val="it-IT"/>
        </w:rPr>
        <w:t>2025)0168).</w:t>
      </w:r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6E0B29B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2B5DDA9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D0546" w14:paraId="7173445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2E17D8D"/>
    <w:multiLevelType w:val="hybridMultilevel"/>
    <w:tmpl w:val="32622064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>
    <w:nsid w:val="4D6971DE"/>
    <w:multiLevelType w:val="hybridMultilevel"/>
    <w:tmpl w:val="87E24F28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8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9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34762118">
    <w:abstractNumId w:val="2"/>
  </w:num>
  <w:num w:numId="2" w16cid:durableId="827944014">
    <w:abstractNumId w:val="13"/>
  </w:num>
  <w:num w:numId="3" w16cid:durableId="1371224461">
    <w:abstractNumId w:val="7"/>
  </w:num>
  <w:num w:numId="4" w16cid:durableId="1583297739">
    <w:abstractNumId w:val="19"/>
  </w:num>
  <w:num w:numId="5" w16cid:durableId="493028266">
    <w:abstractNumId w:val="23"/>
  </w:num>
  <w:num w:numId="6" w16cid:durableId="19748251">
    <w:abstractNumId w:val="22"/>
  </w:num>
  <w:num w:numId="7" w16cid:durableId="194975596">
    <w:abstractNumId w:val="39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20"/>
  </w:num>
  <w:num w:numId="12" w16cid:durableId="907809623">
    <w:abstractNumId w:val="9"/>
  </w:num>
  <w:num w:numId="13" w16cid:durableId="1276255905">
    <w:abstractNumId w:val="40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3"/>
  </w:num>
  <w:num w:numId="18" w16cid:durableId="850142578">
    <w:abstractNumId w:val="31"/>
  </w:num>
  <w:num w:numId="19" w16cid:durableId="9839530">
    <w:abstractNumId w:val="26"/>
  </w:num>
  <w:num w:numId="20" w16cid:durableId="1073358758">
    <w:abstractNumId w:val="36"/>
  </w:num>
  <w:num w:numId="21" w16cid:durableId="1326860946">
    <w:abstractNumId w:val="35"/>
  </w:num>
  <w:num w:numId="22" w16cid:durableId="1663196454">
    <w:abstractNumId w:val="37"/>
  </w:num>
  <w:num w:numId="23" w16cid:durableId="808937615">
    <w:abstractNumId w:val="6"/>
  </w:num>
  <w:num w:numId="24" w16cid:durableId="1685739777">
    <w:abstractNumId w:val="0"/>
  </w:num>
  <w:num w:numId="25" w16cid:durableId="166291639">
    <w:abstractNumId w:val="10"/>
  </w:num>
  <w:num w:numId="26" w16cid:durableId="1110391513">
    <w:abstractNumId w:val="18"/>
  </w:num>
  <w:num w:numId="27" w16cid:durableId="16202875">
    <w:abstractNumId w:val="29"/>
  </w:num>
  <w:num w:numId="28" w16cid:durableId="1719740644">
    <w:abstractNumId w:val="1"/>
  </w:num>
  <w:num w:numId="29" w16cid:durableId="1316641683">
    <w:abstractNumId w:val="30"/>
  </w:num>
  <w:num w:numId="30" w16cid:durableId="1918972586">
    <w:abstractNumId w:val="27"/>
  </w:num>
  <w:num w:numId="31" w16cid:durableId="1211957590">
    <w:abstractNumId w:val="3"/>
  </w:num>
  <w:num w:numId="32" w16cid:durableId="785852355">
    <w:abstractNumId w:val="34"/>
  </w:num>
  <w:num w:numId="33" w16cid:durableId="100343276">
    <w:abstractNumId w:val="38"/>
  </w:num>
  <w:num w:numId="34" w16cid:durableId="118036514">
    <w:abstractNumId w:val="24"/>
  </w:num>
  <w:num w:numId="35" w16cid:durableId="1709600658">
    <w:abstractNumId w:val="32"/>
  </w:num>
  <w:num w:numId="36" w16cid:durableId="1815443566">
    <w:abstractNumId w:val="28"/>
  </w:num>
  <w:num w:numId="37" w16cid:durableId="1817143773">
    <w:abstractNumId w:val="25"/>
  </w:num>
  <w:num w:numId="38" w16cid:durableId="914970275">
    <w:abstractNumId w:val="11"/>
  </w:num>
  <w:num w:numId="39" w16cid:durableId="571501031">
    <w:abstractNumId w:val="8"/>
  </w:num>
  <w:num w:numId="40" w16cid:durableId="338119511">
    <w:abstractNumId w:val="21"/>
  </w:num>
  <w:num w:numId="41" w16cid:durableId="183521977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02"/>
    <w:rsid w:val="00001C95"/>
    <w:rsid w:val="00002272"/>
    <w:rsid w:val="000131A4"/>
    <w:rsid w:val="00064002"/>
    <w:rsid w:val="000677B9"/>
    <w:rsid w:val="000831BA"/>
    <w:rsid w:val="000A42CC"/>
    <w:rsid w:val="000B05B8"/>
    <w:rsid w:val="000E7DD9"/>
    <w:rsid w:val="0010095E"/>
    <w:rsid w:val="00125B37"/>
    <w:rsid w:val="00131825"/>
    <w:rsid w:val="0014044E"/>
    <w:rsid w:val="00187494"/>
    <w:rsid w:val="001F32AE"/>
    <w:rsid w:val="002767FF"/>
    <w:rsid w:val="002800C0"/>
    <w:rsid w:val="0029750F"/>
    <w:rsid w:val="002B18FE"/>
    <w:rsid w:val="002B5493"/>
    <w:rsid w:val="002D0546"/>
    <w:rsid w:val="00343214"/>
    <w:rsid w:val="00361C00"/>
    <w:rsid w:val="00395FA1"/>
    <w:rsid w:val="003E15D4"/>
    <w:rsid w:val="00411CCE"/>
    <w:rsid w:val="0041666E"/>
    <w:rsid w:val="00421060"/>
    <w:rsid w:val="00442CDC"/>
    <w:rsid w:val="004564AB"/>
    <w:rsid w:val="00471C19"/>
    <w:rsid w:val="00477C2A"/>
    <w:rsid w:val="004867E3"/>
    <w:rsid w:val="00494A28"/>
    <w:rsid w:val="004A4D2C"/>
    <w:rsid w:val="004C0004"/>
    <w:rsid w:val="004C5D52"/>
    <w:rsid w:val="0050178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F3F"/>
    <w:rsid w:val="006F74FA"/>
    <w:rsid w:val="007151F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20A"/>
    <w:rsid w:val="00930C23"/>
    <w:rsid w:val="0093193B"/>
    <w:rsid w:val="00936502"/>
    <w:rsid w:val="009509D8"/>
    <w:rsid w:val="00950B64"/>
    <w:rsid w:val="00981893"/>
    <w:rsid w:val="009C43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A1A"/>
    <w:rsid w:val="00DC56E7"/>
    <w:rsid w:val="00DE14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566"/>
    <w:rsid w:val="00FB4360"/>
    <w:rsid w:val="00FD0C70"/>
  </w:rsids>
  <w:docVars>
    <w:docVar w:name="dvdocse" w:val="A10-0158/2025"/>
    <w:docVar w:name="dvlangue" w:val="MT"/>
    <w:docVar w:name="dvnumam" w:val="0"/>
    <w:docVar w:name="dvpe" w:val="768.004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ir-rekwiżiti taċ-ċirkolarità għad-disinn tal-vetturi u dwar il-ġestjoni ta’ vetturi li ma għadhomx jintużaw, li jemenda r-Regolamenti (UE) 2018/858 u 2019/1020 u li jħassar id-Direttivi 2000/53/KE u 2005/64/KE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7E6C82"/>
  <w15:chartTrackingRefBased/>
  <w15:docId w15:val="{00F6B4A1-12CC-4EC5-964E-DE7E2A0B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4044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44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44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44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44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44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44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44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44E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14044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04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4044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4044E"/>
    <w:pPr>
      <w:spacing w:after="120"/>
    </w:pPr>
  </w:style>
  <w:style w:type="paragraph" w:customStyle="1" w:styleId="PageHeading">
    <w:name w:val="PageHeading"/>
    <w:basedOn w:val="Normal"/>
    <w:rsid w:val="001404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4044E"/>
    <w:rPr>
      <w:b/>
    </w:rPr>
  </w:style>
  <w:style w:type="paragraph" w:customStyle="1" w:styleId="NormalBold12a">
    <w:name w:val="NormalBold12a"/>
    <w:basedOn w:val="Normal"/>
    <w:rsid w:val="0014044E"/>
    <w:pPr>
      <w:spacing w:after="240"/>
    </w:pPr>
    <w:rPr>
      <w:b/>
    </w:rPr>
  </w:style>
  <w:style w:type="paragraph" w:customStyle="1" w:styleId="AmJustText">
    <w:name w:val="AmJustText"/>
    <w:basedOn w:val="Normal"/>
    <w:rsid w:val="001404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4044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044E"/>
    <w:pPr>
      <w:spacing w:after="480"/>
      <w:ind w:left="1417"/>
    </w:pPr>
  </w:style>
  <w:style w:type="paragraph" w:customStyle="1" w:styleId="CoverNormal">
    <w:name w:val="CoverNormal"/>
    <w:basedOn w:val="Normal"/>
    <w:rsid w:val="0014044E"/>
    <w:pPr>
      <w:ind w:left="1418"/>
    </w:pPr>
  </w:style>
  <w:style w:type="paragraph" w:customStyle="1" w:styleId="AmCrossRef">
    <w:name w:val="AmCrossRef"/>
    <w:basedOn w:val="Normal"/>
    <w:rsid w:val="0014044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4044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4044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4044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4044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044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04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44E"/>
    <w:rPr>
      <w:sz w:val="24"/>
      <w:lang w:val="mt-MT"/>
    </w:rPr>
  </w:style>
  <w:style w:type="paragraph" w:customStyle="1" w:styleId="AmOrLang">
    <w:name w:val="AmOrLang"/>
    <w:basedOn w:val="Normal"/>
    <w:rsid w:val="001404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404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40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4044E"/>
    <w:pPr>
      <w:spacing w:before="240"/>
    </w:pPr>
    <w:rPr>
      <w:b/>
    </w:rPr>
  </w:style>
  <w:style w:type="paragraph" w:customStyle="1" w:styleId="EPBody">
    <w:name w:val="EPBody"/>
    <w:basedOn w:val="Normal"/>
    <w:rsid w:val="0014044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404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044E"/>
    <w:pPr>
      <w:spacing w:before="480" w:after="240"/>
    </w:pPr>
  </w:style>
  <w:style w:type="paragraph" w:customStyle="1" w:styleId="Lgendesigne">
    <w:name w:val="Légende signe"/>
    <w:basedOn w:val="Normal"/>
    <w:rsid w:val="0014044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4044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4044E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4044E"/>
    <w:rPr>
      <w:b/>
      <w:sz w:val="24"/>
      <w:lang w:val="mt-MT"/>
    </w:rPr>
  </w:style>
  <w:style w:type="paragraph" w:styleId="Footer">
    <w:name w:val="footer"/>
    <w:basedOn w:val="Normal"/>
    <w:link w:val="FooterChar"/>
    <w:uiPriority w:val="99"/>
    <w:rsid w:val="001404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44E"/>
    <w:rPr>
      <w:sz w:val="24"/>
      <w:lang w:val="mt-MT"/>
    </w:rPr>
  </w:style>
  <w:style w:type="character" w:customStyle="1" w:styleId="FooterChar1">
    <w:name w:val="Footer Char1"/>
    <w:basedOn w:val="DefaultParagraphFont"/>
    <w:uiPriority w:val="99"/>
    <w:rsid w:val="0014044E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14044E"/>
    <w:rPr>
      <w:noProof/>
      <w:sz w:val="24"/>
    </w:rPr>
  </w:style>
  <w:style w:type="paragraph" w:customStyle="1" w:styleId="Normal12">
    <w:name w:val="Normal12"/>
    <w:basedOn w:val="Normal"/>
    <w:link w:val="Normal12Char"/>
    <w:rsid w:val="0014044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4044E"/>
    <w:rPr>
      <w:sz w:val="24"/>
    </w:rPr>
  </w:style>
  <w:style w:type="paragraph" w:customStyle="1" w:styleId="Normal6">
    <w:name w:val="Normal6"/>
    <w:basedOn w:val="Normal"/>
    <w:link w:val="Normal6Char"/>
    <w:rsid w:val="0014044E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14044E"/>
    <w:rPr>
      <w:i/>
    </w:rPr>
  </w:style>
  <w:style w:type="paragraph" w:customStyle="1" w:styleId="EntPE">
    <w:name w:val="EntPE"/>
    <w:basedOn w:val="Normal12"/>
    <w:rsid w:val="0014044E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14044E"/>
    <w:pPr>
      <w:spacing w:after="480"/>
    </w:pPr>
  </w:style>
  <w:style w:type="paragraph" w:customStyle="1" w:styleId="NormalBoldCenter">
    <w:name w:val="NormalBoldCenter"/>
    <w:basedOn w:val="Normal"/>
    <w:rsid w:val="0014044E"/>
    <w:pPr>
      <w:jc w:val="center"/>
    </w:pPr>
    <w:rPr>
      <w:b/>
    </w:rPr>
  </w:style>
  <w:style w:type="paragraph" w:customStyle="1" w:styleId="Footprint12b">
    <w:name w:val="Footprint12b"/>
    <w:basedOn w:val="Normal"/>
    <w:rsid w:val="0014044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4044E"/>
    <w:rPr>
      <w:szCs w:val="24"/>
    </w:rPr>
  </w:style>
  <w:style w:type="paragraph" w:customStyle="1" w:styleId="AMNumberTabs0">
    <w:name w:val="AMNumberTabs"/>
    <w:basedOn w:val="Normal"/>
    <w:rsid w:val="00140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4044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4044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4044E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1404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044E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1404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4044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44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404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044E"/>
    <w:rPr>
      <w:b/>
      <w:bCs/>
      <w:lang w:val="mt-MT"/>
    </w:rPr>
  </w:style>
  <w:style w:type="paragraph" w:styleId="Revision">
    <w:name w:val="Revision"/>
    <w:hidden/>
    <w:uiPriority w:val="99"/>
    <w:semiHidden/>
    <w:rsid w:val="0014044E"/>
    <w:rPr>
      <w:sz w:val="24"/>
      <w:lang w:val="mt-MT"/>
    </w:rPr>
  </w:style>
  <w:style w:type="paragraph" w:styleId="Index1">
    <w:name w:val="index 1"/>
    <w:basedOn w:val="Normal"/>
    <w:next w:val="Normal"/>
    <w:autoRedefine/>
    <w:rsid w:val="0014044E"/>
    <w:pPr>
      <w:ind w:left="240" w:hanging="240"/>
    </w:pPr>
  </w:style>
  <w:style w:type="paragraph" w:styleId="IndexHeading">
    <w:name w:val="index heading"/>
    <w:basedOn w:val="Normal"/>
    <w:next w:val="Index1"/>
    <w:rsid w:val="0014044E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rsid w:val="0014044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4044E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14044E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14044E"/>
  </w:style>
  <w:style w:type="character" w:styleId="FollowedHyperlink">
    <w:name w:val="FollowedHyperlink"/>
    <w:basedOn w:val="DefaultParagraphFont"/>
    <w:uiPriority w:val="99"/>
    <w:unhideWhenUsed/>
    <w:rsid w:val="0014044E"/>
    <w:rPr>
      <w:color w:val="954F72" w:themeColor="followed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14044E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14044E"/>
    <w:rPr>
      <w:b/>
      <w:sz w:val="24"/>
      <w:lang w:val="mt-MT"/>
    </w:rPr>
  </w:style>
  <w:style w:type="paragraph" w:customStyle="1" w:styleId="Normal12a">
    <w:name w:val="Normal12a"/>
    <w:basedOn w:val="Normal"/>
    <w:rsid w:val="0014044E"/>
    <w:pPr>
      <w:spacing w:after="240"/>
    </w:pPr>
  </w:style>
  <w:style w:type="paragraph" w:customStyle="1" w:styleId="PageHeadingNotTOC">
    <w:name w:val="PageHeadingNotTOC"/>
    <w:basedOn w:val="Normal"/>
    <w:rsid w:val="001404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4044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4044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4044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4044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4044E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14044E"/>
    <w:pPr>
      <w:ind w:left="1417"/>
    </w:pPr>
    <w:rPr>
      <w:b/>
    </w:rPr>
  </w:style>
  <w:style w:type="character" w:styleId="Strong">
    <w:name w:val="Strong"/>
    <w:basedOn w:val="DefaultParagraphFont"/>
    <w:uiPriority w:val="22"/>
    <w:qFormat/>
    <w:rsid w:val="0014044E"/>
    <w:rPr>
      <w:b/>
      <w:bCs/>
    </w:rPr>
  </w:style>
  <w:style w:type="character" w:customStyle="1" w:styleId="SupBoldItalic">
    <w:name w:val="SupBoldItalic"/>
    <w:uiPriority w:val="1"/>
    <w:qFormat/>
    <w:rsid w:val="0014044E"/>
    <w:rPr>
      <w:b/>
      <w:bCs w:val="0"/>
      <w:i/>
      <w:iCs w:val="0"/>
      <w:vertAlign w:val="superscript"/>
    </w:rPr>
  </w:style>
  <w:style w:type="paragraph" w:customStyle="1" w:styleId="Footer2">
    <w:name w:val="Footer2"/>
    <w:basedOn w:val="Normal12"/>
    <w:rsid w:val="0014044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4044E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4044E"/>
    <w:rPr>
      <w:rFonts w:ascii="Arial" w:hAnsi="Arial" w:eastAsiaTheme="majorEastAsia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44E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4044E"/>
    <w:rPr>
      <w:rFonts w:ascii="Arial" w:hAnsi="Arial" w:eastAsiaTheme="majorEastAsia" w:cs="Arial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14044E"/>
    <w:rPr>
      <w:rFonts w:asciiTheme="minorHAnsi" w:hAnsiTheme="minorHAnsi" w:cs="Times New Roman"/>
      <w:b/>
      <w:i/>
      <w:iCs/>
    </w:rPr>
  </w:style>
  <w:style w:type="paragraph" w:styleId="NoSpacing">
    <w:name w:val="No Spacing"/>
    <w:basedOn w:val="Normal"/>
    <w:uiPriority w:val="1"/>
    <w:qFormat/>
    <w:rsid w:val="0014044E"/>
    <w:pPr>
      <w:widowControl/>
      <w:jc w:val="both"/>
    </w:pPr>
    <w:rPr>
      <w:szCs w:val="32"/>
      <w:lang w:eastAsia="en-US"/>
    </w:rPr>
  </w:style>
  <w:style w:type="paragraph" w:styleId="ListParagraph">
    <w:name w:val="List Paragraph"/>
    <w:aliases w:val="1st level - Bullet List Paragraph,Dot pt,FooterText,Ha,Heading 2_sj,L,Lettre d'introduction,List Paragraph Char Char Char,List Paragraph1,Medium Grid 1 - Accent 21,No Spacing1,Numbered Para 1,Paragrafo elenco,Paragraphe de liste1,lp1"/>
    <w:basedOn w:val="Normal"/>
    <w:link w:val="ListParagraphChar"/>
    <w:uiPriority w:val="34"/>
    <w:qFormat/>
    <w:rsid w:val="0014044E"/>
    <w:pPr>
      <w:widowControl/>
      <w:ind w:left="720"/>
      <w:contextualSpacing/>
      <w:jc w:val="both"/>
    </w:pPr>
    <w:rPr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4044E"/>
    <w:pPr>
      <w:widowControl/>
      <w:jc w:val="both"/>
    </w:pPr>
    <w:rPr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4044E"/>
    <w:rPr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44E"/>
    <w:pPr>
      <w:widowControl/>
      <w:ind w:left="720" w:right="720"/>
      <w:jc w:val="both"/>
    </w:pPr>
    <w:rPr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44E"/>
    <w:rPr>
      <w:b/>
      <w:i/>
      <w:sz w:val="24"/>
      <w:szCs w:val="22"/>
      <w:lang w:val="mt-MT" w:eastAsia="en-US"/>
    </w:rPr>
  </w:style>
  <w:style w:type="character" w:styleId="SubtleEmphasis">
    <w:name w:val="Subtle Emphasis"/>
    <w:basedOn w:val="DefaultParagraphFont"/>
    <w:uiPriority w:val="19"/>
    <w:qFormat/>
    <w:rsid w:val="0014044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4044E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4044E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4044E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4044E"/>
    <w:rPr>
      <w:rFonts w:asciiTheme="majorHAnsi" w:eastAsiaTheme="majorEastAsia" w:hAnsiTheme="majorHAnsi" w:cs="Times New Roman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0020A"/>
  </w:style>
  <w:style w:type="paragraph" w:styleId="TOC4">
    <w:name w:val="toc 4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0020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0020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0020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0020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0020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0020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0020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0020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0020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90020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90020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0020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0020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0020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0020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0020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0020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0020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0020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0020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0020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0020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0020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0020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0020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0020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0020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0020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0020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0020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0020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0020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0020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0020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0020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0020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0020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0020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0020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0020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0020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0020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0020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0020A"/>
    <w:pPr>
      <w:widowControl/>
      <w:numPr>
        <w:numId w:val="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0020A"/>
    <w:pPr>
      <w:widowControl/>
      <w:numPr>
        <w:numId w:val="4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0020A"/>
    <w:pPr>
      <w:widowControl/>
      <w:numPr>
        <w:numId w:val="5"/>
      </w:numPr>
      <w:tabs>
        <w:tab w:val="num" w:pos="643"/>
        <w:tab w:val="clear" w:pos="1984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0020A"/>
    <w:pPr>
      <w:widowControl/>
      <w:numPr>
        <w:numId w:val="6"/>
      </w:numPr>
      <w:tabs>
        <w:tab w:val="num" w:pos="643"/>
        <w:tab w:val="clear" w:pos="2551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0020A"/>
    <w:pPr>
      <w:widowControl/>
      <w:numPr>
        <w:numId w:val="7"/>
      </w:numPr>
      <w:tabs>
        <w:tab w:val="num" w:pos="926"/>
        <w:tab w:val="clear" w:pos="311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0020A"/>
    <w:pPr>
      <w:widowControl/>
      <w:numPr>
        <w:numId w:val="8"/>
      </w:numPr>
      <w:tabs>
        <w:tab w:val="num" w:pos="926"/>
        <w:tab w:val="clear" w:pos="368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0020A"/>
    <w:pPr>
      <w:widowControl/>
      <w:numPr>
        <w:numId w:val="9"/>
      </w:numPr>
      <w:tabs>
        <w:tab w:val="num" w:pos="1209"/>
        <w:tab w:val="clear" w:pos="4252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0020A"/>
    <w:pPr>
      <w:widowControl/>
      <w:numPr>
        <w:numId w:val="10"/>
      </w:numPr>
      <w:tabs>
        <w:tab w:val="num" w:pos="1209"/>
        <w:tab w:val="clear" w:pos="481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0020A"/>
    <w:pPr>
      <w:widowControl/>
      <w:numPr>
        <w:numId w:val="11"/>
      </w:numPr>
      <w:tabs>
        <w:tab w:val="num" w:pos="1492"/>
        <w:tab w:val="clear" w:pos="5386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0020A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0020A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0020A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0020A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0020A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0020A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0020A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0020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0020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0020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0020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0020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0020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0020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0020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0020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0020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0020A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0020A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0020A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0020A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0020A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0020A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0020A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0020A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0020A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0020A"/>
    <w:pPr>
      <w:widowControl/>
      <w:numPr>
        <w:numId w:val="14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0020A"/>
    <w:pPr>
      <w:widowControl/>
      <w:numPr>
        <w:numId w:val="15"/>
      </w:numPr>
      <w:tabs>
        <w:tab w:val="num" w:pos="643"/>
        <w:tab w:val="clear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0020A"/>
    <w:pPr>
      <w:widowControl/>
      <w:numPr>
        <w:numId w:val="16"/>
      </w:numPr>
      <w:tabs>
        <w:tab w:val="num" w:pos="926"/>
        <w:tab w:val="clear" w:pos="198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0020A"/>
    <w:pPr>
      <w:widowControl/>
      <w:numPr>
        <w:numId w:val="17"/>
      </w:numPr>
      <w:tabs>
        <w:tab w:val="num" w:pos="926"/>
        <w:tab w:val="clear" w:pos="255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0020A"/>
    <w:pPr>
      <w:widowControl/>
      <w:numPr>
        <w:numId w:val="18"/>
      </w:numPr>
      <w:tabs>
        <w:tab w:val="num" w:pos="1209"/>
        <w:tab w:val="clear" w:pos="3118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0020A"/>
    <w:pPr>
      <w:widowControl/>
      <w:numPr>
        <w:numId w:val="19"/>
      </w:numPr>
      <w:tabs>
        <w:tab w:val="num" w:pos="1209"/>
        <w:tab w:val="clear" w:pos="3685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0020A"/>
    <w:pPr>
      <w:widowControl/>
      <w:numPr>
        <w:numId w:val="20"/>
      </w:numPr>
      <w:tabs>
        <w:tab w:val="num" w:pos="1492"/>
        <w:tab w:val="clear" w:pos="425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0020A"/>
    <w:pPr>
      <w:widowControl/>
      <w:numPr>
        <w:numId w:val="21"/>
      </w:numPr>
      <w:tabs>
        <w:tab w:val="num" w:pos="1492"/>
        <w:tab w:val="clear" w:pos="4819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0020A"/>
    <w:pPr>
      <w:widowControl/>
      <w:numPr>
        <w:numId w:val="22"/>
      </w:numPr>
      <w:tabs>
        <w:tab w:val="num" w:pos="360"/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0020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0020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0020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0020A"/>
    <w:pPr>
      <w:widowControl/>
      <w:numPr>
        <w:numId w:val="23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0020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0020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0020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0020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0020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0020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0020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0020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0020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0020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0020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0020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0020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0020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0020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0020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0020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0020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0020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0020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0020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0020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0020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0020A"/>
    <w:pPr>
      <w:spacing w:before="240"/>
    </w:pPr>
  </w:style>
  <w:style w:type="paragraph" w:customStyle="1" w:styleId="Accordtitre">
    <w:name w:val="Accord titre"/>
    <w:basedOn w:val="Normal"/>
    <w:rsid w:val="0090020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0020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0020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0020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0020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0020A"/>
    <w:pPr>
      <w:spacing w:after="240"/>
    </w:pPr>
  </w:style>
  <w:style w:type="paragraph" w:customStyle="1" w:styleId="Annexetitre">
    <w:name w:val="Annexe titre"/>
    <w:basedOn w:val="Normal"/>
    <w:next w:val="Normal"/>
    <w:rsid w:val="0090020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0020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0020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0020A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90020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0020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0020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0020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0020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0020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0020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0020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0020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0020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0020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0020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0020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0020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0020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0020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0020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0020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0020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0020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0020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0020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0020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0020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0020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0020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0020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90020A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90020A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90020A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90020A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90020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90020A"/>
    <w:rPr>
      <w:rFonts w:ascii="Arial" w:hAnsi="Arial" w:cs="Arial"/>
      <w:b/>
      <w:sz w:val="36"/>
      <w:szCs w:val="36"/>
      <w:u w:color="606060"/>
      <w:lang w:val="mt-MT" w:eastAsia="en-US"/>
    </w:rPr>
  </w:style>
  <w:style w:type="paragraph" w:customStyle="1" w:styleId="TBSubjectTable">
    <w:name w:val="TBSubjectTable"/>
    <w:basedOn w:val="TechnicalBlockBase"/>
    <w:rsid w:val="0090020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0020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0020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0020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character" w:customStyle="1" w:styleId="TechnicalBlockBaseChar">
    <w:name w:val="TechnicalBlockBase Char"/>
    <w:basedOn w:val="EntEUChar"/>
    <w:link w:val="TechnicalBlockBase"/>
    <w:rsid w:val="0090020A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90020A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uiPriority w:val="99"/>
    <w:rsid w:val="0090020A"/>
    <w:rPr>
      <w:rFonts w:ascii="Arial" w:hAnsi="Arial" w:cs="Arial"/>
      <w:b/>
      <w:sz w:val="2"/>
      <w:szCs w:val="24"/>
      <w:u w:color="606060"/>
      <w:lang w:val="mt-MT" w:eastAsia="en-US"/>
    </w:rPr>
  </w:style>
  <w:style w:type="paragraph" w:customStyle="1" w:styleId="FooterText0">
    <w:name w:val="Footer Text"/>
    <w:basedOn w:val="Normal"/>
    <w:rsid w:val="0090020A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0020A"/>
    <w:rPr>
      <w:color w:val="808080"/>
    </w:rPr>
  </w:style>
  <w:style w:type="character" w:customStyle="1" w:styleId="EntReferChar">
    <w:name w:val="EntRefer Char"/>
    <w:basedOn w:val="DefaultParagraphFont"/>
    <w:link w:val="TBEntRefer"/>
    <w:rsid w:val="0090020A"/>
    <w:rPr>
      <w:rFonts w:ascii="Arial" w:hAnsi="Arial" w:cs="Arial"/>
      <w:b/>
      <w:sz w:val="23"/>
      <w:szCs w:val="23"/>
      <w:u w:color="606060"/>
      <w:lang w:val="mt-MT" w:eastAsia="en-US"/>
    </w:rPr>
  </w:style>
  <w:style w:type="paragraph" w:customStyle="1" w:styleId="TBDistrbMarkers">
    <w:name w:val="TBDistrbMarkers"/>
    <w:basedOn w:val="TBEntRefer"/>
    <w:qFormat/>
    <w:rsid w:val="0090020A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90020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90020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EntInstit">
    <w:name w:val="TBEntInstit"/>
    <w:basedOn w:val="TechnicalBlockBase"/>
    <w:link w:val="EntInstitChar"/>
    <w:rsid w:val="0090020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90020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90020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rsid w:val="0090020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InstitutionSubwordmark">
    <w:name w:val="TBInstitutionSubwordmark"/>
    <w:basedOn w:val="TechnicalBlockBase"/>
    <w:rsid w:val="0090020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90020A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DocumentGroup">
    <w:name w:val="TBDocumentGroup"/>
    <w:basedOn w:val="TechnicalBlockBase"/>
    <w:rsid w:val="0090020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90020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NormalJustified">
    <w:name w:val="Normal Justified"/>
    <w:basedOn w:val="Normal"/>
    <w:rsid w:val="0090020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0020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0020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0020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0020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0020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0020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0020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0020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0020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0020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0020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0020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0020A"/>
    <w:pPr>
      <w:widowControl/>
      <w:numPr>
        <w:ilvl w:val="1"/>
        <w:numId w:val="2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0020A"/>
    <w:pPr>
      <w:widowControl/>
      <w:numPr>
        <w:ilvl w:val="3"/>
        <w:numId w:val="24"/>
      </w:numPr>
      <w:tabs>
        <w:tab w:val="num" w:pos="926"/>
        <w:tab w:val="clear" w:pos="113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0020A"/>
    <w:pPr>
      <w:widowControl/>
      <w:numPr>
        <w:ilvl w:val="5"/>
        <w:numId w:val="24"/>
      </w:numPr>
      <w:tabs>
        <w:tab w:val="num" w:pos="926"/>
        <w:tab w:val="clear" w:pos="170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0020A"/>
    <w:pPr>
      <w:widowControl/>
      <w:numPr>
        <w:ilvl w:val="7"/>
        <w:numId w:val="24"/>
      </w:numPr>
      <w:tabs>
        <w:tab w:val="num" w:pos="926"/>
        <w:tab w:val="clear" w:pos="226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0020A"/>
    <w:pPr>
      <w:widowControl/>
      <w:numPr>
        <w:ilvl w:val="8"/>
        <w:numId w:val="24"/>
      </w:numPr>
      <w:tabs>
        <w:tab w:val="num" w:pos="926"/>
        <w:tab w:val="clear" w:pos="283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0020A"/>
    <w:pPr>
      <w:widowControl/>
      <w:numPr>
        <w:numId w:val="2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0020A"/>
    <w:pPr>
      <w:widowControl/>
      <w:numPr>
        <w:ilvl w:val="2"/>
        <w:numId w:val="24"/>
      </w:numPr>
      <w:tabs>
        <w:tab w:val="num" w:pos="926"/>
        <w:tab w:val="clear" w:pos="113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0020A"/>
    <w:pPr>
      <w:widowControl/>
      <w:numPr>
        <w:ilvl w:val="4"/>
        <w:numId w:val="24"/>
      </w:numPr>
      <w:tabs>
        <w:tab w:val="num" w:pos="926"/>
        <w:tab w:val="clear" w:pos="170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0020A"/>
    <w:pPr>
      <w:widowControl/>
      <w:numPr>
        <w:ilvl w:val="6"/>
        <w:numId w:val="24"/>
      </w:numPr>
      <w:tabs>
        <w:tab w:val="num" w:pos="926"/>
        <w:tab w:val="clear" w:pos="226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0020A"/>
    <w:pPr>
      <w:widowControl/>
      <w:numPr>
        <w:numId w:val="25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0020A"/>
    <w:pPr>
      <w:widowControl/>
      <w:numPr>
        <w:ilvl w:val="1"/>
        <w:numId w:val="25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0020A"/>
    <w:pPr>
      <w:widowControl/>
      <w:numPr>
        <w:ilvl w:val="2"/>
        <w:numId w:val="25"/>
      </w:numPr>
      <w:tabs>
        <w:tab w:val="num" w:pos="1209"/>
        <w:tab w:val="clear" w:pos="1701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0020A"/>
    <w:pPr>
      <w:widowControl/>
      <w:numPr>
        <w:ilvl w:val="3"/>
        <w:numId w:val="25"/>
      </w:numPr>
      <w:tabs>
        <w:tab w:val="num" w:pos="1209"/>
        <w:tab w:val="clear" w:pos="2268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0020A"/>
    <w:pPr>
      <w:widowControl/>
      <w:numPr>
        <w:ilvl w:val="4"/>
        <w:numId w:val="25"/>
      </w:numPr>
      <w:tabs>
        <w:tab w:val="num" w:pos="1209"/>
        <w:tab w:val="clear" w:pos="2835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0020A"/>
    <w:pPr>
      <w:widowControl/>
      <w:numPr>
        <w:numId w:val="26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0020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0020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0020A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0020A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0020A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0020A"/>
    <w:pPr>
      <w:numPr>
        <w:numId w:val="32"/>
      </w:numPr>
      <w:tabs>
        <w:tab w:val="num" w:pos="360"/>
        <w:tab w:val="clear" w:pos="567"/>
      </w:tabs>
      <w:ind w:left="360" w:hanging="360"/>
    </w:pPr>
  </w:style>
  <w:style w:type="paragraph" w:customStyle="1" w:styleId="DashEqual1">
    <w:name w:val="Dash Equal 1"/>
    <w:basedOn w:val="Dash1"/>
    <w:rsid w:val="0090020A"/>
    <w:pPr>
      <w:numPr>
        <w:numId w:val="33"/>
      </w:numPr>
      <w:tabs>
        <w:tab w:val="num" w:pos="643"/>
        <w:tab w:val="clear" w:pos="1134"/>
      </w:tabs>
      <w:ind w:left="643" w:hanging="360"/>
    </w:pPr>
  </w:style>
  <w:style w:type="paragraph" w:customStyle="1" w:styleId="DashEqual2">
    <w:name w:val="Dash Equal 2"/>
    <w:basedOn w:val="Dash2"/>
    <w:rsid w:val="0090020A"/>
    <w:pPr>
      <w:numPr>
        <w:numId w:val="34"/>
      </w:numPr>
      <w:tabs>
        <w:tab w:val="num" w:pos="926"/>
        <w:tab w:val="clear" w:pos="1701"/>
      </w:tabs>
      <w:ind w:left="926" w:hanging="360"/>
    </w:pPr>
  </w:style>
  <w:style w:type="paragraph" w:customStyle="1" w:styleId="DashEqual3">
    <w:name w:val="Dash Equal 3"/>
    <w:basedOn w:val="Dash3"/>
    <w:rsid w:val="0090020A"/>
    <w:pPr>
      <w:numPr>
        <w:numId w:val="35"/>
      </w:numPr>
      <w:tabs>
        <w:tab w:val="num" w:pos="1209"/>
        <w:tab w:val="clear" w:pos="2268"/>
      </w:tabs>
      <w:ind w:left="1209" w:hanging="360"/>
    </w:pPr>
  </w:style>
  <w:style w:type="paragraph" w:customStyle="1" w:styleId="DashEqual4">
    <w:name w:val="Dash Equal 4"/>
    <w:basedOn w:val="Dash4"/>
    <w:rsid w:val="0090020A"/>
    <w:pPr>
      <w:numPr>
        <w:numId w:val="36"/>
      </w:numPr>
      <w:tabs>
        <w:tab w:val="num" w:pos="1492"/>
        <w:tab w:val="clear" w:pos="2835"/>
      </w:tabs>
      <w:ind w:left="1492" w:hanging="360"/>
    </w:pPr>
  </w:style>
  <w:style w:type="paragraph" w:customStyle="1" w:styleId="HeadingLeft">
    <w:name w:val="Heading Left"/>
    <w:basedOn w:val="Normal"/>
    <w:next w:val="Normal"/>
    <w:rsid w:val="0090020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0020A"/>
    <w:pPr>
      <w:numPr>
        <w:numId w:val="37"/>
      </w:numPr>
      <w:tabs>
        <w:tab w:val="num" w:pos="360"/>
        <w:tab w:val="clear" w:pos="567"/>
      </w:tabs>
      <w:ind w:left="360" w:hanging="360"/>
    </w:pPr>
  </w:style>
  <w:style w:type="paragraph" w:customStyle="1" w:styleId="Heading123">
    <w:name w:val="Heading 123"/>
    <w:basedOn w:val="HeadingLeft"/>
    <w:next w:val="Normal"/>
    <w:rsid w:val="0090020A"/>
    <w:pPr>
      <w:numPr>
        <w:numId w:val="38"/>
      </w:numPr>
      <w:tabs>
        <w:tab w:val="clear" w:pos="567"/>
        <w:tab w:val="num" w:pos="643"/>
      </w:tabs>
      <w:ind w:left="643" w:hanging="360"/>
    </w:pPr>
  </w:style>
  <w:style w:type="paragraph" w:customStyle="1" w:styleId="HeadingABC">
    <w:name w:val="Heading ABC"/>
    <w:basedOn w:val="HeadingLeft"/>
    <w:next w:val="Normal"/>
    <w:rsid w:val="0090020A"/>
    <w:pPr>
      <w:numPr>
        <w:numId w:val="39"/>
      </w:numPr>
      <w:tabs>
        <w:tab w:val="clear" w:pos="567"/>
        <w:tab w:val="num" w:pos="926"/>
      </w:tabs>
      <w:ind w:left="926" w:hanging="360"/>
    </w:pPr>
  </w:style>
  <w:style w:type="paragraph" w:customStyle="1" w:styleId="HeadingCentered">
    <w:name w:val="Heading Centered"/>
    <w:basedOn w:val="HeadingLeft"/>
    <w:next w:val="Normal"/>
    <w:rsid w:val="0090020A"/>
    <w:pPr>
      <w:jc w:val="center"/>
    </w:pPr>
  </w:style>
  <w:style w:type="paragraph" w:customStyle="1" w:styleId="Jardin">
    <w:name w:val="Jardin"/>
    <w:basedOn w:val="Normal"/>
    <w:rsid w:val="0090020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0020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0020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0020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0020A"/>
    <w:rPr>
      <w:b/>
    </w:rPr>
  </w:style>
  <w:style w:type="paragraph" w:customStyle="1" w:styleId="Annex">
    <w:name w:val="Annex"/>
    <w:basedOn w:val="Normal"/>
    <w:next w:val="Normal"/>
    <w:rsid w:val="0090020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0020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0020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0020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0020A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1st level - Bullet List Paragraph Char,Dot pt Char,FooterText Char,Ha Char,Heading 2_sj Char,L Char,Lettre d'introduction Char,List Paragraph Char Char Char Char,List Paragraph1 Char,Medium Grid 1 - Accent 21 Char,No Spacing1 Char"/>
    <w:link w:val="ListParagraph"/>
    <w:uiPriority w:val="34"/>
    <w:qFormat/>
    <w:rsid w:val="0090020A"/>
    <w:rPr>
      <w:sz w:val="24"/>
      <w:szCs w:val="24"/>
      <w:lang w:val="mt-MT" w:eastAsia="en-US"/>
    </w:rPr>
  </w:style>
  <w:style w:type="paragraph" w:customStyle="1" w:styleId="CommentQuotedText">
    <w:name w:val="CommentQuotedText"/>
    <w:rsid w:val="0090020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90020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0020A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90020A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020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020A"/>
    <w:pPr>
      <w:widowControl/>
    </w:pPr>
    <w:rPr>
      <w:rFonts w:ascii="Consolas" w:eastAsia="Calibri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020A"/>
    <w:rPr>
      <w:rFonts w:ascii="Consolas" w:eastAsia="Calibri" w:hAnsi="Consolas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3011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2026-09-01T09:29:00Z</dcterms:created>
  <dcterms:modified xsi:type="dcterms:W3CDTF">2026-09-01T09:29:00Z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