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1A1806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1B87" w:rsidP="0010095E" w14:paraId="30F8E175" w14:textId="77777777">
            <w:pPr>
              <w:pStyle w:val="EPName"/>
            </w:pPr>
            <w:r w:rsidRPr="00341B87">
              <w:t>Parlament Europejski</w:t>
            </w:r>
          </w:p>
          <w:p w:rsidR="00751A4A" w:rsidRPr="00341B87" w:rsidP="005F1B17" w14:paraId="56EE120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1B87">
              <w:t>2024</w:t>
            </w:r>
            <w:r w:rsidRPr="00341B87" w:rsidR="00817416">
              <w:t>-202</w:t>
            </w:r>
            <w:r w:rsidRPr="00341B8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41B87" w:rsidP="0010095E" w14:paraId="06359BAA" w14:textId="77777777">
            <w:pPr>
              <w:pStyle w:val="EPLogo"/>
            </w:pPr>
            <w:r w:rsidRPr="00341B8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1B87" w:rsidP="004C5D52" w14:paraId="3BC8D43A" w14:textId="77777777">
      <w:pPr>
        <w:pStyle w:val="LineTop"/>
      </w:pPr>
    </w:p>
    <w:p w:rsidR="00680577" w:rsidRPr="00341B87" w:rsidP="00680577" w14:paraId="22828DDD" w14:textId="77777777">
      <w:pPr>
        <w:pStyle w:val="EPBodyTA1"/>
      </w:pPr>
      <w:r w:rsidRPr="00341B87">
        <w:t>TEKSTY PRZYJĘTE</w:t>
      </w:r>
    </w:p>
    <w:p w:rsidR="00D058B8" w:rsidRPr="00341B87" w:rsidP="00D058B8" w14:paraId="05891421" w14:textId="77777777">
      <w:pPr>
        <w:pStyle w:val="LineBottom"/>
      </w:pPr>
    </w:p>
    <w:p w:rsidR="00702FA5" w:rsidRPr="00341B87" w:rsidP="00702FA5" w14:paraId="76D5FC58" w14:textId="1C03FECB">
      <w:pPr>
        <w:pStyle w:val="ATHeading1"/>
      </w:pPr>
      <w:bookmarkStart w:id="0" w:name="TANumber"/>
      <w:r w:rsidRPr="00341B87">
        <w:t>P10_TA(2026)0</w:t>
      </w:r>
      <w:bookmarkEnd w:id="0"/>
      <w:r w:rsidR="009D4279">
        <w:t>227</w:t>
      </w:r>
    </w:p>
    <w:p w:rsidR="00702FA5" w:rsidRPr="00227C9E" w:rsidP="00227C9E" w14:paraId="0A3EAB51" w14:textId="4C788226">
      <w:pPr>
        <w:pStyle w:val="ATHeading2"/>
      </w:pPr>
      <w:r w:rsidRPr="00227C9E">
        <w:rPr>
          <w:bCs/>
        </w:rPr>
        <w:t>Wymogi w zakresie obiegu zamkniętego w odniesieniu do projektowania pojazdów</w:t>
      </w:r>
      <w:r>
        <w:rPr>
          <w:bCs/>
        </w:rPr>
        <w:t xml:space="preserve"> </w:t>
      </w:r>
      <w:r w:rsidRPr="00227C9E">
        <w:rPr>
          <w:bCs/>
        </w:rPr>
        <w:t>oraz zarządzania pojazdami wycofanymi z eksploatacji</w:t>
      </w:r>
    </w:p>
    <w:p w:rsidR="00702FA5" w:rsidRPr="00341B87" w:rsidP="00702FA5" w14:paraId="213EF2E8" w14:textId="107215DE">
      <w:pPr>
        <w:rPr>
          <w:i/>
          <w:vanish/>
        </w:rPr>
      </w:pPr>
      <w:r>
        <w:rPr>
          <w:i/>
        </w:rPr>
        <w:fldChar w:fldCharType="begin"/>
      </w:r>
      <w:r w:rsidRPr="00341B87">
        <w:rPr>
          <w:i/>
        </w:rPr>
        <w:instrText xml:space="preserve"> TC"(</w:instrText>
      </w:r>
      <w:bookmarkStart w:id="1" w:name="DocNumber"/>
      <w:r w:rsidRPr="00341B87">
        <w:rPr>
          <w:i/>
        </w:rPr>
        <w:instrText>A10-0158/2025</w:instrText>
      </w:r>
      <w:bookmarkEnd w:id="1"/>
      <w:r w:rsidRPr="00341B87">
        <w:rPr>
          <w:i/>
        </w:rPr>
        <w:instrText xml:space="preserve"> - Sprawozdawc</w:instrText>
      </w:r>
      <w:r w:rsidR="00227C9E">
        <w:rPr>
          <w:i/>
        </w:rPr>
        <w:instrText>y</w:instrText>
      </w:r>
      <w:r w:rsidRPr="00341B87">
        <w:rPr>
          <w:i/>
        </w:rPr>
        <w:instrText xml:space="preserve">: </w:instrText>
      </w:r>
      <w:r w:rsidRPr="00341B87">
        <w:rPr>
          <w:i/>
        </w:rPr>
        <w:instrText>Jens</w:instrText>
      </w:r>
      <w:r w:rsidRPr="00341B87">
        <w:rPr>
          <w:i/>
        </w:rPr>
        <w:instrText xml:space="preserve"> </w:instrText>
      </w:r>
      <w:r w:rsidRPr="00341B87">
        <w:rPr>
          <w:i/>
        </w:rPr>
        <w:instrText>Gieseke</w:instrText>
      </w:r>
      <w:r w:rsidRPr="00341B87">
        <w:rPr>
          <w:i/>
        </w:rPr>
        <w:instrText xml:space="preserve">; </w:instrText>
      </w:r>
      <w:r w:rsidRPr="00341B87">
        <w:rPr>
          <w:i/>
        </w:rPr>
        <w:instrText>Paulius</w:instrText>
      </w:r>
      <w:r w:rsidRPr="00341B87">
        <w:rPr>
          <w:i/>
        </w:rPr>
        <w:instrText xml:space="preserve"> </w:instrText>
      </w:r>
      <w:r w:rsidRPr="00341B87">
        <w:rPr>
          <w:i/>
        </w:rPr>
        <w:instrText>Saudargas</w:instrText>
      </w:r>
      <w:r w:rsidRPr="00341B8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02FA5" w:rsidRPr="00341B87" w:rsidP="00702FA5" w14:paraId="06F975C4" w14:textId="77777777">
      <w:pPr>
        <w:rPr>
          <w:vanish/>
        </w:rPr>
      </w:pPr>
      <w:bookmarkStart w:id="2" w:name="Commission"/>
      <w:r w:rsidRPr="00341B87">
        <w:rPr>
          <w:vanish/>
        </w:rPr>
        <w:t>Komisja Ochrony Środowiska Naturalnego, Klimatu i Bezpieczeństwa Żywności, Komisja Rynku Wewnętrznego i Ochrony Konsumentów</w:t>
      </w:r>
      <w:bookmarkEnd w:id="2"/>
    </w:p>
    <w:p w:rsidR="00702FA5" w:rsidRPr="00341B87" w:rsidP="00702FA5" w14:paraId="2B279E9F" w14:textId="77777777">
      <w:pPr>
        <w:rPr>
          <w:vanish/>
        </w:rPr>
      </w:pPr>
      <w:bookmarkStart w:id="3" w:name="PE"/>
      <w:r w:rsidRPr="00341B87">
        <w:rPr>
          <w:vanish/>
        </w:rPr>
        <w:t>PE768.004</w:t>
      </w:r>
      <w:bookmarkEnd w:id="3"/>
    </w:p>
    <w:p w:rsidR="00702FA5" w:rsidRPr="00341B87" w:rsidP="00702FA5" w14:paraId="29FCF901" w14:textId="076D8BA6">
      <w:pPr>
        <w:pStyle w:val="ATHeading3"/>
      </w:pPr>
      <w:bookmarkStart w:id="4" w:name="Sujet"/>
      <w:r w:rsidRPr="00341B87">
        <w:t xml:space="preserve">Rezolucja ustawodawcza Parlamentu Europejskiego z dnia </w:t>
      </w:r>
      <w:r w:rsidR="00227C9E">
        <w:t>18</w:t>
      </w:r>
      <w:r w:rsidR="007E49D8">
        <w:t xml:space="preserve"> czerwca</w:t>
      </w:r>
      <w:r w:rsidRPr="00341B87">
        <w:t xml:space="preserve"> 2026 r. w sprawie wniosku dotyczącego rozporządzenia Parlamentu Europejskiego i Rady </w:t>
      </w:r>
      <w:bookmarkEnd w:id="4"/>
      <w:r w:rsidRPr="007118ED" w:rsidR="003A715A">
        <w:t>w sprawie wymogów w zakresie obiegu zamkniętego w odniesieniu do projektowania pojazdów oraz zarządzania pojazdami wycofanymi z eksploatacji, zmieniające rozporządzenia (UE) 2018/858 i 2019/1020 oraz uchylające dyrektywy 2000/53/WE i 2005/64/WE</w:t>
      </w:r>
      <w:r w:rsidRPr="00341B87">
        <w:t xml:space="preserve"> </w:t>
      </w:r>
      <w:bookmarkStart w:id="5" w:name="References"/>
      <w:r w:rsidRPr="00341B87">
        <w:t>(COM(2023)0451 – C9-0308/2023 – 2023/0284(COD))</w:t>
      </w:r>
      <w:bookmarkEnd w:id="5"/>
    </w:p>
    <w:p w:rsidR="00A677E4" w:rsidRPr="00341B87" w:rsidP="00A677E4" w14:paraId="390936E2" w14:textId="77777777">
      <w:pPr>
        <w:pStyle w:val="NormalBold"/>
      </w:pPr>
      <w:r w:rsidRPr="00341B87">
        <w:t>(Zwykła procedura ustawodawcza: pierwsze czytanie)</w:t>
      </w:r>
    </w:p>
    <w:p w:rsidR="00A677E4" w:rsidRPr="00341B87" w:rsidP="00A677E4" w14:paraId="318B4409" w14:textId="77777777">
      <w:pPr>
        <w:pStyle w:val="EPComma"/>
      </w:pPr>
      <w:r w:rsidRPr="00341B87">
        <w:rPr>
          <w:i/>
        </w:rPr>
        <w:t>Parlament Europejski</w:t>
      </w:r>
      <w:r w:rsidRPr="00341B87">
        <w:t>,</w:t>
      </w:r>
    </w:p>
    <w:p w:rsidR="00A677E4" w:rsidRPr="00341B87" w:rsidP="00A677E4" w14:paraId="46BDCF22" w14:textId="77777777">
      <w:pPr>
        <w:pStyle w:val="NormalHanging12a"/>
      </w:pPr>
      <w:r w:rsidRPr="00341B87">
        <w:t>–</w:t>
      </w:r>
      <w:r w:rsidRPr="00341B87">
        <w:tab/>
        <w:t>uwzględniając wniosek Komisji przedstawiony Parlamentowi Europejskiemu i Radzie (COM(2023)0451),</w:t>
      </w:r>
    </w:p>
    <w:p w:rsidR="00A677E4" w:rsidP="00A677E4" w14:paraId="7AC0183A" w14:textId="77777777">
      <w:pPr>
        <w:pStyle w:val="NormalHanging12a"/>
      </w:pPr>
      <w:r w:rsidRPr="00341B87">
        <w:t>–</w:t>
      </w:r>
      <w:r w:rsidRPr="00341B87">
        <w:tab/>
        <w:t>uwzględniając art. 294 ust. 2 oraz art. 114 Traktatu o funkcjonowaniu Unii Europejskiej, zgodnie z którymi wniosek został przedstawiony Parlamentowi przez Komisję (C9-0308/2023),</w:t>
      </w:r>
    </w:p>
    <w:p w:rsidR="00227C9E" w:rsidRPr="00341B87" w:rsidP="00A677E4" w14:paraId="2156E57F" w14:textId="1BA2F37F">
      <w:pPr>
        <w:pStyle w:val="NormalHanging12a"/>
      </w:pPr>
      <w:r w:rsidRPr="007D3C95">
        <w:t>–</w:t>
      </w:r>
      <w:r w:rsidRPr="007D3C95">
        <w:tab/>
        <w:t xml:space="preserve">uwzględniając </w:t>
      </w:r>
      <w:r w:rsidRPr="00404504">
        <w:rPr>
          <w:szCs w:val="24"/>
        </w:rPr>
        <w:t xml:space="preserve">opinię </w:t>
      </w:r>
      <w:r w:rsidRPr="00DF4082">
        <w:rPr>
          <w:szCs w:val="24"/>
        </w:rPr>
        <w:t>Komisji Prawnej w sprawie proponowanej podstawy prawnej</w:t>
      </w:r>
      <w:r>
        <w:rPr>
          <w:szCs w:val="24"/>
        </w:rPr>
        <w:t>,</w:t>
      </w:r>
    </w:p>
    <w:p w:rsidR="00A677E4" w:rsidRPr="00341B87" w:rsidP="00A677E4" w14:paraId="366E50D9" w14:textId="00C1361E">
      <w:pPr>
        <w:pStyle w:val="NormalHanging12a"/>
      </w:pPr>
      <w:r w:rsidRPr="00341B87">
        <w:t>–</w:t>
      </w:r>
      <w:r w:rsidRPr="00341B87">
        <w:tab/>
        <w:t xml:space="preserve">uwzględniając art. 294 ust. 3 </w:t>
      </w:r>
      <w:r w:rsidR="00227C9E">
        <w:t xml:space="preserve">oraz art. 114 i art. 192 ust. 1 </w:t>
      </w:r>
      <w:r w:rsidRPr="00341B87">
        <w:t>Traktatu o funkcjonowaniu Unii Europejskiej,</w:t>
      </w:r>
    </w:p>
    <w:p w:rsidR="00A677E4" w:rsidP="00A677E4" w14:paraId="41205E56" w14:textId="29AD2667">
      <w:pPr>
        <w:pStyle w:val="NormalHanging12a"/>
      </w:pPr>
      <w:r w:rsidRPr="00341B87">
        <w:t>–</w:t>
      </w:r>
      <w:r w:rsidR="007E49D8">
        <w:tab/>
      </w:r>
      <w:r w:rsidRPr="00341B87">
        <w:t>uwzględniając opinię Europejskiego Komitetu Ekonomiczno-Społecznego z dnia 14 grudnia 2023 r.</w:t>
      </w:r>
      <w:r>
        <w:rPr>
          <w:rStyle w:val="FootnoteReference"/>
        </w:rPr>
        <w:footnoteReference w:id="2"/>
      </w:r>
      <w:r w:rsidRPr="00341B87">
        <w:t>,</w:t>
      </w:r>
    </w:p>
    <w:p w:rsidR="00227C9E" w:rsidP="00A677E4" w14:paraId="437BCC22" w14:textId="5DAE5EDD">
      <w:pPr>
        <w:pStyle w:val="NormalHanging12a"/>
        <w:rPr>
          <w:szCs w:val="24"/>
        </w:rPr>
      </w:pPr>
      <w:r w:rsidRPr="00AE5A43">
        <w:rPr>
          <w:szCs w:val="24"/>
        </w:rPr>
        <w:t>–</w:t>
      </w:r>
      <w:r>
        <w:rPr>
          <w:szCs w:val="24"/>
        </w:rPr>
        <w:t xml:space="preserve"> </w:t>
      </w:r>
      <w:r>
        <w:rPr>
          <w:szCs w:val="24"/>
        </w:rPr>
        <w:tab/>
        <w:t>po konsultacji z Komitetem Regionów,</w:t>
      </w:r>
    </w:p>
    <w:p w:rsidR="00227C9E" w:rsidRPr="00341B87" w:rsidP="00A677E4" w14:paraId="2EC78957" w14:textId="28CD70E0">
      <w:pPr>
        <w:pStyle w:val="NormalHanging12a"/>
      </w:pPr>
      <w:bookmarkStart w:id="6" w:name="_Hlk211842926"/>
      <w:r w:rsidRPr="0090212C">
        <w:t>–</w:t>
      </w:r>
      <w:r w:rsidRPr="0090212C">
        <w:tab/>
        <w:t>uwzględniając wstępne porozumienie zatwierdzone przez komisj</w:t>
      </w:r>
      <w:r>
        <w:t>e</w:t>
      </w:r>
      <w:r w:rsidRPr="0090212C">
        <w:t xml:space="preserve"> </w:t>
      </w:r>
      <w:r>
        <w:t>przedmiotowo właściwe na podstawie art. 75</w:t>
      </w:r>
      <w:r w:rsidRPr="0090212C">
        <w:t xml:space="preserve"> ust. 4 Regulaminu oraz </w:t>
      </w:r>
      <w:r>
        <w:t>przekazane pismem z dnia 25 lutego 2026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</w:t>
      </w:r>
      <w:r w:rsidRPr="0090212C">
        <w:t>Parlament</w:t>
      </w:r>
      <w:r>
        <w:t>u</w:t>
      </w:r>
      <w:r w:rsidRPr="0090212C">
        <w:t>, zgodnie z art. 294 ust. 4 Traktatu o funkcjonowaniu Unii Europejskiej,</w:t>
      </w:r>
      <w:bookmarkEnd w:id="6"/>
    </w:p>
    <w:p w:rsidR="00A677E4" w:rsidP="00A677E4" w14:paraId="11CFEA5A" w14:textId="3FEB20D2">
      <w:pPr>
        <w:pStyle w:val="NormalHanging12a"/>
      </w:pPr>
      <w:r w:rsidRPr="00341B87">
        <w:t>–</w:t>
      </w:r>
      <w:r w:rsidRPr="00341B87">
        <w:tab/>
        <w:t xml:space="preserve">uwzględniając art. 60 </w:t>
      </w:r>
      <w:r w:rsidR="00227C9E">
        <w:t xml:space="preserve">i art. 41 </w:t>
      </w:r>
      <w:r w:rsidRPr="00341B87">
        <w:t>Regulaminu,</w:t>
      </w:r>
    </w:p>
    <w:p w:rsidR="00227C9E" w:rsidRPr="00341B87" w:rsidP="00A677E4" w14:paraId="50DF4F51" w14:textId="6B933188">
      <w:pPr>
        <w:pStyle w:val="NormalHanging12a"/>
      </w:pPr>
      <w:r w:rsidRPr="00554D02">
        <w:t>–</w:t>
      </w:r>
      <w:r w:rsidRPr="00554D02">
        <w:tab/>
        <w:t xml:space="preserve">uwzględniając wspólne posiedzenia Komisji </w:t>
      </w:r>
      <w:r w:rsidRPr="00942DFF">
        <w:t>Ochrony Środowiska Naturalnego, Klimatu i Bezpieczeństwa Żywności, Komisj</w:t>
      </w:r>
      <w:r>
        <w:t>i</w:t>
      </w:r>
      <w:r w:rsidRPr="00942DFF">
        <w:t xml:space="preserve"> Rynku Wewnętrznego i Ochrony Konsumentów</w:t>
      </w:r>
      <w:r w:rsidRPr="00554D02">
        <w:t xml:space="preserve"> zgodnie z art. 5</w:t>
      </w:r>
      <w:r>
        <w:t>9</w:t>
      </w:r>
      <w:r w:rsidRPr="00554D02">
        <w:t xml:space="preserve"> Regulaminu,</w:t>
      </w:r>
    </w:p>
    <w:p w:rsidR="00A677E4" w:rsidRPr="00341B87" w:rsidP="00A677E4" w14:paraId="705E41C1" w14:textId="77777777">
      <w:pPr>
        <w:pStyle w:val="NormalHanging12a"/>
      </w:pPr>
      <w:r w:rsidRPr="00341B87">
        <w:t>–</w:t>
      </w:r>
      <w:r w:rsidRPr="00341B87">
        <w:tab/>
        <w:t xml:space="preserve">uwzględniając opinię przedstawioną przez Komisję </w:t>
      </w:r>
      <w:r w:rsidRPr="00341B87">
        <w:rPr>
          <w:color w:val="000000"/>
        </w:rPr>
        <w:t>Transportu i Turystyki,</w:t>
      </w:r>
    </w:p>
    <w:p w:rsidR="00A677E4" w:rsidRPr="00341B87" w:rsidP="00A677E4" w14:paraId="6B0D78C1" w14:textId="77777777">
      <w:pPr>
        <w:pStyle w:val="NormalHanging12a"/>
      </w:pPr>
      <w:r w:rsidRPr="00341B87">
        <w:t>–</w:t>
      </w:r>
      <w:r w:rsidRPr="00341B87">
        <w:tab/>
        <w:t>uwzględniając sprawozdanie Komisji Ochrony Środowiska Naturalnego, Klimatu i Bezpieczeństwa Żywności oraz Komisji Rynku Wewnętrznego i Ochrony Konsumentów (A10-0158/2025),</w:t>
      </w:r>
    </w:p>
    <w:p w:rsidR="00A677E4" w:rsidRPr="00341B87" w:rsidP="00A677E4" w14:paraId="7EDE76D3" w14:textId="37D25BC3">
      <w:pPr>
        <w:pStyle w:val="NormalHanging12a"/>
      </w:pPr>
      <w:r w:rsidRPr="00341B87">
        <w:t>1.</w:t>
      </w:r>
      <w:r w:rsidRPr="00341B87">
        <w:tab/>
        <w:t>przyjmuje poniższe stanowisko w pierwszym czytaniu</w:t>
      </w:r>
      <w:r>
        <w:rPr>
          <w:rStyle w:val="FootnoteReference"/>
        </w:rPr>
        <w:footnoteReference w:id="3"/>
      </w:r>
      <w:r w:rsidRPr="00341B87">
        <w:t>;</w:t>
      </w:r>
    </w:p>
    <w:p w:rsidR="00A677E4" w:rsidRPr="00341B87" w:rsidP="00A677E4" w14:paraId="37818074" w14:textId="65E72D94">
      <w:pPr>
        <w:pStyle w:val="NormalHanging12a"/>
      </w:pPr>
      <w:r w:rsidRPr="00341B87">
        <w:t>2.</w:t>
      </w:r>
      <w:r w:rsidRPr="00341B87">
        <w:tab/>
      </w:r>
      <w:r w:rsidRPr="00B26394" w:rsidR="00227C9E">
        <w:t>zwraca się do Komisji o ponowne przekazanie mu sprawy, jeśli zastąpi ona pierwotny wniosek, wprowadzi w nim istotne zmiany lub planuje ich wprowadzenie</w:t>
      </w:r>
      <w:r w:rsidRPr="00341B87">
        <w:t>;</w:t>
      </w:r>
    </w:p>
    <w:p w:rsidR="00227C9E" w:rsidP="00A677E4" w14:paraId="77A57267" w14:textId="77777777">
      <w:pPr>
        <w:pStyle w:val="NormalHanging12a"/>
        <w:sectPr w:rsidSect="00341B8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41B87">
        <w:t>3.</w:t>
      </w:r>
      <w:r w:rsidRPr="00341B87">
        <w:tab/>
        <w:t>zobowiązuje swoją przewodniczącą do przekazania stanowiska Parlamentu Radzie i Komisji, a także parlamentom narodowym.</w:t>
      </w:r>
    </w:p>
    <w:p w:rsidR="006E3BD5" w:rsidP="006E3BD5" w14:paraId="30938A8E" w14:textId="69CB0250">
      <w:pPr>
        <w:spacing w:after="240"/>
        <w:rPr>
          <w:b/>
        </w:rPr>
      </w:pPr>
      <w:r>
        <w:rPr>
          <w:b/>
        </w:rPr>
        <w:t>P10_TC1-COD(2023)0284</w:t>
      </w:r>
    </w:p>
    <w:p w:rsidR="006E3BD5" w:rsidRPr="005233C9" w:rsidP="006E3BD5" w14:paraId="4366D387" w14:textId="17FE8787">
      <w:pPr>
        <w:rPr>
          <w:bCs/>
          <w:szCs w:val="24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18 czerwca 2026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2026/...</w:t>
      </w:r>
      <w:r w:rsidRPr="00741191">
        <w:rPr>
          <w:b/>
        </w:rPr>
        <w:t xml:space="preserve"> </w:t>
      </w:r>
      <w:r w:rsidRPr="006E3BD5">
        <w:rPr>
          <w:b/>
          <w:bCs/>
        </w:rPr>
        <w:t xml:space="preserve">w sprawie wymogów w zakresie obiegu zamkniętego w odniesieniu do projektowania pojazdów oraz gospodarowania pojazdami wycofanymi z eksploatacji, zmieniające rozporządzenia </w:t>
      </w:r>
      <w:bookmarkStart w:id="8" w:name="_Hlk230099185"/>
      <w:r w:rsidRPr="006E3BD5">
        <w:rPr>
          <w:b/>
          <w:bCs/>
          <w:i/>
        </w:rPr>
        <w:t>(UE) nr 168/2013,</w:t>
      </w:r>
      <w:r w:rsidRPr="006E3BD5">
        <w:rPr>
          <w:b/>
          <w:bCs/>
        </w:rPr>
        <w:t xml:space="preserve"> (UE) 2018/858, (UE) 2019/1020 i </w:t>
      </w:r>
      <w:r w:rsidRPr="006E3BD5">
        <w:rPr>
          <w:b/>
          <w:bCs/>
          <w:i/>
        </w:rPr>
        <w:t>(UE) 2023/1542</w:t>
      </w:r>
      <w:r w:rsidRPr="006E3BD5">
        <w:rPr>
          <w:b/>
          <w:bCs/>
        </w:rPr>
        <w:t xml:space="preserve"> oraz uchylające dyrektywy 2000/53/WE i 2005/64/WE</w:t>
      </w:r>
      <w:bookmarkEnd w:id="8"/>
    </w:p>
    <w:p w:rsidR="003A715A" w:rsidRPr="009B0F34" w:rsidP="003A715A" w14:paraId="28359392" w14:textId="698F9AA4">
      <w:pPr>
        <w:spacing w:before="240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1738</w:t>
      </w:r>
      <w:r w:rsidRPr="009B0F34">
        <w:rPr>
          <w:i/>
        </w:rPr>
        <w:t>.)</w:t>
      </w:r>
    </w:p>
    <w:p w:rsidR="006E3BD5" w:rsidRPr="006A69CD" w:rsidP="003A715A" w14:paraId="600DC8BE" w14:textId="77777777">
      <w:pPr>
        <w:pStyle w:val="Sous-titreobjet"/>
        <w:spacing w:before="360"/>
        <w:rPr>
          <w:szCs w:val="24"/>
        </w:rPr>
      </w:pPr>
    </w:p>
    <w:sectPr w:rsidSect="006E3B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3BD5" w14:paraId="2DFA47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3BD5" w:rsidRPr="006E3BD5" w:rsidP="006E3BD5" w14:paraId="39F50A18" w14:textId="564126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3BD5" w14:paraId="1384AC2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02FA5" w:rsidRPr="00341B87" w14:paraId="0673820C" w14:textId="77777777">
      <w:r w:rsidRPr="00341B87">
        <w:separator/>
      </w:r>
    </w:p>
  </w:footnote>
  <w:footnote w:type="continuationSeparator" w:id="1">
    <w:p w:rsidR="00702FA5" w:rsidRPr="00341B87" w14:paraId="6C0477C4" w14:textId="77777777">
      <w:r w:rsidRPr="00341B87">
        <w:continuationSeparator/>
      </w:r>
    </w:p>
  </w:footnote>
  <w:footnote w:id="2">
    <w:p w:rsidR="00A677E4" w:rsidRPr="00227C9E" w:rsidP="00341B87" w14:paraId="56A2401B" w14:textId="6A82ED50">
      <w:pPr>
        <w:pStyle w:val="FootnoteText"/>
        <w:ind w:left="567" w:hanging="567"/>
        <w:rPr>
          <w:sz w:val="24"/>
          <w:lang w:val="fi-FI"/>
        </w:rPr>
      </w:pPr>
      <w:r w:rsidRPr="00341B87">
        <w:rPr>
          <w:rStyle w:val="FootnoteReference"/>
          <w:sz w:val="24"/>
          <w:lang w:val="pl-PL"/>
        </w:rPr>
        <w:footnoteRef/>
      </w:r>
      <w:r w:rsidRPr="00227C9E" w:rsidR="00341B87">
        <w:rPr>
          <w:sz w:val="24"/>
          <w:lang w:val="fi-FI"/>
        </w:rPr>
        <w:t xml:space="preserve"> </w:t>
      </w:r>
      <w:r w:rsidRPr="00227C9E" w:rsidR="00341B87">
        <w:rPr>
          <w:sz w:val="24"/>
          <w:lang w:val="fi-FI"/>
        </w:rPr>
        <w:tab/>
      </w:r>
      <w:r w:rsidRPr="00227C9E">
        <w:rPr>
          <w:sz w:val="24"/>
          <w:lang w:val="fi-FI"/>
        </w:rPr>
        <w:t>Dz.U</w:t>
      </w:r>
      <w:r w:rsidRPr="00227C9E">
        <w:rPr>
          <w:sz w:val="24"/>
          <w:lang w:val="fi-FI"/>
        </w:rPr>
        <w:t>. C, C/2024/1593, 5.3.2024, ELI: http://data.europa.eu/eli/C/2024/1593/oj.</w:t>
      </w:r>
    </w:p>
  </w:footnote>
  <w:footnote w:id="3">
    <w:p w:rsidR="00227C9E" w:rsidRPr="00942DFF" w:rsidP="00227C9E" w14:paraId="1C1711F2" w14:textId="537D618C">
      <w:pPr>
        <w:pStyle w:val="FootnoteText"/>
        <w:ind w:left="567" w:hanging="567"/>
        <w:rPr>
          <w:sz w:val="24"/>
          <w:szCs w:val="24"/>
          <w:lang w:val="pl-PL"/>
        </w:rPr>
      </w:pPr>
      <w:r w:rsidRPr="00942DFF">
        <w:rPr>
          <w:rStyle w:val="FootnoteReference"/>
          <w:sz w:val="24"/>
          <w:szCs w:val="24"/>
        </w:rPr>
        <w:footnoteRef/>
      </w:r>
      <w:r w:rsidRPr="00942DFF">
        <w:rPr>
          <w:sz w:val="24"/>
          <w:szCs w:val="24"/>
          <w:lang w:val="pl-PL"/>
        </w:rPr>
        <w:t xml:space="preserve"> </w:t>
      </w:r>
      <w:r w:rsidRPr="00942DFF">
        <w:rPr>
          <w:sz w:val="24"/>
          <w:szCs w:val="24"/>
          <w:lang w:val="pl-PL"/>
        </w:rPr>
        <w:tab/>
      </w:r>
      <w:bookmarkStart w:id="7" w:name="_Hlk211843012"/>
      <w:r w:rsidRPr="00942DFF">
        <w:rPr>
          <w:sz w:val="24"/>
          <w:szCs w:val="24"/>
          <w:lang w:val="pl-PL"/>
        </w:rPr>
        <w:t xml:space="preserve">Niniejsze stanowisko zastępuje poprawki przyjęte dnia </w:t>
      </w:r>
      <w:r>
        <w:rPr>
          <w:sz w:val="24"/>
          <w:szCs w:val="24"/>
          <w:lang w:val="pl-PL"/>
        </w:rPr>
        <w:t>9 września</w:t>
      </w:r>
      <w:r w:rsidRPr="00942DFF">
        <w:rPr>
          <w:sz w:val="24"/>
          <w:szCs w:val="24"/>
          <w:lang w:val="pl-PL"/>
        </w:rPr>
        <w:t xml:space="preserve"> 20</w:t>
      </w:r>
      <w:r>
        <w:rPr>
          <w:sz w:val="24"/>
          <w:szCs w:val="24"/>
          <w:lang w:val="pl-PL"/>
        </w:rPr>
        <w:t>25</w:t>
      </w:r>
      <w:r w:rsidRPr="00942DFF">
        <w:rPr>
          <w:sz w:val="24"/>
          <w:szCs w:val="24"/>
          <w:lang w:val="pl-PL"/>
        </w:rPr>
        <w:t xml:space="preserve"> r. (Teksty przyjęte, P10_TA(2025)0168).</w:t>
      </w:r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3BD5" w14:paraId="35D6CDE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3BD5" w14:paraId="69EC03F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3BD5" w14:paraId="3F2236E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4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123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1231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1232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1233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2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3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pStyle w:val="Pointivx4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numb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numb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numb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numb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0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782651140">
    <w:abstractNumId w:val="2"/>
  </w:num>
  <w:num w:numId="2" w16cid:durableId="1817642707">
    <w:abstractNumId w:val="13"/>
  </w:num>
  <w:num w:numId="3" w16cid:durableId="1685739777">
    <w:abstractNumId w:val="0"/>
  </w:num>
  <w:num w:numId="4" w16cid:durableId="166291639">
    <w:abstractNumId w:val="10"/>
  </w:num>
  <w:num w:numId="5" w16cid:durableId="1110391513">
    <w:abstractNumId w:val="17"/>
  </w:num>
  <w:num w:numId="6" w16cid:durableId="327631951">
    <w:abstractNumId w:val="9"/>
  </w:num>
  <w:num w:numId="7" w16cid:durableId="849948080">
    <w:abstractNumId w:val="7"/>
  </w:num>
  <w:num w:numId="8" w16cid:durableId="447241554">
    <w:abstractNumId w:val="27"/>
  </w:num>
  <w:num w:numId="9" w16cid:durableId="108356433">
    <w:abstractNumId w:val="32"/>
  </w:num>
  <w:num w:numId="10" w16cid:durableId="16202875">
    <w:abstractNumId w:val="28"/>
  </w:num>
  <w:num w:numId="11" w16cid:durableId="1719740644">
    <w:abstractNumId w:val="1"/>
  </w:num>
  <w:num w:numId="12" w16cid:durableId="1316641683">
    <w:abstractNumId w:val="29"/>
  </w:num>
  <w:num w:numId="13" w16cid:durableId="1918972586">
    <w:abstractNumId w:val="25"/>
  </w:num>
  <w:num w:numId="14" w16cid:durableId="1211957590">
    <w:abstractNumId w:val="3"/>
  </w:num>
  <w:num w:numId="15" w16cid:durableId="785852355">
    <w:abstractNumId w:val="31"/>
  </w:num>
  <w:num w:numId="16" w16cid:durableId="100343276">
    <w:abstractNumId w:val="36"/>
  </w:num>
  <w:num w:numId="17" w16cid:durableId="118036514">
    <w:abstractNumId w:val="22"/>
  </w:num>
  <w:num w:numId="18" w16cid:durableId="1709600658">
    <w:abstractNumId w:val="30"/>
  </w:num>
  <w:num w:numId="19" w16cid:durableId="1815443566">
    <w:abstractNumId w:val="26"/>
  </w:num>
  <w:num w:numId="20" w16cid:durableId="1817143773">
    <w:abstractNumId w:val="23"/>
  </w:num>
  <w:num w:numId="21" w16cid:durableId="914970275">
    <w:abstractNumId w:val="11"/>
  </w:num>
  <w:num w:numId="22" w16cid:durableId="571501031">
    <w:abstractNumId w:val="6"/>
  </w:num>
  <w:num w:numId="23" w16cid:durableId="216286118">
    <w:abstractNumId w:val="5"/>
  </w:num>
  <w:num w:numId="24" w16cid:durableId="717364055">
    <w:abstractNumId w:val="18"/>
  </w:num>
  <w:num w:numId="25" w16cid:durableId="254437804">
    <w:abstractNumId w:val="21"/>
  </w:num>
  <w:num w:numId="26" w16cid:durableId="1506632070">
    <w:abstractNumId w:val="20"/>
  </w:num>
  <w:num w:numId="27" w16cid:durableId="116413259">
    <w:abstractNumId w:val="37"/>
  </w:num>
  <w:num w:numId="28" w16cid:durableId="1999648621">
    <w:abstractNumId w:val="14"/>
  </w:num>
  <w:num w:numId="29" w16cid:durableId="1354920037">
    <w:abstractNumId w:val="15"/>
  </w:num>
  <w:num w:numId="30" w16cid:durableId="2017461581">
    <w:abstractNumId w:val="16"/>
  </w:num>
  <w:num w:numId="31" w16cid:durableId="1358702332">
    <w:abstractNumId w:val="19"/>
  </w:num>
  <w:num w:numId="32" w16cid:durableId="680163427">
    <w:abstractNumId w:val="8"/>
  </w:num>
  <w:num w:numId="33" w16cid:durableId="1614819933">
    <w:abstractNumId w:val="38"/>
  </w:num>
  <w:num w:numId="34" w16cid:durableId="1727030575">
    <w:abstractNumId w:val="12"/>
  </w:num>
  <w:num w:numId="35" w16cid:durableId="1071120550">
    <w:abstractNumId w:val="24"/>
  </w:num>
  <w:num w:numId="36" w16cid:durableId="1121533425">
    <w:abstractNumId w:val="34"/>
  </w:num>
  <w:num w:numId="37" w16cid:durableId="740374139">
    <w:abstractNumId w:val="33"/>
  </w:num>
  <w:num w:numId="38" w16cid:durableId="645473189">
    <w:abstractNumId w:val="35"/>
  </w:num>
  <w:num w:numId="39" w16cid:durableId="921137400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A5"/>
    <w:rsid w:val="00002272"/>
    <w:rsid w:val="00051C4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C9E"/>
    <w:rsid w:val="002767FF"/>
    <w:rsid w:val="00291A00"/>
    <w:rsid w:val="002B18FE"/>
    <w:rsid w:val="002B5493"/>
    <w:rsid w:val="00341B87"/>
    <w:rsid w:val="00343214"/>
    <w:rsid w:val="00361C00"/>
    <w:rsid w:val="00395FA1"/>
    <w:rsid w:val="003A715A"/>
    <w:rsid w:val="003E15D4"/>
    <w:rsid w:val="00404504"/>
    <w:rsid w:val="00411CCE"/>
    <w:rsid w:val="004136EE"/>
    <w:rsid w:val="0041666E"/>
    <w:rsid w:val="00421060"/>
    <w:rsid w:val="004579AC"/>
    <w:rsid w:val="00471C19"/>
    <w:rsid w:val="004867E3"/>
    <w:rsid w:val="00494A28"/>
    <w:rsid w:val="004C0004"/>
    <w:rsid w:val="004C5D52"/>
    <w:rsid w:val="0050063C"/>
    <w:rsid w:val="0050519A"/>
    <w:rsid w:val="005072A1"/>
    <w:rsid w:val="00513162"/>
    <w:rsid w:val="00514517"/>
    <w:rsid w:val="005233C9"/>
    <w:rsid w:val="00545827"/>
    <w:rsid w:val="00554D02"/>
    <w:rsid w:val="00560270"/>
    <w:rsid w:val="005C2568"/>
    <w:rsid w:val="005E4F75"/>
    <w:rsid w:val="005F1B17"/>
    <w:rsid w:val="006037C0"/>
    <w:rsid w:val="006631B6"/>
    <w:rsid w:val="00680577"/>
    <w:rsid w:val="006A69CD"/>
    <w:rsid w:val="006E3BD5"/>
    <w:rsid w:val="006F74FA"/>
    <w:rsid w:val="00702FA5"/>
    <w:rsid w:val="007118ED"/>
    <w:rsid w:val="0071682E"/>
    <w:rsid w:val="00731ADD"/>
    <w:rsid w:val="00734777"/>
    <w:rsid w:val="00741191"/>
    <w:rsid w:val="00747932"/>
    <w:rsid w:val="00751A4A"/>
    <w:rsid w:val="00756632"/>
    <w:rsid w:val="00762C74"/>
    <w:rsid w:val="00786EC0"/>
    <w:rsid w:val="007D1690"/>
    <w:rsid w:val="007D3C95"/>
    <w:rsid w:val="007E22AD"/>
    <w:rsid w:val="007E49D8"/>
    <w:rsid w:val="00817416"/>
    <w:rsid w:val="00842779"/>
    <w:rsid w:val="0084728E"/>
    <w:rsid w:val="00864B41"/>
    <w:rsid w:val="00865F67"/>
    <w:rsid w:val="00881A7B"/>
    <w:rsid w:val="008840E5"/>
    <w:rsid w:val="00887B3E"/>
    <w:rsid w:val="008C2AC6"/>
    <w:rsid w:val="008F4A03"/>
    <w:rsid w:val="0090212C"/>
    <w:rsid w:val="00930C23"/>
    <w:rsid w:val="0093193B"/>
    <w:rsid w:val="00942DFF"/>
    <w:rsid w:val="009509D8"/>
    <w:rsid w:val="00950B64"/>
    <w:rsid w:val="00981893"/>
    <w:rsid w:val="009B0F34"/>
    <w:rsid w:val="009D4279"/>
    <w:rsid w:val="00A1687D"/>
    <w:rsid w:val="00A43E52"/>
    <w:rsid w:val="00A4678D"/>
    <w:rsid w:val="00A677E4"/>
    <w:rsid w:val="00A778C7"/>
    <w:rsid w:val="00AB441E"/>
    <w:rsid w:val="00AB6293"/>
    <w:rsid w:val="00AE0928"/>
    <w:rsid w:val="00AE5A43"/>
    <w:rsid w:val="00AF3B82"/>
    <w:rsid w:val="00AF7B36"/>
    <w:rsid w:val="00B12E95"/>
    <w:rsid w:val="00B22876"/>
    <w:rsid w:val="00B2639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082"/>
    <w:rsid w:val="00E365E1"/>
    <w:rsid w:val="00E820A4"/>
    <w:rsid w:val="00E8738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8/2025"/>
    <w:docVar w:name="dvlangue" w:val="PL"/>
    <w:docVar w:name="dvnumam" w:val="518"/>
    <w:docVar w:name="dvpe" w:val="768.004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 Rady w sprawie wymogów w zakresie obiegu zamkniętego w odniesieniu do projektowania pojazdów i w sprawie zarządzania pojazdami wycofanymi z eksploatacji, zmieniającego rozporządzenia (UE) 2018/858 i 2019/1020 oraz uchylającego dyrektywy 2000/53/WE i 2005/64/WE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1D13FD"/>
  <w15:chartTrackingRefBased/>
  <w15:docId w15:val="{B53D48C6-DC6D-41E2-BCFE-67311E3F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2" w:uiPriority="99"/>
    <w:lsdException w:name="List 3" w:uiPriority="99"/>
    <w:lsdException w:name="List 4" w:uiPriority="99"/>
    <w:lsdException w:name="Title" w:uiPriority="10" w:qFormat="1"/>
    <w:lsdException w:name="Body Text" w:uiPriority="99"/>
    <w:lsdException w:name="Body Text Indent" w:uiPriority="99"/>
    <w:lsdException w:name="List Continue" w:uiPriority="99"/>
    <w:lsdException w:name="Subtitle" w:uiPriority="11" w:qFormat="1"/>
    <w:lsdException w:name="Body Text First Indent 2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677E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677E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677E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677E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677E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677E4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7E4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rsid w:val="00A677E4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rsid w:val="00A677E4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A677E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677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677E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677E4"/>
    <w:pPr>
      <w:spacing w:after="120"/>
    </w:pPr>
  </w:style>
  <w:style w:type="paragraph" w:customStyle="1" w:styleId="PageHeading">
    <w:name w:val="PageHeading"/>
    <w:basedOn w:val="Normal"/>
    <w:rsid w:val="00A677E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677E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677E4"/>
    <w:rPr>
      <w:b/>
      <w:sz w:val="24"/>
      <w:lang w:val="pl-PL"/>
    </w:rPr>
  </w:style>
  <w:style w:type="paragraph" w:customStyle="1" w:styleId="NormalBold12a">
    <w:name w:val="NormalBold12a"/>
    <w:basedOn w:val="Normal"/>
    <w:rsid w:val="00A677E4"/>
    <w:pPr>
      <w:spacing w:after="240"/>
    </w:pPr>
    <w:rPr>
      <w:b/>
    </w:rPr>
  </w:style>
  <w:style w:type="paragraph" w:customStyle="1" w:styleId="AmJustText">
    <w:name w:val="AmJustText"/>
    <w:basedOn w:val="Normal"/>
    <w:rsid w:val="00A677E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677E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677E4"/>
    <w:pPr>
      <w:spacing w:after="480"/>
      <w:ind w:left="1417"/>
    </w:pPr>
  </w:style>
  <w:style w:type="paragraph" w:customStyle="1" w:styleId="CoverNormal">
    <w:name w:val="CoverNormal"/>
    <w:basedOn w:val="Normal"/>
    <w:rsid w:val="00A677E4"/>
    <w:pPr>
      <w:ind w:left="1418"/>
    </w:pPr>
  </w:style>
  <w:style w:type="paragraph" w:customStyle="1" w:styleId="AmCrossRef">
    <w:name w:val="AmCrossRef"/>
    <w:basedOn w:val="Normal"/>
    <w:rsid w:val="00A677E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677E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677E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677E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677E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677E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677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77E4"/>
    <w:rPr>
      <w:sz w:val="24"/>
      <w:lang w:val="pl-PL"/>
    </w:rPr>
  </w:style>
  <w:style w:type="paragraph" w:customStyle="1" w:styleId="AmOrLang">
    <w:name w:val="AmOrLang"/>
    <w:basedOn w:val="Normal"/>
    <w:rsid w:val="00A677E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677E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677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A677E4"/>
    <w:rPr>
      <w:b/>
      <w:sz w:val="24"/>
      <w:lang w:val="pl-PL"/>
    </w:rPr>
  </w:style>
  <w:style w:type="paragraph" w:customStyle="1" w:styleId="NormalBold12b">
    <w:name w:val="NormalBold12b"/>
    <w:basedOn w:val="Normal"/>
    <w:link w:val="NormalBold12bChar"/>
    <w:rsid w:val="00A677E4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A677E4"/>
    <w:rPr>
      <w:b/>
      <w:sz w:val="24"/>
      <w:lang w:val="pl-PL"/>
    </w:rPr>
  </w:style>
  <w:style w:type="paragraph" w:customStyle="1" w:styleId="EPBody">
    <w:name w:val="EPBody"/>
    <w:basedOn w:val="Normal"/>
    <w:rsid w:val="00A677E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677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677E4"/>
    <w:pPr>
      <w:spacing w:before="480" w:after="240"/>
    </w:pPr>
  </w:style>
  <w:style w:type="paragraph" w:customStyle="1" w:styleId="Lgendesigne">
    <w:name w:val="Légende signe"/>
    <w:basedOn w:val="Normal"/>
    <w:rsid w:val="00A677E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677E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677E4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A677E4"/>
    <w:rPr>
      <w:noProof/>
      <w:sz w:val="24"/>
    </w:rPr>
  </w:style>
  <w:style w:type="paragraph" w:customStyle="1" w:styleId="Normal12">
    <w:name w:val="Normal12"/>
    <w:basedOn w:val="Normal"/>
    <w:link w:val="Normal12Char"/>
    <w:rsid w:val="00A677E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677E4"/>
    <w:rPr>
      <w:sz w:val="24"/>
    </w:rPr>
  </w:style>
  <w:style w:type="paragraph" w:customStyle="1" w:styleId="Normal6">
    <w:name w:val="Normal6"/>
    <w:basedOn w:val="Normal"/>
    <w:link w:val="Normal6Char"/>
    <w:rsid w:val="00A677E4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A677E4"/>
    <w:rPr>
      <w:i/>
    </w:rPr>
  </w:style>
  <w:style w:type="paragraph" w:customStyle="1" w:styleId="EntPE">
    <w:name w:val="EntPE"/>
    <w:basedOn w:val="Normal12"/>
    <w:rsid w:val="00A677E4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A677E4"/>
    <w:pPr>
      <w:spacing w:after="480"/>
    </w:pPr>
  </w:style>
  <w:style w:type="paragraph" w:customStyle="1" w:styleId="NormalBoldCenter">
    <w:name w:val="NormalBoldCenter"/>
    <w:basedOn w:val="Normal"/>
    <w:rsid w:val="00A677E4"/>
    <w:pPr>
      <w:jc w:val="center"/>
    </w:pPr>
    <w:rPr>
      <w:b/>
    </w:rPr>
  </w:style>
  <w:style w:type="paragraph" w:customStyle="1" w:styleId="Footprint12b">
    <w:name w:val="Footprint12b"/>
    <w:basedOn w:val="Normal"/>
    <w:rsid w:val="00A677E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677E4"/>
    <w:rPr>
      <w:szCs w:val="24"/>
    </w:rPr>
  </w:style>
  <w:style w:type="paragraph" w:customStyle="1" w:styleId="AMNumberTabs0">
    <w:name w:val="AMNumberTabs"/>
    <w:basedOn w:val="Normal"/>
    <w:rsid w:val="00A677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677E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677E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A677E4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A677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677E4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uiPriority w:val="99"/>
    <w:rsid w:val="00A677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677E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77E4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677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677E4"/>
    <w:rPr>
      <w:b/>
      <w:bCs/>
      <w:lang w:val="pl-PL"/>
    </w:rPr>
  </w:style>
  <w:style w:type="paragraph" w:styleId="Revision">
    <w:name w:val="Revision"/>
    <w:hidden/>
    <w:uiPriority w:val="99"/>
    <w:semiHidden/>
    <w:rsid w:val="00A677E4"/>
    <w:rPr>
      <w:sz w:val="24"/>
      <w:lang w:val="pl-PL"/>
    </w:rPr>
  </w:style>
  <w:style w:type="paragraph" w:styleId="Index1">
    <w:name w:val="index 1"/>
    <w:basedOn w:val="Normal"/>
    <w:next w:val="Normal"/>
    <w:autoRedefine/>
    <w:rsid w:val="00A677E4"/>
    <w:pPr>
      <w:ind w:left="240" w:hanging="240"/>
    </w:pPr>
  </w:style>
  <w:style w:type="paragraph" w:styleId="IndexHeading">
    <w:name w:val="index heading"/>
    <w:basedOn w:val="Normal"/>
    <w:next w:val="Index1"/>
    <w:rsid w:val="00A677E4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uiPriority w:val="99"/>
    <w:rsid w:val="00A677E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677E4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A677E4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A677E4"/>
  </w:style>
  <w:style w:type="paragraph" w:customStyle="1" w:styleId="Normal12a">
    <w:name w:val="Normal12a"/>
    <w:basedOn w:val="Normal"/>
    <w:rsid w:val="00A677E4"/>
    <w:pPr>
      <w:spacing w:after="240"/>
    </w:pPr>
  </w:style>
  <w:style w:type="paragraph" w:customStyle="1" w:styleId="PageHeadingNotTOC">
    <w:name w:val="PageHeadingNotTOC"/>
    <w:basedOn w:val="Normal"/>
    <w:rsid w:val="00A677E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677E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A677E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677E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677E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677E4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A677E4"/>
    <w:pPr>
      <w:ind w:left="1417"/>
    </w:pPr>
    <w:rPr>
      <w:b/>
    </w:rPr>
  </w:style>
  <w:style w:type="paragraph" w:customStyle="1" w:styleId="EPFooterRC">
    <w:name w:val="EPFooterRC"/>
    <w:basedOn w:val="Normal"/>
    <w:rsid w:val="00A677E4"/>
    <w:pPr>
      <w:tabs>
        <w:tab w:val="center" w:pos="4535"/>
        <w:tab w:val="left" w:pos="6662"/>
      </w:tabs>
    </w:pPr>
    <w:rPr>
      <w:sz w:val="22"/>
    </w:rPr>
  </w:style>
  <w:style w:type="character" w:customStyle="1" w:styleId="FooterChar1">
    <w:name w:val="Footer Char1"/>
    <w:basedOn w:val="DefaultParagraphFont"/>
    <w:rsid w:val="00A677E4"/>
    <w:rPr>
      <w:sz w:val="24"/>
      <w:lang w:val="pl-PL"/>
    </w:rPr>
  </w:style>
  <w:style w:type="character" w:customStyle="1" w:styleId="SupBoldItalic">
    <w:name w:val="SupBoldItalic"/>
    <w:uiPriority w:val="1"/>
    <w:qFormat/>
    <w:rsid w:val="00A677E4"/>
    <w:rPr>
      <w:b/>
      <w:bCs w:val="0"/>
      <w:i/>
      <w:iCs w:val="0"/>
      <w:vertAlign w:val="superscript"/>
    </w:rPr>
  </w:style>
  <w:style w:type="character" w:styleId="Strong">
    <w:name w:val="Strong"/>
    <w:basedOn w:val="DefaultParagraphFont"/>
    <w:uiPriority w:val="22"/>
    <w:qFormat/>
    <w:rsid w:val="00A677E4"/>
    <w:rPr>
      <w:b/>
      <w:bCs/>
    </w:rPr>
  </w:style>
  <w:style w:type="paragraph" w:customStyle="1" w:styleId="AmDocTypeTab">
    <w:name w:val="AmDocTypeTab"/>
    <w:basedOn w:val="Normal"/>
    <w:rsid w:val="006E3BD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E3BD5"/>
    <w:pPr>
      <w:spacing w:after="240"/>
      <w:jc w:val="center"/>
    </w:pPr>
  </w:style>
  <w:style w:type="paragraph" w:customStyle="1" w:styleId="AmDateTab">
    <w:name w:val="AmDateTab"/>
    <w:basedOn w:val="Normal"/>
    <w:rsid w:val="006E3BD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E3BD5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6E3B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BD5"/>
    <w:rPr>
      <w:sz w:val="24"/>
      <w:lang w:val="pl-PL"/>
    </w:rPr>
  </w:style>
  <w:style w:type="paragraph" w:styleId="Title">
    <w:name w:val="Title"/>
    <w:basedOn w:val="Normal"/>
    <w:next w:val="Normal"/>
    <w:link w:val="TitleChar"/>
    <w:uiPriority w:val="10"/>
    <w:qFormat/>
    <w:rsid w:val="006E3BD5"/>
    <w:pPr>
      <w:widowControl/>
      <w:spacing w:before="12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E3BD5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BD5"/>
    <w:pPr>
      <w:widowControl/>
      <w:numPr>
        <w:ilvl w:val="1"/>
      </w:numPr>
      <w:spacing w:before="120" w:after="160" w:line="36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E3B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l-PL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E3BD5"/>
    <w:pPr>
      <w:widowControl/>
      <w:spacing w:before="160" w:after="160" w:line="360" w:lineRule="auto"/>
      <w:jc w:val="center"/>
    </w:pPr>
    <w:rPr>
      <w:rFonts w:eastAsiaTheme="minorHAnsi"/>
      <w:i/>
      <w:iCs/>
      <w:color w:val="404040" w:themeColor="text1" w:themeTint="BF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E3BD5"/>
    <w:rPr>
      <w:rFonts w:eastAsiaTheme="minorHAnsi"/>
      <w:i/>
      <w:iCs/>
      <w:color w:val="404040" w:themeColor="text1" w:themeTint="BF"/>
      <w:sz w:val="24"/>
      <w:szCs w:val="22"/>
      <w:lang w:val="pl-PL" w:eastAsia="en-US"/>
    </w:rPr>
  </w:style>
  <w:style w:type="paragraph" w:styleId="ListParagraph">
    <w:name w:val="List Paragraph"/>
    <w:aliases w:val="1st level - Bullet List Paragraph,Lettre d'introduction,Paragrafo elenco,List Paragraph1,Medium Grid 1 - Accent 21,FooterText,Paragraphe de liste1,Heading 2_sj,Numbered Para 1,Dot pt,No Spacing1,List Paragraph Char Char Char,lp1,L,Ha"/>
    <w:basedOn w:val="Normal"/>
    <w:link w:val="ListParagraphChar"/>
    <w:uiPriority w:val="34"/>
    <w:qFormat/>
    <w:rsid w:val="006E3BD5"/>
    <w:pPr>
      <w:widowControl/>
      <w:spacing w:before="120" w:after="120" w:line="360" w:lineRule="auto"/>
      <w:ind w:left="720"/>
      <w:contextualSpacing/>
    </w:pPr>
    <w:rPr>
      <w:rFonts w:eastAsiaTheme="minorHAnsi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6E3BD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BD5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360" w:lineRule="auto"/>
      <w:ind w:left="864" w:right="864"/>
      <w:jc w:val="center"/>
    </w:pPr>
    <w:rPr>
      <w:rFonts w:eastAsiaTheme="minorHAnsi"/>
      <w:i/>
      <w:iCs/>
      <w:color w:val="2E74B5" w:themeColor="accent1" w:themeShade="BF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BD5"/>
    <w:rPr>
      <w:rFonts w:eastAsiaTheme="minorHAnsi"/>
      <w:i/>
      <w:iCs/>
      <w:color w:val="2E74B5" w:themeColor="accent1" w:themeShade="BF"/>
      <w:sz w:val="24"/>
      <w:szCs w:val="22"/>
      <w:lang w:val="pl-PL" w:eastAsia="en-US"/>
    </w:rPr>
  </w:style>
  <w:style w:type="character" w:styleId="IntenseReference">
    <w:name w:val="Intense Reference"/>
    <w:basedOn w:val="DefaultParagraphFont"/>
    <w:uiPriority w:val="32"/>
    <w:qFormat/>
    <w:rsid w:val="006E3BD5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6E3BD5"/>
    <w:rPr>
      <w:rFonts w:eastAsiaTheme="minorHAnsi" w:cstheme="minorBidi"/>
      <w:sz w:val="24"/>
      <w:szCs w:val="22"/>
      <w:lang w:eastAsia="en-US"/>
    </w:rPr>
  </w:style>
  <w:style w:type="paragraph" w:customStyle="1" w:styleId="TechnicalBlockBase">
    <w:name w:val="TechnicalBlockBase"/>
    <w:link w:val="TechnicalBlockBaseChar"/>
    <w:rsid w:val="006E3BD5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E3BD5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paragraph" w:customStyle="1" w:styleId="TBEntRefer">
    <w:name w:val="TBEntRefer"/>
    <w:basedOn w:val="TechnicalBlockBase"/>
    <w:link w:val="EntReferChar"/>
    <w:rsid w:val="006E3BD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6E3BD5"/>
    <w:rPr>
      <w:rFonts w:ascii="Arial" w:hAnsi="Arial" w:cs="Arial"/>
      <w:b/>
      <w:sz w:val="23"/>
      <w:u w:color="606060"/>
      <w:lang w:eastAsia="fr-BE"/>
    </w:rPr>
  </w:style>
  <w:style w:type="paragraph" w:customStyle="1" w:styleId="TBDistrbMarkers">
    <w:name w:val="TBDistrbMarkers"/>
    <w:basedOn w:val="TBEntRefer"/>
    <w:qFormat/>
    <w:rsid w:val="006E3BD5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6E3BD5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6E3BD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E3BD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6E3BD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E3BD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E3BD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E3BD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6E3BD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6E3BD5"/>
    <w:rPr>
      <w:rFonts w:ascii="Arial" w:hAnsi="Arial" w:cs="Arial"/>
      <w:b/>
      <w:sz w:val="23"/>
      <w:u w:color="606060"/>
      <w:lang w:eastAsia="fr-BE"/>
    </w:rPr>
  </w:style>
  <w:style w:type="paragraph" w:customStyle="1" w:styleId="TBSubjectTable">
    <w:name w:val="TBSubjectTable"/>
    <w:basedOn w:val="TechnicalBlockBase"/>
    <w:rsid w:val="006E3BD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6E3BD5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6E3BD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6E3BD5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6E3BD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6E3BD5"/>
    <w:pPr>
      <w:widowControl/>
      <w:spacing w:after="440" w:line="360" w:lineRule="auto"/>
    </w:pPr>
    <w:rPr>
      <w:rFonts w:eastAsiaTheme="minorHAnsi"/>
      <w:sz w:val="2"/>
      <w:szCs w:val="22"/>
      <w:lang w:eastAsia="en-US"/>
    </w:rPr>
  </w:style>
  <w:style w:type="paragraph" w:customStyle="1" w:styleId="FooterText0">
    <w:name w:val="Footer Text"/>
    <w:basedOn w:val="Normal"/>
    <w:unhideWhenUsed/>
    <w:rsid w:val="006E3BD5"/>
    <w:pPr>
      <w:widowControl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6E3BD5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6E3BD5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6E3BD5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6E3BD5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6E3BD5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6E3BD5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E3BD5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E3BD5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E3BD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E3BD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6E3BD5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qFormat/>
    <w:rsid w:val="006E3BD5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qFormat/>
    <w:rsid w:val="006E3BD5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6E3BD5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6E3BD5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6E3BD5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6E3BD5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6E3BD5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6E3BD5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6E3BD5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6E3BD5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6E3BD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6E3BD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6E3BD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6E3BD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6E3BD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6E3BD5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6E3BD5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6E3BD5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6E3BD5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6E3BD5"/>
    <w:pPr>
      <w:widowControl/>
      <w:numPr>
        <w:ilvl w:val="1"/>
        <w:numId w:val="3"/>
      </w:numPr>
      <w:tabs>
        <w:tab w:val="clear" w:pos="567"/>
        <w:tab w:val="num" w:pos="2835"/>
      </w:tabs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6E3BD5"/>
    <w:pPr>
      <w:widowControl/>
      <w:numPr>
        <w:ilvl w:val="3"/>
        <w:numId w:val="3"/>
      </w:numPr>
      <w:tabs>
        <w:tab w:val="num" w:pos="567"/>
        <w:tab w:val="clear" w:pos="1134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6E3BD5"/>
    <w:pPr>
      <w:widowControl/>
      <w:numPr>
        <w:ilvl w:val="5"/>
        <w:numId w:val="3"/>
      </w:numPr>
      <w:tabs>
        <w:tab w:val="num" w:pos="1134"/>
        <w:tab w:val="clear" w:pos="1701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6E3BD5"/>
    <w:pPr>
      <w:widowControl/>
      <w:numPr>
        <w:ilvl w:val="7"/>
        <w:numId w:val="3"/>
      </w:numPr>
      <w:tabs>
        <w:tab w:val="num" w:pos="1701"/>
        <w:tab w:val="clear" w:pos="2268"/>
      </w:tabs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6E3BD5"/>
    <w:pPr>
      <w:widowControl/>
      <w:numPr>
        <w:ilvl w:val="8"/>
        <w:numId w:val="3"/>
      </w:numPr>
      <w:tabs>
        <w:tab w:val="num" w:pos="2268"/>
        <w:tab w:val="clear" w:pos="2835"/>
      </w:tabs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6E3BD5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6E3BD5"/>
    <w:pPr>
      <w:widowControl/>
      <w:numPr>
        <w:ilvl w:val="1"/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6E3BD5"/>
    <w:pPr>
      <w:widowControl/>
      <w:numPr>
        <w:ilvl w:val="2"/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6E3BD5"/>
    <w:pPr>
      <w:widowControl/>
      <w:numPr>
        <w:ilvl w:val="3"/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6E3BD5"/>
    <w:pPr>
      <w:widowControl/>
      <w:numPr>
        <w:ilvl w:val="4"/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6E3BD5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6E3BD5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6E3BD5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6E3BD5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6E3BD5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6E3BD5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6E3BD5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6E3BD5"/>
    <w:pPr>
      <w:widowControl/>
      <w:numPr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6E3BD5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6E3BD5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6E3BD5"/>
    <w:pPr>
      <w:numPr>
        <w:numId w:val="15"/>
      </w:numPr>
    </w:pPr>
  </w:style>
  <w:style w:type="paragraph" w:customStyle="1" w:styleId="DashEqual1">
    <w:name w:val="Dash Equal 1"/>
    <w:basedOn w:val="Dash1"/>
    <w:rsid w:val="006E3BD5"/>
    <w:pPr>
      <w:numPr>
        <w:numId w:val="16"/>
      </w:numPr>
    </w:pPr>
  </w:style>
  <w:style w:type="paragraph" w:customStyle="1" w:styleId="DashEqual2">
    <w:name w:val="Dash Equal 2"/>
    <w:basedOn w:val="Dash2"/>
    <w:rsid w:val="006E3BD5"/>
    <w:pPr>
      <w:numPr>
        <w:numId w:val="17"/>
      </w:numPr>
    </w:pPr>
  </w:style>
  <w:style w:type="paragraph" w:customStyle="1" w:styleId="DashEqual3">
    <w:name w:val="Dash Equal 3"/>
    <w:basedOn w:val="Dash3"/>
    <w:rsid w:val="006E3BD5"/>
    <w:pPr>
      <w:numPr>
        <w:numId w:val="18"/>
      </w:numPr>
    </w:pPr>
  </w:style>
  <w:style w:type="paragraph" w:customStyle="1" w:styleId="DashEqual4">
    <w:name w:val="Dash Equal 4"/>
    <w:basedOn w:val="Dash4"/>
    <w:rsid w:val="006E3BD5"/>
    <w:pPr>
      <w:numPr>
        <w:numId w:val="19"/>
      </w:numPr>
    </w:pPr>
  </w:style>
  <w:style w:type="character" w:customStyle="1" w:styleId="Marker">
    <w:name w:val="Marker"/>
    <w:basedOn w:val="DefaultParagraphFont"/>
    <w:rsid w:val="006E3BD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E3BD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E3BD5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E3BD5"/>
    <w:pPr>
      <w:numPr>
        <w:numId w:val="20"/>
      </w:numPr>
    </w:pPr>
  </w:style>
  <w:style w:type="paragraph" w:customStyle="1" w:styleId="Heading123">
    <w:name w:val="Heading 123"/>
    <w:basedOn w:val="HeadingLeft"/>
    <w:next w:val="Normal"/>
    <w:rsid w:val="006E3BD5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6E3BD5"/>
    <w:pPr>
      <w:numPr>
        <w:numId w:val="22"/>
      </w:numPr>
    </w:pPr>
  </w:style>
  <w:style w:type="paragraph" w:customStyle="1" w:styleId="HeadingCentered">
    <w:name w:val="Heading Centered"/>
    <w:basedOn w:val="HeadingLeft"/>
    <w:next w:val="Normal"/>
    <w:rsid w:val="006E3BD5"/>
    <w:pPr>
      <w:jc w:val="center"/>
    </w:pPr>
  </w:style>
  <w:style w:type="paragraph" w:customStyle="1" w:styleId="Jardin">
    <w:name w:val="Jardin"/>
    <w:basedOn w:val="Normal"/>
    <w:rsid w:val="006E3BD5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6E3BD5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E3BD5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6E3BD5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E3BD5"/>
    <w:rPr>
      <w:b/>
    </w:rPr>
  </w:style>
  <w:style w:type="paragraph" w:customStyle="1" w:styleId="Annex">
    <w:name w:val="Annex"/>
    <w:basedOn w:val="Normal"/>
    <w:next w:val="Normal"/>
    <w:rsid w:val="006E3BD5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E3BD5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E3BD5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E3BD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E3BD5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E3BD5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E3BD5"/>
    <w:rPr>
      <w:rFonts w:eastAsiaTheme="minorHAns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6E3BD5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6E3BD5"/>
    <w:rPr>
      <w:color w:val="808080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ListParagraph"/>
    <w:uiPriority w:val="34"/>
    <w:qFormat/>
    <w:rsid w:val="006E3BD5"/>
    <w:rPr>
      <w:rFonts w:eastAsiaTheme="minorHAnsi"/>
      <w:sz w:val="24"/>
      <w:szCs w:val="22"/>
      <w:lang w:val="pl-PL" w:eastAsia="en-US"/>
    </w:rPr>
  </w:style>
  <w:style w:type="paragraph" w:styleId="TOC4">
    <w:name w:val="toc 4"/>
    <w:basedOn w:val="Normal"/>
    <w:next w:val="Normal"/>
    <w:uiPriority w:val="39"/>
    <w:unhideWhenUsed/>
    <w:rsid w:val="006E3BD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E3BD5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E3BD5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E3BD5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E3BD5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E3BD5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6E3BD5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6E3BD5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6E3BD5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6E3BD5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6E3BD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6E3BD5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E3B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E3BD5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E3BD5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6E3BD5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6E3BD5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6E3BD5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6E3BD5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6E3BD5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6E3BD5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6E3BD5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6E3BD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6E3BD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6E3BD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6E3BD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6E3BD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6E3BD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6E3BD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6E3BD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6E3BD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6E3BD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6E3BD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6E3BD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6E3BD5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6E3BD5"/>
    <w:pPr>
      <w:widowControl/>
      <w:numPr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6E3BD5"/>
    <w:pPr>
      <w:widowControl/>
      <w:numPr>
        <w:numId w:val="2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6E3BD5"/>
    <w:pPr>
      <w:widowControl/>
      <w:numPr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6E3BD5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6E3BD5"/>
    <w:pPr>
      <w:widowControl/>
      <w:numPr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6E3BD5"/>
    <w:pPr>
      <w:widowControl/>
      <w:numPr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6E3BD5"/>
    <w:pPr>
      <w:widowControl/>
      <w:numPr>
        <w:numId w:val="3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6E3BD5"/>
    <w:pPr>
      <w:widowControl/>
      <w:numPr>
        <w:numId w:val="3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6E3BD5"/>
    <w:pPr>
      <w:widowControl/>
      <w:numPr>
        <w:ilvl w:val="4"/>
        <w:numId w:val="32"/>
      </w:numPr>
      <w:tabs>
        <w:tab w:val="left" w:pos="850"/>
        <w:tab w:val="clear" w:pos="1417"/>
      </w:tabs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6E3BD5"/>
    <w:pPr>
      <w:widowControl/>
      <w:numPr>
        <w:ilvl w:val="5"/>
        <w:numId w:val="32"/>
      </w:numPr>
      <w:tabs>
        <w:tab w:val="left" w:pos="850"/>
        <w:tab w:val="clear" w:pos="1417"/>
      </w:tabs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6E3BD5"/>
    <w:pPr>
      <w:widowControl/>
      <w:numPr>
        <w:ilvl w:val="6"/>
        <w:numId w:val="32"/>
      </w:numPr>
      <w:tabs>
        <w:tab w:val="left" w:pos="850"/>
        <w:tab w:val="clear" w:pos="1417"/>
      </w:tabs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6E3BD5"/>
    <w:pPr>
      <w:widowControl/>
      <w:numPr>
        <w:ilvl w:val="3"/>
        <w:numId w:val="3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6E3BD5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6E3BD5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6E3BD5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E3B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E3B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E3B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E3B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E3BD5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E3BD5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E3BD5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6E3BD5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E3BD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E3B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E3B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E3B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E3B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E3B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E3B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E3BD5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E3BD5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E3BD5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E3BD5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6E3BD5"/>
    <w:pPr>
      <w:widowControl/>
      <w:numPr>
        <w:ilvl w:val="1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E3BD5"/>
    <w:pPr>
      <w:widowControl/>
      <w:numPr>
        <w:ilvl w:val="3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6E3BD5"/>
    <w:pPr>
      <w:widowControl/>
      <w:numPr>
        <w:ilvl w:val="5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E3BD5"/>
    <w:pPr>
      <w:widowControl/>
      <w:numPr>
        <w:ilvl w:val="7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E3BD5"/>
    <w:pPr>
      <w:widowControl/>
      <w:numPr>
        <w:ilvl w:val="8"/>
        <w:numId w:val="33"/>
      </w:numPr>
      <w:tabs>
        <w:tab w:val="num" w:pos="850"/>
        <w:tab w:val="clear" w:pos="3118"/>
      </w:tabs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6E3BD5"/>
    <w:pPr>
      <w:widowControl/>
      <w:tabs>
        <w:tab w:val="num" w:pos="1417"/>
      </w:tabs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E3BD5"/>
    <w:pPr>
      <w:widowControl/>
      <w:tabs>
        <w:tab w:val="num" w:pos="1984"/>
      </w:tabs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E3BD5"/>
    <w:pPr>
      <w:widowControl/>
      <w:tabs>
        <w:tab w:val="num" w:pos="2551"/>
      </w:tabs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E3BD5"/>
    <w:pPr>
      <w:widowControl/>
      <w:tabs>
        <w:tab w:val="num" w:pos="3118"/>
      </w:tabs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6E3BD5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6E3BD5"/>
    <w:pPr>
      <w:widowControl/>
      <w:numPr>
        <w:numId w:val="3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6E3BD5"/>
    <w:pPr>
      <w:widowControl/>
      <w:numPr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6E3BD5"/>
    <w:pPr>
      <w:widowControl/>
      <w:numPr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6E3BD5"/>
    <w:pPr>
      <w:widowControl/>
      <w:numPr>
        <w:numId w:val="3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E3BD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E3BD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E3BD5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6E3BD5"/>
    <w:pPr>
      <w:widowControl/>
      <w:numPr>
        <w:numId w:val="3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E3BD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E3BD5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E3BD5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E3BD5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E3BD5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E3B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E3BD5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6E3BD5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E3BD5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E3BD5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E3BD5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E3BD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E3BD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E3BD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E3BD5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6E3BD5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6E3BD5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6E3BD5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6E3BD5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6E3BD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6E3BD5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E3BD5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6E3BD5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E3BD5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E3BD5"/>
    <w:pPr>
      <w:spacing w:before="240"/>
    </w:pPr>
  </w:style>
  <w:style w:type="paragraph" w:customStyle="1" w:styleId="Accordtitre">
    <w:name w:val="Accord titre"/>
    <w:basedOn w:val="Normal"/>
    <w:rsid w:val="006E3BD5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6E3BD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6E3BD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E3BD5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E3BD5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E3BD5"/>
    <w:pPr>
      <w:spacing w:after="240"/>
    </w:pPr>
  </w:style>
  <w:style w:type="paragraph" w:customStyle="1" w:styleId="Annexetitre">
    <w:name w:val="Annexe titre"/>
    <w:basedOn w:val="Normal"/>
    <w:next w:val="Normal"/>
    <w:rsid w:val="006E3BD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E3BD5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E3BD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E3BD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E3BD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E3BD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E3BD5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E3BD5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E3BD5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E3BD5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E3BD5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E3BD5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E3BD5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E3BD5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E3BD5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E3BD5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E3BD5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E3BD5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E3BD5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E3BD5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E3BD5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E3BD5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E3BD5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E3BD5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E3BD5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E3BD5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E3BD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E3B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6E3BD5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6E3BD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E3BD5"/>
    <w:pPr>
      <w:pBdr>
        <w:top w:val="none" w:sz="0" w:space="0" w:color="auto"/>
        <w:left w:val="single" w:sz="4" w:space="20" w:color="auto"/>
      </w:pBdr>
    </w:pPr>
  </w:style>
  <w:style w:type="character" w:styleId="UnresolvedMention">
    <w:name w:val="Unresolved Mention"/>
    <w:basedOn w:val="DefaultParagraphFont"/>
    <w:uiPriority w:val="99"/>
    <w:semiHidden/>
    <w:unhideWhenUsed/>
    <w:rsid w:val="006E3B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unhideWhenUsed/>
    <w:rsid w:val="006E3BD5"/>
    <w:rPr>
      <w:color w:val="954F72" w:themeColor="followedHyperlink"/>
      <w:u w:val="single"/>
    </w:rPr>
  </w:style>
  <w:style w:type="paragraph" w:styleId="List">
    <w:name w:val="List"/>
    <w:basedOn w:val="Normal"/>
    <w:uiPriority w:val="99"/>
    <w:unhideWhenUsed/>
    <w:rsid w:val="006E3BD5"/>
    <w:pPr>
      <w:widowControl/>
      <w:spacing w:before="120" w:after="120" w:line="360" w:lineRule="auto"/>
      <w:ind w:left="283" w:hanging="283"/>
      <w:contextualSpacing/>
    </w:pPr>
    <w:rPr>
      <w:rFonts w:eastAsiaTheme="minorHAnsi"/>
      <w:szCs w:val="22"/>
      <w:lang w:eastAsia="en-US"/>
    </w:rPr>
  </w:style>
  <w:style w:type="paragraph" w:styleId="List2">
    <w:name w:val="List 2"/>
    <w:basedOn w:val="Normal"/>
    <w:uiPriority w:val="99"/>
    <w:unhideWhenUsed/>
    <w:rsid w:val="006E3BD5"/>
    <w:pPr>
      <w:widowControl/>
      <w:spacing w:before="120" w:after="120" w:line="360" w:lineRule="auto"/>
      <w:ind w:left="566" w:hanging="283"/>
      <w:contextualSpacing/>
    </w:pPr>
    <w:rPr>
      <w:rFonts w:eastAsiaTheme="minorHAnsi"/>
      <w:szCs w:val="22"/>
      <w:lang w:eastAsia="en-US"/>
    </w:rPr>
  </w:style>
  <w:style w:type="paragraph" w:styleId="List3">
    <w:name w:val="List 3"/>
    <w:basedOn w:val="Normal"/>
    <w:uiPriority w:val="99"/>
    <w:unhideWhenUsed/>
    <w:rsid w:val="006E3BD5"/>
    <w:pPr>
      <w:widowControl/>
      <w:spacing w:before="120" w:after="120" w:line="360" w:lineRule="auto"/>
      <w:ind w:left="849" w:hanging="283"/>
      <w:contextualSpacing/>
    </w:pPr>
    <w:rPr>
      <w:rFonts w:eastAsiaTheme="minorHAnsi"/>
      <w:szCs w:val="22"/>
      <w:lang w:eastAsia="en-US"/>
    </w:rPr>
  </w:style>
  <w:style w:type="paragraph" w:styleId="List4">
    <w:name w:val="List 4"/>
    <w:basedOn w:val="Normal"/>
    <w:uiPriority w:val="99"/>
    <w:unhideWhenUsed/>
    <w:rsid w:val="006E3BD5"/>
    <w:pPr>
      <w:widowControl/>
      <w:spacing w:before="120" w:after="120" w:line="360" w:lineRule="auto"/>
      <w:ind w:left="1132" w:hanging="283"/>
      <w:contextualSpacing/>
    </w:pPr>
    <w:rPr>
      <w:rFonts w:eastAsiaTheme="minorHAnsi"/>
      <w:szCs w:val="22"/>
      <w:lang w:eastAsia="en-US"/>
    </w:rPr>
  </w:style>
  <w:style w:type="paragraph" w:styleId="ListContinue">
    <w:name w:val="List Continue"/>
    <w:basedOn w:val="Normal"/>
    <w:uiPriority w:val="99"/>
    <w:unhideWhenUsed/>
    <w:rsid w:val="006E3BD5"/>
    <w:pPr>
      <w:widowControl/>
      <w:spacing w:before="120" w:after="120" w:line="360" w:lineRule="auto"/>
      <w:ind w:left="283"/>
      <w:contextualSpacing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6E3BD5"/>
    <w:pPr>
      <w:widowControl/>
      <w:spacing w:after="200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6E3BD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E3BD5"/>
    <w:rPr>
      <w:rFonts w:eastAsiaTheme="minorHAnsi"/>
      <w:sz w:val="24"/>
      <w:szCs w:val="22"/>
      <w:lang w:val="pl-PL"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6E3BD5"/>
    <w:pPr>
      <w:widowControl/>
      <w:spacing w:before="120" w:after="120" w:line="360" w:lineRule="auto"/>
      <w:ind w:left="283"/>
    </w:pPr>
    <w:rPr>
      <w:rFonts w:eastAsiaTheme="minorHAnsi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E3BD5"/>
    <w:rPr>
      <w:rFonts w:eastAsiaTheme="minorHAnsi"/>
      <w:sz w:val="24"/>
      <w:szCs w:val="22"/>
      <w:lang w:val="pl-PL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E3BD5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E3BD5"/>
    <w:rPr>
      <w:rFonts w:eastAsiaTheme="minorHAnsi"/>
      <w:sz w:val="24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2026-09-04T10:32:00Z</dcterms:created>
  <dcterms:modified xsi:type="dcterms:W3CDTF">2026-09-04T10:32:00Z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