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81DB45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3BED" w:rsidP="0010095E" w14:paraId="4290618B" w14:textId="77777777">
            <w:pPr>
              <w:pStyle w:val="EPName"/>
            </w:pPr>
            <w:r w:rsidRPr="00DC3BED">
              <w:t>Parlamento Europeu</w:t>
            </w:r>
          </w:p>
          <w:p w:rsidR="00751A4A" w:rsidRPr="00DC3BED" w:rsidP="005F1B17" w14:paraId="37FADFB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3BED">
              <w:t>2024</w:t>
            </w:r>
            <w:r w:rsidRPr="00DC3BED" w:rsidR="00817416">
              <w:t>-202</w:t>
            </w:r>
            <w:r w:rsidRPr="00DC3BE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C3BED" w:rsidP="0010095E" w14:paraId="2E6587F6" w14:textId="77777777">
            <w:pPr>
              <w:pStyle w:val="EPLogo"/>
            </w:pPr>
            <w:r w:rsidRPr="00DC3BE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3BED" w:rsidP="004C5D52" w14:paraId="769C74D9" w14:textId="77777777">
      <w:pPr>
        <w:pStyle w:val="LineTop"/>
      </w:pPr>
    </w:p>
    <w:p w:rsidR="00680577" w:rsidRPr="00DC3BED" w:rsidP="00680577" w14:paraId="6B3BA3B6" w14:textId="77777777">
      <w:pPr>
        <w:pStyle w:val="EPBodyTA1"/>
      </w:pPr>
      <w:r w:rsidRPr="00DC3BED">
        <w:t>TEXTOS APROVADOS</w:t>
      </w:r>
    </w:p>
    <w:p w:rsidR="00D058B8" w:rsidRPr="00DC3BED" w:rsidP="00D058B8" w14:paraId="6A04791F" w14:textId="77777777">
      <w:pPr>
        <w:pStyle w:val="LineBottom"/>
      </w:pPr>
    </w:p>
    <w:p w:rsidR="00E00127" w:rsidRPr="00DC3BED" w:rsidP="00E00127" w14:paraId="48A78BC7" w14:textId="653FECC7">
      <w:pPr>
        <w:pStyle w:val="ATHeading1"/>
      </w:pPr>
      <w:bookmarkStart w:id="0" w:name="TANumber"/>
      <w:r w:rsidRPr="00DC3BED">
        <w:t>P10_TA(2026)</w:t>
      </w:r>
      <w:bookmarkEnd w:id="0"/>
      <w:r w:rsidRPr="00DC3BED" w:rsidR="00F616A8">
        <w:t>0227</w:t>
      </w:r>
    </w:p>
    <w:p w:rsidR="00E00127" w:rsidRPr="00DC3BED" w:rsidP="00E00127" w14:paraId="5EAA3240" w14:textId="77777777">
      <w:pPr>
        <w:pStyle w:val="ATHeading2"/>
      </w:pPr>
      <w:bookmarkStart w:id="1" w:name="title"/>
      <w:r w:rsidRPr="00DC3BED">
        <w:t>Requisitos de circularidade para a conceção de veículos e a gestão dos veículos em fim de vida</w:t>
      </w:r>
      <w:bookmarkEnd w:id="1"/>
    </w:p>
    <w:p w:rsidR="00E00127" w:rsidRPr="00DC3BED" w:rsidP="00E00127" w14:paraId="42569CBD" w14:textId="77777777">
      <w:pPr>
        <w:rPr>
          <w:i/>
          <w:vanish/>
        </w:rPr>
      </w:pPr>
      <w:r>
        <w:rPr>
          <w:i/>
        </w:rPr>
        <w:fldChar w:fldCharType="begin"/>
      </w:r>
      <w:r w:rsidRPr="00DC3BED">
        <w:rPr>
          <w:i/>
        </w:rPr>
        <w:instrText xml:space="preserve"> TC"(</w:instrText>
      </w:r>
      <w:bookmarkStart w:id="2" w:name="DocNumber"/>
      <w:r w:rsidRPr="00DC3BED">
        <w:rPr>
          <w:i/>
        </w:rPr>
        <w:instrText>A10-0158/2025</w:instrText>
      </w:r>
      <w:bookmarkEnd w:id="2"/>
      <w:r w:rsidRPr="00DC3BED">
        <w:rPr>
          <w:i/>
        </w:rPr>
        <w:instrText xml:space="preserve"> - Relatoras: Jens Gieseke, Paulius Saudargas)"\l3 \n&gt; \* MERGEFORMAT </w:instrText>
      </w:r>
      <w:r>
        <w:rPr>
          <w:i/>
        </w:rPr>
        <w:fldChar w:fldCharType="end"/>
      </w:r>
    </w:p>
    <w:p w:rsidR="00E00127" w:rsidRPr="00DC3BED" w:rsidP="00E00127" w14:paraId="0FC7D02F" w14:textId="77777777">
      <w:pPr>
        <w:rPr>
          <w:vanish/>
        </w:rPr>
      </w:pPr>
      <w:bookmarkStart w:id="3" w:name="Commission"/>
      <w:r w:rsidRPr="00DC3BED">
        <w:rPr>
          <w:vanish/>
        </w:rPr>
        <w:t>Comissão do Ambiente, do Clima e da Segurança Alimentar, Comissão do Mercado Interno e da Proteção dos Consumidores</w:t>
      </w:r>
      <w:bookmarkEnd w:id="3"/>
    </w:p>
    <w:p w:rsidR="00E00127" w:rsidRPr="00DC3BED" w:rsidP="00E00127" w14:paraId="7F8A6686" w14:textId="77777777">
      <w:pPr>
        <w:rPr>
          <w:vanish/>
        </w:rPr>
      </w:pPr>
      <w:bookmarkStart w:id="4" w:name="PE"/>
      <w:r w:rsidRPr="00DC3BED">
        <w:rPr>
          <w:vanish/>
        </w:rPr>
        <w:t>PE768.004</w:t>
      </w:r>
      <w:bookmarkEnd w:id="4"/>
    </w:p>
    <w:p w:rsidR="00E00127" w:rsidRPr="00DC3BED" w:rsidP="00E00127" w14:paraId="49A1AFBE" w14:textId="14360A23">
      <w:pPr>
        <w:pStyle w:val="ATHeading3"/>
      </w:pPr>
      <w:bookmarkStart w:id="5" w:name="Sujet"/>
      <w:r w:rsidRPr="00DC3BED">
        <w:t xml:space="preserve">Resolução legislativa do Parlamento Europeu, de </w:t>
      </w:r>
      <w:r w:rsidRPr="00DC3BED" w:rsidR="00D615FD">
        <w:t xml:space="preserve">18 </w:t>
      </w:r>
      <w:r w:rsidRPr="00DC3BED">
        <w:t xml:space="preserve">de </w:t>
      </w:r>
      <w:r w:rsidRPr="00DC3BED" w:rsidR="00D615FD">
        <w:t xml:space="preserve">junho </w:t>
      </w:r>
      <w:r w:rsidRPr="00DC3BED">
        <w:t>de 2026, sobre a proposta de regulamento do Parlamento Europeu e do Conselho relativo aos requisitos de circularidade para a conceção de veículos e a gestão dos veículos em fim de vida, que altera os Regulamentos (UE) 2018/858 e (UE) 2019/1020 e que revoga as Diretivas 2000/53/CE e 2005/64/CE</w:t>
      </w:r>
      <w:bookmarkEnd w:id="5"/>
      <w:r w:rsidRPr="00DC3BED">
        <w:t xml:space="preserve"> </w:t>
      </w:r>
      <w:bookmarkStart w:id="6" w:name="References"/>
      <w:r w:rsidRPr="00DC3BED">
        <w:t>(COM(2023)0451 – C9-0308/2023 – 2023/0284(COD))</w:t>
      </w:r>
      <w:bookmarkEnd w:id="6"/>
    </w:p>
    <w:p w:rsidR="00DC3BED" w:rsidP="00DC3BED" w14:paraId="57BB7C1A" w14:textId="77777777">
      <w:bookmarkStart w:id="7" w:name="_Hlk232678688"/>
    </w:p>
    <w:p w:rsidR="00B339E2" w:rsidRPr="00DC3BED" w:rsidP="00B339E2" w14:paraId="729B4A72" w14:textId="20F7A682">
      <w:pPr>
        <w:pStyle w:val="NormalBold"/>
      </w:pPr>
      <w:r w:rsidRPr="00DC3BED">
        <w:t>(Processo legislativo ordinário: primeira leitura)</w:t>
      </w:r>
    </w:p>
    <w:bookmarkEnd w:id="7"/>
    <w:p w:rsidR="00B339E2" w:rsidRPr="00DC3BED" w:rsidP="00B339E2" w14:paraId="4A83FB83" w14:textId="77777777">
      <w:pPr>
        <w:pStyle w:val="EPComma"/>
      </w:pPr>
      <w:r w:rsidRPr="00DC3BED">
        <w:rPr>
          <w:i/>
        </w:rPr>
        <w:t>O Parlamento Europeu</w:t>
      </w:r>
      <w:r w:rsidRPr="00DC3BED">
        <w:t>,</w:t>
      </w:r>
    </w:p>
    <w:p w:rsidR="000F0D44" w:rsidRPr="00DC3BED" w:rsidP="00B339E2" w14:paraId="1B4C5374" w14:textId="77777777">
      <w:pPr>
        <w:pStyle w:val="NormalHanging12a"/>
      </w:pPr>
      <w:r w:rsidRPr="00DC3BED">
        <w:t>–</w:t>
      </w:r>
      <w:r w:rsidRPr="00DC3BED">
        <w:tab/>
        <w:t>Tendo em conta a proposta da Comissão ao Parlamento e ao Conselho (COM(2023)0451),</w:t>
      </w:r>
    </w:p>
    <w:p w:rsidR="00B339E2" w:rsidRPr="00DC3BED" w:rsidP="00B339E2" w14:paraId="0074001E" w14:textId="1ADC94FC">
      <w:pPr>
        <w:pStyle w:val="NormalHanging12a"/>
      </w:pPr>
      <w:r w:rsidRPr="00DC3BED">
        <w:t>–</w:t>
      </w:r>
      <w:r w:rsidRPr="00DC3BED">
        <w:tab/>
        <w:t>Tendo em conta o artigo 294.º, n.º 2, e o artigo 114.º do Tratado sobre o Funcionamento da União Europeia, nos termos dos quais a Comissão apresentou a proposta ao Parlamento (C9</w:t>
      </w:r>
      <w:r w:rsidRPr="00DC3BED">
        <w:noBreakHyphen/>
        <w:t>0308/2023),</w:t>
      </w:r>
    </w:p>
    <w:p w:rsidR="00D615FD" w:rsidRPr="00DC3BED" w:rsidP="00B339E2" w14:paraId="1D3EBA48" w14:textId="5B28E9CA">
      <w:pPr>
        <w:pStyle w:val="NormalHanging12a"/>
      </w:pPr>
      <w:r w:rsidRPr="00DC3BED">
        <w:t>–</w:t>
      </w:r>
      <w:r w:rsidRPr="00DC3BED">
        <w:tab/>
      </w:r>
      <w:r w:rsidRPr="00DC3BED" w:rsidR="006A24C9">
        <w:t>Tendo em conta o parecer da Comissão dos Assuntos Jurídicos sobre a base jurídica proposta,</w:t>
      </w:r>
    </w:p>
    <w:p w:rsidR="00B339E2" w:rsidRPr="00DC3BED" w:rsidP="00B339E2" w14:paraId="7D35361E" w14:textId="1BCDC0B8">
      <w:pPr>
        <w:pStyle w:val="NormalHanging12a"/>
      </w:pPr>
      <w:r w:rsidRPr="00DC3BED">
        <w:t>–</w:t>
      </w:r>
      <w:r w:rsidRPr="00DC3BED">
        <w:tab/>
        <w:t xml:space="preserve">Tendo em conta o artigo 294.º, n.º 3, </w:t>
      </w:r>
      <w:r w:rsidRPr="00DC3BED" w:rsidR="009E32A2">
        <w:t xml:space="preserve">o artigo 114.º e o artigo 192.º, n.º 1, </w:t>
      </w:r>
      <w:r w:rsidRPr="00DC3BED">
        <w:t>do Tratado sobre o Funcionamento da União Europeia,</w:t>
      </w:r>
    </w:p>
    <w:p w:rsidR="00B339E2" w:rsidRPr="00DC3BED" w:rsidP="00B339E2" w14:paraId="7D6A1814" w14:textId="77777777">
      <w:pPr>
        <w:pStyle w:val="NormalHanging12a"/>
      </w:pPr>
      <w:r w:rsidRPr="00DC3BED">
        <w:t xml:space="preserve">– </w:t>
      </w:r>
      <w:r w:rsidRPr="00DC3BED">
        <w:tab/>
        <w:t>Tendo em conta o parecer do Comité Económico e Social Europeu de 14 de dezembro de 2023</w:t>
      </w:r>
      <w:r>
        <w:rPr>
          <w:rStyle w:val="FootnoteReference"/>
        </w:rPr>
        <w:footnoteReference w:id="2"/>
      </w:r>
      <w:r w:rsidRPr="00DC3BED">
        <w:t>,</w:t>
      </w:r>
    </w:p>
    <w:p w:rsidR="00D615FD" w:rsidRPr="00DC3BED" w:rsidP="00B339E2" w14:paraId="2AD8A0C9" w14:textId="73A4AEB4">
      <w:pPr>
        <w:pStyle w:val="NormalHanging12a"/>
      </w:pPr>
      <w:r w:rsidRPr="00DC3BED">
        <w:t>–</w:t>
      </w:r>
      <w:r w:rsidRPr="00DC3BED">
        <w:tab/>
      </w:r>
      <w:r w:rsidRPr="00DC3BED" w:rsidR="006A24C9">
        <w:t xml:space="preserve">Após consulta </w:t>
      </w:r>
      <w:r w:rsidRPr="00DC3BED" w:rsidR="00C05405">
        <w:t>a</w:t>
      </w:r>
      <w:r w:rsidRPr="00DC3BED" w:rsidR="006A24C9">
        <w:t>o Comité das Regiões,</w:t>
      </w:r>
    </w:p>
    <w:p w:rsidR="001950AF" w:rsidRPr="00DC3BED" w:rsidP="00B339E2" w14:paraId="2CD1AB0E" w14:textId="3A2281E8">
      <w:pPr>
        <w:pStyle w:val="NormalHanging12a"/>
      </w:pPr>
      <w:r w:rsidRPr="00DC3BED">
        <w:t>–</w:t>
      </w:r>
      <w:r w:rsidRPr="00DC3BED">
        <w:tab/>
        <w:t xml:space="preserve">Tendo em conta o acordo provisório aprovado pela comissão competente nos termos do </w:t>
      </w:r>
      <w:r w:rsidRPr="00DC3BED">
        <w:t>artigo 75.º, n.º 4, do seu Regimento e o compromisso assumido pelo representante do Conselho, em carta de 25 de fevereiro de 2026, de aprovar a posição do Parlamento, nos termos do artigo 294.º, n.º 4, do Tratado sobre o Funcionamento da União Europeia,</w:t>
      </w:r>
    </w:p>
    <w:p w:rsidR="00B339E2" w:rsidRPr="00DC3BED" w:rsidP="00B339E2" w14:paraId="6A2AB452" w14:textId="68984177">
      <w:pPr>
        <w:pStyle w:val="NormalHanging12a"/>
      </w:pPr>
      <w:r w:rsidRPr="00DC3BED">
        <w:t>–</w:t>
      </w:r>
      <w:r w:rsidRPr="00DC3BED">
        <w:tab/>
        <w:t>Tendo em conta o</w:t>
      </w:r>
      <w:r w:rsidRPr="00DC3BED" w:rsidR="009E32A2">
        <w:t>s</w:t>
      </w:r>
      <w:r w:rsidRPr="00DC3BED">
        <w:t xml:space="preserve"> artigo</w:t>
      </w:r>
      <w:r w:rsidRPr="00DC3BED" w:rsidR="009E32A2">
        <w:t>s</w:t>
      </w:r>
      <w:r w:rsidRPr="00DC3BED">
        <w:t xml:space="preserve"> 60.º </w:t>
      </w:r>
      <w:r w:rsidRPr="00DC3BED" w:rsidR="009E32A2">
        <w:t xml:space="preserve">e 41.º </w:t>
      </w:r>
      <w:r w:rsidRPr="00DC3BED">
        <w:t>do seu Regimento,</w:t>
      </w:r>
    </w:p>
    <w:p w:rsidR="009E32A2" w:rsidRPr="00DC3BED" w:rsidP="00B339E2" w14:paraId="6A2031F3" w14:textId="4F4E3617">
      <w:pPr>
        <w:pStyle w:val="NormalHanging12a"/>
      </w:pPr>
      <w:r w:rsidRPr="00DC3BED">
        <w:t>–</w:t>
      </w:r>
      <w:r w:rsidRPr="00DC3BED">
        <w:tab/>
        <w:t>Tendo em conta as deliberações conjuntas</w:t>
      </w:r>
      <w:r w:rsidRPr="00DC3BED" w:rsidR="00AB1DA7">
        <w:t xml:space="preserve"> da Comissão do Ambiente, do Clima e da Segurança Alimentar e </w:t>
      </w:r>
      <w:r w:rsidRPr="00DC3BED">
        <w:t>da Comissão do Mercado Interno e da Proteção dos Consumidores, nos termos do artigo 59.º do seu Regimento,</w:t>
      </w:r>
    </w:p>
    <w:p w:rsidR="00B339E2" w:rsidRPr="00DC3BED" w:rsidP="00B339E2" w14:paraId="03548DC7" w14:textId="77777777">
      <w:pPr>
        <w:pStyle w:val="NormalHanging12a"/>
      </w:pPr>
      <w:r w:rsidRPr="00DC3BED">
        <w:t>–</w:t>
      </w:r>
      <w:r w:rsidRPr="00DC3BED">
        <w:tab/>
        <w:t>Tendo em conta o parecer da Comissão dos Transportes e do Turismo,</w:t>
      </w:r>
    </w:p>
    <w:p w:rsidR="00B339E2" w:rsidRPr="00DC3BED" w:rsidP="00B339E2" w14:paraId="5DCFB28E" w14:textId="77777777">
      <w:pPr>
        <w:pStyle w:val="NormalHanging12a"/>
      </w:pPr>
      <w:r w:rsidRPr="00DC3BED">
        <w:t>–</w:t>
      </w:r>
      <w:r w:rsidRPr="00DC3BED">
        <w:tab/>
        <w:t>Tendo em conta o relatório da Comissão do Ambiente, do Clima e da Segurança Alimentar e da Comissão do Mercado Interno e da Proteção dos Consumidores (A10</w:t>
      </w:r>
      <w:r w:rsidRPr="00DC3BED">
        <w:noBreakHyphen/>
        <w:t>0158/2025),</w:t>
      </w:r>
    </w:p>
    <w:p w:rsidR="00B339E2" w:rsidRPr="00DC3BED" w:rsidP="00B339E2" w14:paraId="0401D253" w14:textId="10B8938C">
      <w:pPr>
        <w:pStyle w:val="NormalHanging12a"/>
      </w:pPr>
      <w:r w:rsidRPr="00DC3BED">
        <w:t>1.</w:t>
      </w:r>
      <w:r w:rsidRPr="00DC3BED">
        <w:tab/>
        <w:t xml:space="preserve">Aprova a posição </w:t>
      </w:r>
      <w:r w:rsidRPr="00DC3BED" w:rsidR="007B7984">
        <w:t>em primeira leitura que se segue</w:t>
      </w:r>
      <w:r>
        <w:rPr>
          <w:rStyle w:val="FootnoteReference"/>
        </w:rPr>
        <w:footnoteReference w:id="3"/>
      </w:r>
      <w:r w:rsidRPr="00DC3BED">
        <w:t>;</w:t>
      </w:r>
    </w:p>
    <w:p w:rsidR="00B339E2" w:rsidRPr="00DC3BED" w:rsidP="00B339E2" w14:paraId="54EE7160" w14:textId="14010F92">
      <w:pPr>
        <w:pStyle w:val="NormalHanging12a"/>
      </w:pPr>
      <w:r w:rsidRPr="00DC3BED">
        <w:t>2.</w:t>
      </w:r>
      <w:r w:rsidRPr="00DC3BED">
        <w:tab/>
      </w:r>
      <w:r w:rsidRPr="00DC3BED" w:rsidR="00AB1DA7">
        <w:t>Requer à Comissão que lhe submeta de novo a sua proposta, se a substituir, se a alterar substancialmente ou se pretender alterá-la substancialmente</w:t>
      </w:r>
      <w:r w:rsidRPr="00DC3BED">
        <w:t>;</w:t>
      </w:r>
    </w:p>
    <w:p w:rsidR="00B339E2" w:rsidRPr="00DC3BED" w:rsidP="00B339E2" w14:paraId="5A8044B1" w14:textId="77777777">
      <w:pPr>
        <w:pStyle w:val="NormalHanging12a"/>
      </w:pPr>
      <w:r w:rsidRPr="00DC3BED">
        <w:t>3.</w:t>
      </w:r>
      <w:r w:rsidRPr="00DC3BED">
        <w:tab/>
        <w:t>Encarrega a sua Presidente de transmitir a posição do Parlamento ao Conselho, à Comissão e aos parlamentos nacionais.</w:t>
      </w:r>
    </w:p>
    <w:p w:rsidR="00D615FD" w:rsidRPr="00DC3BED" w:rsidP="00B339E2" w14:paraId="69CAB995" w14:textId="77777777"/>
    <w:p w:rsidR="00D615FD" w:rsidRPr="00DC3BED" w:rsidP="00B339E2" w14:paraId="76B9CFFF" w14:textId="77777777">
      <w:pPr>
        <w:sectPr w:rsidSect="00BC012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615FD" w:rsidRPr="00DC3BED" w:rsidP="00D615FD" w14:paraId="7F3288FB" w14:textId="3B458C19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DC3BED">
        <w:rPr>
          <w:rFonts w:eastAsia="Calibri"/>
          <w:b/>
          <w:szCs w:val="24"/>
          <w:lang w:eastAsia="en-US"/>
        </w:rPr>
        <w:t>P10_TC1-COD(2</w:t>
      </w:r>
      <w:r w:rsidRPr="00DC3BED" w:rsidR="006A24C9">
        <w:rPr>
          <w:rFonts w:eastAsia="Calibri"/>
          <w:b/>
          <w:szCs w:val="24"/>
          <w:lang w:eastAsia="en-US"/>
        </w:rPr>
        <w:t>023</w:t>
      </w:r>
      <w:r w:rsidRPr="00DC3BED">
        <w:rPr>
          <w:rFonts w:eastAsia="Calibri"/>
          <w:b/>
          <w:szCs w:val="24"/>
          <w:lang w:eastAsia="en-US"/>
        </w:rPr>
        <w:t>)0</w:t>
      </w:r>
      <w:r w:rsidRPr="00DC3BED" w:rsidR="006A24C9">
        <w:rPr>
          <w:rFonts w:eastAsia="Calibri"/>
          <w:b/>
          <w:szCs w:val="24"/>
          <w:lang w:eastAsia="en-US"/>
        </w:rPr>
        <w:t>284</w:t>
      </w:r>
    </w:p>
    <w:p w:rsidR="006A24C9" w:rsidP="005D2A40" w14:paraId="649BF712" w14:textId="0472FF90">
      <w:pPr>
        <w:rPr>
          <w:rFonts w:eastAsia="Calibri"/>
          <w:b/>
          <w:color w:val="000000"/>
          <w:szCs w:val="22"/>
          <w:lang w:eastAsia="en-US"/>
        </w:rPr>
      </w:pPr>
      <w:r w:rsidRPr="00DC3BED">
        <w:rPr>
          <w:b/>
          <w:szCs w:val="24"/>
        </w:rPr>
        <w:t>Posição do Parlamento Europeu aprovada em primeira leitura em 1</w:t>
      </w:r>
      <w:r w:rsidRPr="00DC3BED" w:rsidR="005D2A40">
        <w:rPr>
          <w:b/>
          <w:szCs w:val="24"/>
        </w:rPr>
        <w:t>8</w:t>
      </w:r>
      <w:r w:rsidRPr="00DC3BED">
        <w:rPr>
          <w:b/>
          <w:szCs w:val="24"/>
        </w:rPr>
        <w:t xml:space="preserve"> de junho de 2026 tendo em vista a adoção do Regulamento (UE) 2026/... do Parlamento Europeu e do Conselho </w:t>
      </w:r>
      <w:r w:rsidRPr="00DC3BED">
        <w:rPr>
          <w:rFonts w:eastAsia="Calibri"/>
          <w:b/>
          <w:color w:val="000000"/>
          <w:szCs w:val="22"/>
          <w:lang w:eastAsia="en-US"/>
        </w:rPr>
        <w:t>relativo aos requisitos de circularidade para a conceção de veículos e a gestão dos veículos em fim de vida, que altera o</w:t>
      </w:r>
      <w:r w:rsidRPr="00C2554B">
        <w:rPr>
          <w:rFonts w:eastAsia="Calibri"/>
          <w:b/>
          <w:color w:val="000000"/>
          <w:szCs w:val="22"/>
          <w:lang w:eastAsia="en-US"/>
        </w:rPr>
        <w:t>s Regulamentos (UE) n.º 168/2013, (UE) 2018/858, (UE) 2019/1020 e (UE) 2023/1542 e que revoga as Diretivas 2000/53/CE e 2005/64/CE</w:t>
      </w:r>
    </w:p>
    <w:p w:rsidR="00C2554B" w:rsidP="005D2A40" w14:paraId="1CB107A8" w14:textId="77777777">
      <w:pPr>
        <w:rPr>
          <w:rFonts w:eastAsia="Calibri"/>
          <w:b/>
          <w:bCs/>
          <w:color w:val="000000"/>
          <w:szCs w:val="24"/>
          <w:lang w:eastAsia="en-US"/>
        </w:rPr>
      </w:pPr>
    </w:p>
    <w:p w:rsidR="00C2554B" w:rsidRPr="00C2554B" w:rsidP="005D2A40" w14:paraId="334E4108" w14:textId="4697FE06">
      <w:pPr>
        <w:rPr>
          <w:rFonts w:eastAsia="Calibri"/>
          <w:i/>
          <w:iCs/>
          <w:color w:val="000000"/>
          <w:szCs w:val="24"/>
          <w:lang w:eastAsia="en-US"/>
        </w:rPr>
      </w:pPr>
      <w:r w:rsidRPr="00C2554B">
        <w:rPr>
          <w:rFonts w:eastAsia="Calibri"/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 2026/1738</w:t>
      </w:r>
      <w:r>
        <w:rPr>
          <w:rFonts w:eastAsia="Calibri"/>
          <w:i/>
          <w:iCs/>
          <w:color w:val="000000"/>
          <w:szCs w:val="24"/>
          <w:lang w:eastAsia="en-US"/>
        </w:rPr>
        <w:t>.</w:t>
      </w:r>
      <w:r w:rsidRPr="00C2554B">
        <w:rPr>
          <w:rFonts w:eastAsia="Calibri"/>
          <w:i/>
          <w:iCs/>
          <w:color w:val="000000"/>
          <w:szCs w:val="24"/>
          <w:lang w:eastAsia="en-US"/>
        </w:rPr>
        <w:t>)</w:t>
      </w:r>
    </w:p>
    <w:sectPr w:rsidSect="00C2554B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012D" w14:paraId="0B81D53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012D" w14:paraId="02BBC28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012D" w14:paraId="41B2695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00127" w:rsidRPr="00BC012D" w14:paraId="6F7B917D" w14:textId="77777777">
      <w:r w:rsidRPr="00BC012D">
        <w:separator/>
      </w:r>
    </w:p>
  </w:footnote>
  <w:footnote w:type="continuationSeparator" w:id="1">
    <w:p w:rsidR="00E00127" w:rsidRPr="00BC012D" w14:paraId="1B3D2F45" w14:textId="77777777">
      <w:r w:rsidRPr="00BC012D">
        <w:continuationSeparator/>
      </w:r>
    </w:p>
  </w:footnote>
  <w:footnote w:id="2">
    <w:p w:rsidR="00B339E2" w:rsidRPr="00F616A8" w:rsidP="00BC012D" w14:paraId="6D96A856" w14:textId="6C802246">
      <w:pPr>
        <w:pStyle w:val="FootnoteText"/>
        <w:ind w:left="567" w:hanging="567"/>
        <w:rPr>
          <w:sz w:val="24"/>
          <w:lang w:val="fi-FI"/>
        </w:rPr>
      </w:pPr>
      <w:r w:rsidRPr="00BC012D">
        <w:rPr>
          <w:rStyle w:val="FootnoteReference"/>
          <w:sz w:val="24"/>
          <w:lang w:val="pt-PT"/>
        </w:rPr>
        <w:footnoteRef/>
      </w:r>
      <w:r w:rsidRPr="00F616A8" w:rsidR="00BC012D">
        <w:rPr>
          <w:sz w:val="24"/>
          <w:lang w:val="fi-FI"/>
        </w:rPr>
        <w:t xml:space="preserve"> </w:t>
      </w:r>
      <w:r w:rsidRPr="00F616A8" w:rsidR="00BC012D">
        <w:rPr>
          <w:sz w:val="24"/>
          <w:lang w:val="fi-FI"/>
        </w:rPr>
        <w:tab/>
      </w:r>
      <w:r w:rsidRPr="00F616A8">
        <w:rPr>
          <w:sz w:val="24"/>
          <w:lang w:val="fi-FI"/>
        </w:rPr>
        <w:t xml:space="preserve">JO C, C/2024/1593, 5.3.2024, ELI: </w:t>
      </w:r>
      <w:hyperlink r:id="rId1" w:history="1">
        <w:r w:rsidRPr="00F616A8">
          <w:rPr>
            <w:rStyle w:val="Hyperlink"/>
            <w:sz w:val="24"/>
            <w:lang w:val="fi-FI"/>
          </w:rPr>
          <w:t>http://data.europa.eu/eli/C/2024/1593/oj</w:t>
        </w:r>
      </w:hyperlink>
      <w:r w:rsidRPr="00F616A8">
        <w:rPr>
          <w:sz w:val="24"/>
          <w:lang w:val="fi-FI"/>
        </w:rPr>
        <w:t>.</w:t>
      </w:r>
    </w:p>
  </w:footnote>
  <w:footnote w:id="3">
    <w:p w:rsidR="001950AF" w:rsidRPr="00F7072F" w:rsidP="001950AF" w14:paraId="26028592" w14:textId="7E27B511">
      <w:pPr>
        <w:pStyle w:val="FootnoteText"/>
        <w:ind w:left="567" w:hanging="567"/>
        <w:rPr>
          <w:sz w:val="24"/>
          <w:szCs w:val="24"/>
          <w:lang w:val="pt-PT"/>
        </w:rPr>
      </w:pPr>
      <w:r w:rsidRPr="00F7072F">
        <w:rPr>
          <w:rStyle w:val="FootnoteReference"/>
          <w:sz w:val="24"/>
          <w:szCs w:val="24"/>
        </w:rPr>
        <w:footnoteRef/>
      </w:r>
      <w:r w:rsidRPr="00F7072F">
        <w:rPr>
          <w:sz w:val="24"/>
          <w:szCs w:val="24"/>
          <w:lang w:val="pt-PT"/>
        </w:rPr>
        <w:t xml:space="preserve"> </w:t>
      </w:r>
      <w:r w:rsidRPr="00F7072F">
        <w:rPr>
          <w:sz w:val="24"/>
          <w:szCs w:val="24"/>
          <w:lang w:val="pt-PT"/>
        </w:rPr>
        <w:tab/>
        <w:t xml:space="preserve">A presente posição substitui as alterações aprovadas em </w:t>
      </w:r>
      <w:r>
        <w:rPr>
          <w:sz w:val="24"/>
          <w:szCs w:val="24"/>
          <w:lang w:val="pt-PT"/>
        </w:rPr>
        <w:t>9 de setembro de 2025</w:t>
      </w:r>
      <w:r w:rsidRPr="00F7072F">
        <w:rPr>
          <w:sz w:val="24"/>
          <w:szCs w:val="24"/>
          <w:lang w:val="pt-PT"/>
        </w:rPr>
        <w:t xml:space="preserve"> (Textos Aprovados, P</w:t>
      </w:r>
      <w:r>
        <w:rPr>
          <w:sz w:val="24"/>
          <w:szCs w:val="24"/>
          <w:lang w:val="pt-PT"/>
        </w:rPr>
        <w:t>10</w:t>
      </w:r>
      <w:r w:rsidRPr="00F7072F">
        <w:rPr>
          <w:sz w:val="24"/>
          <w:szCs w:val="24"/>
          <w:lang w:val="pt-PT"/>
        </w:rPr>
        <w:t>_TA(20</w:t>
      </w:r>
      <w:r>
        <w:rPr>
          <w:sz w:val="24"/>
          <w:szCs w:val="24"/>
          <w:lang w:val="pt-PT"/>
        </w:rPr>
        <w:t>25</w:t>
      </w:r>
      <w:r w:rsidRPr="00F7072F">
        <w:rPr>
          <w:sz w:val="24"/>
          <w:szCs w:val="24"/>
          <w:lang w:val="pt-PT"/>
        </w:rPr>
        <w:t>)0</w:t>
      </w:r>
      <w:r>
        <w:rPr>
          <w:sz w:val="24"/>
          <w:szCs w:val="24"/>
          <w:lang w:val="pt-PT"/>
        </w:rPr>
        <w:t>168</w:t>
      </w:r>
      <w:r w:rsidRPr="00F7072F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012D" w14:paraId="74E3FAD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012D" w14:paraId="54B9762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012D" w14:paraId="46D790E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115826360">
    <w:abstractNumId w:val="2"/>
  </w:num>
  <w:num w:numId="2" w16cid:durableId="1347290627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27"/>
    <w:rsid w:val="00002272"/>
    <w:rsid w:val="00064002"/>
    <w:rsid w:val="000677B9"/>
    <w:rsid w:val="000831BA"/>
    <w:rsid w:val="000A42CC"/>
    <w:rsid w:val="000E7DD9"/>
    <w:rsid w:val="000F0D44"/>
    <w:rsid w:val="0010095E"/>
    <w:rsid w:val="00125B37"/>
    <w:rsid w:val="00187494"/>
    <w:rsid w:val="001950AF"/>
    <w:rsid w:val="001B0564"/>
    <w:rsid w:val="001C75AD"/>
    <w:rsid w:val="001F32AE"/>
    <w:rsid w:val="001F59E9"/>
    <w:rsid w:val="0024036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480"/>
    <w:rsid w:val="004C0004"/>
    <w:rsid w:val="004C5D52"/>
    <w:rsid w:val="004E408E"/>
    <w:rsid w:val="0050519A"/>
    <w:rsid w:val="005072A1"/>
    <w:rsid w:val="00514517"/>
    <w:rsid w:val="00545827"/>
    <w:rsid w:val="00550072"/>
    <w:rsid w:val="00560270"/>
    <w:rsid w:val="005C2568"/>
    <w:rsid w:val="005D2A40"/>
    <w:rsid w:val="005F1B17"/>
    <w:rsid w:val="006037C0"/>
    <w:rsid w:val="006631B6"/>
    <w:rsid w:val="00680577"/>
    <w:rsid w:val="006A24C9"/>
    <w:rsid w:val="006F74FA"/>
    <w:rsid w:val="00731ADD"/>
    <w:rsid w:val="00734777"/>
    <w:rsid w:val="00747932"/>
    <w:rsid w:val="00751A4A"/>
    <w:rsid w:val="00756632"/>
    <w:rsid w:val="00762C74"/>
    <w:rsid w:val="00786EC0"/>
    <w:rsid w:val="007A2DF8"/>
    <w:rsid w:val="007B7984"/>
    <w:rsid w:val="007C48A8"/>
    <w:rsid w:val="007D1690"/>
    <w:rsid w:val="007E22AD"/>
    <w:rsid w:val="00817416"/>
    <w:rsid w:val="00842779"/>
    <w:rsid w:val="00865F67"/>
    <w:rsid w:val="00881A7B"/>
    <w:rsid w:val="008840E5"/>
    <w:rsid w:val="00887B3E"/>
    <w:rsid w:val="008B38BB"/>
    <w:rsid w:val="008C2AC6"/>
    <w:rsid w:val="008C4ABB"/>
    <w:rsid w:val="00930C23"/>
    <w:rsid w:val="0093193B"/>
    <w:rsid w:val="009509D8"/>
    <w:rsid w:val="00950B64"/>
    <w:rsid w:val="00981893"/>
    <w:rsid w:val="009A48C4"/>
    <w:rsid w:val="009E016C"/>
    <w:rsid w:val="009E32A2"/>
    <w:rsid w:val="00A1687D"/>
    <w:rsid w:val="00A43E52"/>
    <w:rsid w:val="00A4678D"/>
    <w:rsid w:val="00A778C7"/>
    <w:rsid w:val="00AB1DA7"/>
    <w:rsid w:val="00AB441E"/>
    <w:rsid w:val="00AB6293"/>
    <w:rsid w:val="00AE0928"/>
    <w:rsid w:val="00AF3B82"/>
    <w:rsid w:val="00B12E95"/>
    <w:rsid w:val="00B22876"/>
    <w:rsid w:val="00B339E2"/>
    <w:rsid w:val="00B558F0"/>
    <w:rsid w:val="00BC012D"/>
    <w:rsid w:val="00BC3146"/>
    <w:rsid w:val="00BD48FE"/>
    <w:rsid w:val="00BD7BD8"/>
    <w:rsid w:val="00BE6ADC"/>
    <w:rsid w:val="00C05405"/>
    <w:rsid w:val="00C05BFE"/>
    <w:rsid w:val="00C23CD4"/>
    <w:rsid w:val="00C2554B"/>
    <w:rsid w:val="00C61C0C"/>
    <w:rsid w:val="00C941CB"/>
    <w:rsid w:val="00CC2357"/>
    <w:rsid w:val="00CF071A"/>
    <w:rsid w:val="00D02B49"/>
    <w:rsid w:val="00D058B8"/>
    <w:rsid w:val="00D3019A"/>
    <w:rsid w:val="00D56C11"/>
    <w:rsid w:val="00D615FD"/>
    <w:rsid w:val="00D834A0"/>
    <w:rsid w:val="00D872DF"/>
    <w:rsid w:val="00D91E21"/>
    <w:rsid w:val="00DA7FCD"/>
    <w:rsid w:val="00DC3BED"/>
    <w:rsid w:val="00E0012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6A8"/>
    <w:rsid w:val="00F62751"/>
    <w:rsid w:val="00F7072F"/>
    <w:rsid w:val="00F72260"/>
    <w:rsid w:val="00F74202"/>
    <w:rsid w:val="00F87713"/>
    <w:rsid w:val="00FB4360"/>
    <w:rsid w:val="00FD0C70"/>
  </w:rsids>
  <w:docVars>
    <w:docVar w:name="dvdocse" w:val="A10-0158/2025"/>
    <w:docVar w:name="dvlangue" w:val="PT"/>
    <w:docVar w:name="dvnumam" w:val="518"/>
    <w:docVar w:name="dvpe" w:val="768.004"/>
    <w:docVar w:name="dvrapporteur" w:val="Relatoras: "/>
    <w:docVar w:name="dvstar" w:val="***I"/>
    <w:docVar w:name="dvtitre" w:val="Resolução legislativa do Parlamento Europeu, de ... de ... de 2026,&#13;_x000a_ sobre a proposta de regulamento do Parlamento Europeu e do Conselho relativo aos requisitos de circularidade para a conceção de veículos e a gestão dos veículos em fim de vida, que altera os Regulamentos (UE) 2018/858 e (UE) 2019/1020 e que revoga as Diretivas 2000/53/CE e 2005/64/CE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717D99"/>
  <w15:chartTrackingRefBased/>
  <w15:docId w15:val="{4063DF5E-A350-446D-B3B9-394D5CB6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339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9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9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9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9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9E2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9E2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9E2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9E2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B339E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339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339E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39E2"/>
    <w:pPr>
      <w:spacing w:after="120"/>
    </w:pPr>
  </w:style>
  <w:style w:type="paragraph" w:customStyle="1" w:styleId="PageHeading">
    <w:name w:val="PageHeading"/>
    <w:basedOn w:val="Normal"/>
    <w:rsid w:val="00B339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339E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339E2"/>
    <w:rPr>
      <w:b/>
      <w:sz w:val="24"/>
      <w:lang w:val="pt-PT"/>
    </w:rPr>
  </w:style>
  <w:style w:type="paragraph" w:customStyle="1" w:styleId="NormalBold12a">
    <w:name w:val="NormalBold12a"/>
    <w:basedOn w:val="Normal"/>
    <w:rsid w:val="00B339E2"/>
    <w:pPr>
      <w:spacing w:after="240"/>
    </w:pPr>
    <w:rPr>
      <w:b/>
    </w:rPr>
  </w:style>
  <w:style w:type="paragraph" w:customStyle="1" w:styleId="AmJustText">
    <w:name w:val="AmJustText"/>
    <w:basedOn w:val="Normal"/>
    <w:rsid w:val="00B339E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339E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39E2"/>
    <w:pPr>
      <w:spacing w:after="480"/>
      <w:ind w:left="1417"/>
    </w:pPr>
  </w:style>
  <w:style w:type="paragraph" w:customStyle="1" w:styleId="CoverNormal">
    <w:name w:val="CoverNormal"/>
    <w:basedOn w:val="Normal"/>
    <w:rsid w:val="00B339E2"/>
    <w:pPr>
      <w:ind w:left="1418"/>
    </w:pPr>
  </w:style>
  <w:style w:type="paragraph" w:customStyle="1" w:styleId="AmCrossRef">
    <w:name w:val="AmCrossRef"/>
    <w:basedOn w:val="Normal"/>
    <w:rsid w:val="00B339E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39E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339E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39E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39E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39E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339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9E2"/>
    <w:rPr>
      <w:sz w:val="24"/>
      <w:lang w:val="pt-PT"/>
    </w:rPr>
  </w:style>
  <w:style w:type="paragraph" w:customStyle="1" w:styleId="AmOrLang">
    <w:name w:val="AmOrLang"/>
    <w:basedOn w:val="Normal"/>
    <w:rsid w:val="00B339E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39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339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339E2"/>
    <w:pPr>
      <w:spacing w:before="240"/>
    </w:pPr>
    <w:rPr>
      <w:b/>
    </w:rPr>
  </w:style>
  <w:style w:type="paragraph" w:customStyle="1" w:styleId="EPBody">
    <w:name w:val="EPBody"/>
    <w:basedOn w:val="Normal"/>
    <w:rsid w:val="00B339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339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39E2"/>
    <w:pPr>
      <w:spacing w:before="480" w:after="240"/>
    </w:pPr>
  </w:style>
  <w:style w:type="paragraph" w:customStyle="1" w:styleId="Lgendesigne">
    <w:name w:val="Légende signe"/>
    <w:basedOn w:val="Normal"/>
    <w:rsid w:val="00B339E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39E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39E2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B339E2"/>
    <w:rPr>
      <w:noProof/>
      <w:sz w:val="24"/>
    </w:rPr>
  </w:style>
  <w:style w:type="paragraph" w:customStyle="1" w:styleId="Normal12">
    <w:name w:val="Normal12"/>
    <w:basedOn w:val="Normal"/>
    <w:link w:val="Normal12Char"/>
    <w:rsid w:val="00B339E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339E2"/>
    <w:rPr>
      <w:sz w:val="24"/>
    </w:rPr>
  </w:style>
  <w:style w:type="paragraph" w:customStyle="1" w:styleId="Normal6">
    <w:name w:val="Normal6"/>
    <w:basedOn w:val="Normal"/>
    <w:link w:val="Normal6Char"/>
    <w:rsid w:val="00B339E2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B339E2"/>
    <w:rPr>
      <w:i/>
    </w:rPr>
  </w:style>
  <w:style w:type="paragraph" w:customStyle="1" w:styleId="EntPE">
    <w:name w:val="EntPE"/>
    <w:basedOn w:val="Normal12"/>
    <w:rsid w:val="00B339E2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B339E2"/>
    <w:pPr>
      <w:spacing w:after="480"/>
    </w:pPr>
  </w:style>
  <w:style w:type="paragraph" w:customStyle="1" w:styleId="NormalBoldCenter">
    <w:name w:val="NormalBoldCenter"/>
    <w:basedOn w:val="Normal"/>
    <w:rsid w:val="00B339E2"/>
    <w:pPr>
      <w:jc w:val="center"/>
    </w:pPr>
    <w:rPr>
      <w:b/>
    </w:rPr>
  </w:style>
  <w:style w:type="paragraph" w:customStyle="1" w:styleId="Footprint12b">
    <w:name w:val="Footprint12b"/>
    <w:basedOn w:val="Normal"/>
    <w:rsid w:val="00B339E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339E2"/>
    <w:rPr>
      <w:szCs w:val="24"/>
    </w:rPr>
  </w:style>
  <w:style w:type="paragraph" w:customStyle="1" w:styleId="AMNumberTabs0">
    <w:name w:val="AMNumberTabs"/>
    <w:basedOn w:val="Normal"/>
    <w:rsid w:val="00B339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339E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339E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339E2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B33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39E2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B339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339E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39E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339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339E2"/>
    <w:rPr>
      <w:b/>
      <w:bCs/>
      <w:lang w:val="pt-PT"/>
    </w:rPr>
  </w:style>
  <w:style w:type="paragraph" w:styleId="Revision">
    <w:name w:val="Revision"/>
    <w:hidden/>
    <w:uiPriority w:val="99"/>
    <w:semiHidden/>
    <w:rsid w:val="00B339E2"/>
    <w:rPr>
      <w:sz w:val="24"/>
      <w:lang w:val="pt-PT"/>
    </w:rPr>
  </w:style>
  <w:style w:type="paragraph" w:styleId="Index1">
    <w:name w:val="index 1"/>
    <w:basedOn w:val="Normal"/>
    <w:next w:val="Normal"/>
    <w:autoRedefine/>
    <w:rsid w:val="00B339E2"/>
    <w:pPr>
      <w:ind w:left="240" w:hanging="240"/>
    </w:pPr>
  </w:style>
  <w:style w:type="paragraph" w:styleId="IndexHeading">
    <w:name w:val="index heading"/>
    <w:basedOn w:val="Normal"/>
    <w:next w:val="Index1"/>
    <w:rsid w:val="00B339E2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B339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9E2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B339E2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B339E2"/>
  </w:style>
  <w:style w:type="character" w:customStyle="1" w:styleId="AmNumberTabsChar">
    <w:name w:val="AmNumberTabs Char"/>
    <w:basedOn w:val="DefaultParagraphFont"/>
    <w:link w:val="AmNumberTabs"/>
    <w:rsid w:val="00B339E2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B339E2"/>
    <w:rPr>
      <w:b/>
      <w:sz w:val="24"/>
      <w:lang w:val="pt-PT"/>
    </w:rPr>
  </w:style>
  <w:style w:type="paragraph" w:customStyle="1" w:styleId="Normal12a">
    <w:name w:val="Normal12a"/>
    <w:basedOn w:val="Normal"/>
    <w:rsid w:val="00B339E2"/>
    <w:pPr>
      <w:spacing w:after="240"/>
    </w:pPr>
  </w:style>
  <w:style w:type="paragraph" w:customStyle="1" w:styleId="PageHeadingNotTOC">
    <w:name w:val="PageHeadingNotTOC"/>
    <w:basedOn w:val="Normal"/>
    <w:rsid w:val="00B339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339E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B339E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339E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339E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339E2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B339E2"/>
    <w:pPr>
      <w:ind w:left="1417"/>
    </w:pPr>
    <w:rPr>
      <w:b/>
    </w:rPr>
  </w:style>
  <w:style w:type="character" w:customStyle="1" w:styleId="SupBoldItalic">
    <w:name w:val="SupBoldItalic"/>
    <w:uiPriority w:val="1"/>
    <w:qFormat/>
    <w:rsid w:val="00B339E2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B339E2"/>
    <w:rPr>
      <w:b/>
      <w:bCs/>
    </w:rPr>
  </w:style>
  <w:style w:type="paragraph" w:styleId="Footer">
    <w:name w:val="footer"/>
    <w:basedOn w:val="Normal"/>
    <w:link w:val="FooterChar"/>
    <w:uiPriority w:val="99"/>
    <w:rsid w:val="00B339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9E2"/>
    <w:rPr>
      <w:sz w:val="24"/>
      <w:lang w:val="pt-PT"/>
    </w:rPr>
  </w:style>
  <w:style w:type="character" w:styleId="FollowedHyperlink">
    <w:name w:val="FollowedHyperlink"/>
    <w:basedOn w:val="DefaultParagraphFont"/>
    <w:rsid w:val="006A24C9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6A24C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A24C9"/>
    <w:pPr>
      <w:spacing w:after="240"/>
      <w:jc w:val="center"/>
    </w:pPr>
  </w:style>
  <w:style w:type="paragraph" w:customStyle="1" w:styleId="AmDateTab">
    <w:name w:val="AmDateTab"/>
    <w:basedOn w:val="Normal"/>
    <w:rsid w:val="006A24C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A24C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A24C9"/>
  </w:style>
  <w:style w:type="paragraph" w:customStyle="1" w:styleId="Title1">
    <w:name w:val="Title1"/>
    <w:basedOn w:val="Normal"/>
    <w:next w:val="Normal"/>
    <w:uiPriority w:val="10"/>
    <w:qFormat/>
    <w:rsid w:val="006A24C9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A24C9"/>
    <w:rPr>
      <w:rFonts w:ascii="Cambria" w:hAnsi="Cambria"/>
      <w:spacing w:val="-10"/>
      <w:kern w:val="28"/>
      <w:sz w:val="56"/>
      <w:szCs w:val="56"/>
      <w:lang w:val="pt-PT"/>
    </w:rPr>
  </w:style>
  <w:style w:type="paragraph" w:customStyle="1" w:styleId="Subtitle1">
    <w:name w:val="Subtitle1"/>
    <w:basedOn w:val="Normal"/>
    <w:next w:val="Normal"/>
    <w:uiPriority w:val="11"/>
    <w:qFormat/>
    <w:rsid w:val="006A24C9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A24C9"/>
    <w:rPr>
      <w:color w:val="595959"/>
      <w:spacing w:val="15"/>
      <w:sz w:val="28"/>
      <w:szCs w:val="28"/>
      <w:lang w:val="pt-PT"/>
    </w:rPr>
  </w:style>
  <w:style w:type="paragraph" w:customStyle="1" w:styleId="Quote1">
    <w:name w:val="Quote1"/>
    <w:basedOn w:val="Normal"/>
    <w:next w:val="Normal"/>
    <w:uiPriority w:val="29"/>
    <w:qFormat/>
    <w:rsid w:val="006A24C9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A24C9"/>
    <w:rPr>
      <w:i/>
      <w:iCs/>
      <w:color w:val="404040"/>
      <w:sz w:val="24"/>
      <w:lang w:val="pt-PT"/>
    </w:rPr>
  </w:style>
  <w:style w:type="paragraph" w:styleId="ListParagraph">
    <w:name w:val="List Paragraph"/>
    <w:aliases w:val="1st level - Bullet List Paragraph,Dot pt,FooterText,Ha,Heading 2_sj,L,Lettre d'introduction,List Paragraph Char Char Char,List Paragraph1,Medium Grid 1 - Accent 21,No Spacing1,Numbered Para 1,Paragrafo elenco,Paragraphe de liste1,lp1"/>
    <w:basedOn w:val="Normal"/>
    <w:link w:val="ListParagraphChar"/>
    <w:uiPriority w:val="34"/>
    <w:qFormat/>
    <w:rsid w:val="006A24C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6A24C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6A24C9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4C9"/>
    <w:rPr>
      <w:i/>
      <w:iCs/>
      <w:color w:val="365F91"/>
      <w:sz w:val="24"/>
      <w:lang w:val="pt-PT"/>
    </w:rPr>
  </w:style>
  <w:style w:type="character" w:customStyle="1" w:styleId="IntenseReference1">
    <w:name w:val="Intense Reference1"/>
    <w:basedOn w:val="DefaultParagraphFont"/>
    <w:uiPriority w:val="32"/>
    <w:qFormat/>
    <w:rsid w:val="006A24C9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6A24C9"/>
    <w:rPr>
      <w:rFonts w:eastAsia="Calibri" w:cs="Arial"/>
      <w:sz w:val="24"/>
      <w:szCs w:val="22"/>
      <w:lang w:val="pt-PT" w:eastAsia="en-US"/>
    </w:rPr>
  </w:style>
  <w:style w:type="paragraph" w:customStyle="1" w:styleId="TechnicalBlockBase">
    <w:name w:val="TechnicalBlockBase"/>
    <w:link w:val="TechnicalBlockBaseChar"/>
    <w:rsid w:val="006A24C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A24C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paragraph" w:customStyle="1" w:styleId="TBEntRefer">
    <w:name w:val="TBEntRefer"/>
    <w:basedOn w:val="TechnicalBlockBase"/>
    <w:link w:val="EntReferChar"/>
    <w:rsid w:val="006A24C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6A24C9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DistrbMarkers">
    <w:name w:val="TBDistrbMarkers"/>
    <w:basedOn w:val="TBEntRefer"/>
    <w:qFormat/>
    <w:rsid w:val="006A24C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6A24C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6A24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A24C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6A24C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A24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A24C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A24C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6A24C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6A24C9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SubjectTable">
    <w:name w:val="TBSubjectTable"/>
    <w:basedOn w:val="TechnicalBlockBase"/>
    <w:rsid w:val="006A24C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6A24C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6A24C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6A24C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6A24C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6A24C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6A24C9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A24C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A24C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A24C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A24C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A24C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A24C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A24C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A24C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A24C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A24C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A24C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6A24C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6A24C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A24C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A24C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A24C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A24C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A24C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A24C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A24C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A24C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A24C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A24C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A24C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A24C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A24C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A24C9"/>
    <w:pPr>
      <w:widowControl/>
      <w:numPr>
        <w:ilvl w:val="1"/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A24C9"/>
    <w:pPr>
      <w:widowControl/>
      <w:numPr>
        <w:ilvl w:val="3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A24C9"/>
    <w:pPr>
      <w:widowControl/>
      <w:numPr>
        <w:ilvl w:val="5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A24C9"/>
    <w:pPr>
      <w:widowControl/>
      <w:numPr>
        <w:ilvl w:val="7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A24C9"/>
    <w:pPr>
      <w:widowControl/>
      <w:numPr>
        <w:ilvl w:val="8"/>
        <w:numId w:val="3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A24C9"/>
    <w:pPr>
      <w:widowControl/>
      <w:numPr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A24C9"/>
    <w:pPr>
      <w:widowControl/>
      <w:numPr>
        <w:ilvl w:val="2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A24C9"/>
    <w:pPr>
      <w:widowControl/>
      <w:numPr>
        <w:ilvl w:val="4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A24C9"/>
    <w:pPr>
      <w:widowControl/>
      <w:numPr>
        <w:ilvl w:val="6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A24C9"/>
    <w:pPr>
      <w:widowControl/>
      <w:numPr>
        <w:numId w:val="4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A24C9"/>
    <w:pPr>
      <w:widowControl/>
      <w:numPr>
        <w:ilvl w:val="1"/>
        <w:numId w:val="4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A24C9"/>
    <w:pPr>
      <w:widowControl/>
      <w:numPr>
        <w:ilvl w:val="2"/>
        <w:numId w:val="4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A24C9"/>
    <w:pPr>
      <w:widowControl/>
      <w:numPr>
        <w:ilvl w:val="3"/>
        <w:numId w:val="4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A24C9"/>
    <w:pPr>
      <w:widowControl/>
      <w:numPr>
        <w:ilvl w:val="4"/>
        <w:numId w:val="4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A24C9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A24C9"/>
    <w:pPr>
      <w:widowControl/>
      <w:numPr>
        <w:numId w:val="6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A24C9"/>
    <w:pPr>
      <w:widowControl/>
      <w:numPr>
        <w:numId w:val="7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A24C9"/>
    <w:pPr>
      <w:widowControl/>
      <w:numPr>
        <w:numId w:val="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A24C9"/>
    <w:pPr>
      <w:widowControl/>
      <w:numPr>
        <w:numId w:val="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A24C9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A24C9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A24C9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A24C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A24C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A24C9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6A24C9"/>
    <w:pPr>
      <w:numPr>
        <w:numId w:val="16"/>
      </w:numPr>
      <w:tabs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6A24C9"/>
    <w:pPr>
      <w:numPr>
        <w:numId w:val="17"/>
      </w:numPr>
      <w:tabs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6A24C9"/>
    <w:pPr>
      <w:numPr>
        <w:numId w:val="18"/>
      </w:numPr>
      <w:tabs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6A24C9"/>
    <w:pPr>
      <w:numPr>
        <w:numId w:val="19"/>
      </w:numPr>
      <w:tabs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6A24C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A24C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A24C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A24C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6A24C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A24C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6A24C9"/>
    <w:pPr>
      <w:jc w:val="center"/>
    </w:pPr>
  </w:style>
  <w:style w:type="paragraph" w:customStyle="1" w:styleId="Jardin">
    <w:name w:val="Jardin"/>
    <w:basedOn w:val="Normal"/>
    <w:rsid w:val="006A24C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A24C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A24C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A24C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A24C9"/>
    <w:rPr>
      <w:b/>
    </w:rPr>
  </w:style>
  <w:style w:type="paragraph" w:customStyle="1" w:styleId="Annex">
    <w:name w:val="Annex"/>
    <w:basedOn w:val="Normal"/>
    <w:next w:val="Normal"/>
    <w:rsid w:val="006A24C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A24C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A24C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A24C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A24C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A24C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A24C9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6A24C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A24C9"/>
    <w:rPr>
      <w:color w:val="808080"/>
    </w:rPr>
  </w:style>
  <w:style w:type="character" w:customStyle="1" w:styleId="ListParagraphChar">
    <w:name w:val="List Paragraph Char"/>
    <w:aliases w:val="1st level - Bullet List Paragraph Char,Dot pt Char,FooterText Char,Ha Char,Heading 2_sj Char,L Char,Lettre d'introduction Char,List Paragraph Char Char Char Char,List Paragraph1 Char,Medium Grid 1 - Accent 21 Char,No Spacing1 Char"/>
    <w:link w:val="ListParagraph"/>
    <w:uiPriority w:val="34"/>
    <w:qFormat/>
    <w:rsid w:val="006A24C9"/>
    <w:rPr>
      <w:rFonts w:eastAsia="Calibri"/>
      <w:sz w:val="24"/>
      <w:szCs w:val="22"/>
      <w:lang w:val="pt-PT" w:eastAsia="en-US"/>
    </w:rPr>
  </w:style>
  <w:style w:type="paragraph" w:styleId="TOC4">
    <w:name w:val="toc 4"/>
    <w:basedOn w:val="Normal"/>
    <w:next w:val="Normal"/>
    <w:uiPriority w:val="39"/>
    <w:unhideWhenUsed/>
    <w:rsid w:val="006A24C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A24C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A24C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A24C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A24C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A24C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A24C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A24C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A24C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A24C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A24C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A24C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A24C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A24C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A24C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A24C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A24C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A24C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A24C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A24C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A24C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A24C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A24C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A24C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A24C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A24C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A24C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A24C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A24C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A24C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A24C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A24C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A24C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A24C9"/>
    <w:pPr>
      <w:widowControl/>
      <w:numPr>
        <w:numId w:val="23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A24C9"/>
    <w:pPr>
      <w:widowControl/>
      <w:numPr>
        <w:numId w:val="24"/>
      </w:numPr>
      <w:tabs>
        <w:tab w:val="num" w:pos="567"/>
        <w:tab w:val="clear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A24C9"/>
    <w:pPr>
      <w:widowControl/>
      <w:numPr>
        <w:numId w:val="25"/>
      </w:numPr>
      <w:tabs>
        <w:tab w:val="num" w:pos="567"/>
        <w:tab w:val="clear" w:pos="198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A24C9"/>
    <w:pPr>
      <w:widowControl/>
      <w:numPr>
        <w:numId w:val="26"/>
      </w:numPr>
      <w:tabs>
        <w:tab w:val="num" w:pos="1134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A24C9"/>
    <w:pPr>
      <w:widowControl/>
      <w:numPr>
        <w:numId w:val="27"/>
      </w:numPr>
      <w:tabs>
        <w:tab w:val="num" w:pos="1701"/>
        <w:tab w:val="clear" w:pos="311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A24C9"/>
    <w:pPr>
      <w:widowControl/>
      <w:numPr>
        <w:numId w:val="28"/>
      </w:numPr>
      <w:tabs>
        <w:tab w:val="num" w:pos="2268"/>
        <w:tab w:val="clear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A24C9"/>
    <w:pPr>
      <w:widowControl/>
      <w:numPr>
        <w:numId w:val="29"/>
      </w:numPr>
      <w:tabs>
        <w:tab w:val="num" w:pos="2835"/>
        <w:tab w:val="clear" w:pos="4252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A24C9"/>
    <w:pPr>
      <w:widowControl/>
      <w:numPr>
        <w:numId w:val="30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A24C9"/>
    <w:pPr>
      <w:widowControl/>
      <w:numPr>
        <w:numId w:val="31"/>
      </w:numPr>
      <w:tabs>
        <w:tab w:val="num" w:pos="1134"/>
        <w:tab w:val="clear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A24C9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A24C9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A24C9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A24C9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A24C9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A24C9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A24C9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A24C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A24C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A24C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A24C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A24C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A24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A24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A24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A24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A24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A24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A24C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A24C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A24C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A24C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A24C9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A24C9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A24C9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A24C9"/>
    <w:pPr>
      <w:widowControl/>
      <w:numPr>
        <w:ilvl w:val="6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A24C9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A24C9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A24C9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A24C9"/>
    <w:pPr>
      <w:widowControl/>
      <w:numPr>
        <w:ilvl w:val="7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A24C9"/>
    <w:pPr>
      <w:widowControl/>
      <w:numPr>
        <w:ilvl w:val="8"/>
        <w:numId w:val="33"/>
      </w:numPr>
      <w:tabs>
        <w:tab w:val="num" w:pos="2268"/>
        <w:tab w:val="clear" w:pos="311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A24C9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A24C9"/>
    <w:pPr>
      <w:widowControl/>
      <w:numPr>
        <w:numId w:val="35"/>
      </w:numPr>
      <w:tabs>
        <w:tab w:val="num" w:pos="567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A24C9"/>
    <w:pPr>
      <w:widowControl/>
      <w:numPr>
        <w:numId w:val="36"/>
      </w:numPr>
      <w:tabs>
        <w:tab w:val="num" w:pos="1134"/>
        <w:tab w:val="clear" w:pos="4252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A24C9"/>
    <w:pPr>
      <w:widowControl/>
      <w:numPr>
        <w:numId w:val="37"/>
      </w:numPr>
      <w:tabs>
        <w:tab w:val="num" w:pos="1701"/>
        <w:tab w:val="clear" w:pos="4819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A24C9"/>
    <w:pPr>
      <w:widowControl/>
      <w:numPr>
        <w:numId w:val="38"/>
      </w:numPr>
      <w:tabs>
        <w:tab w:val="num" w:pos="2268"/>
        <w:tab w:val="clear" w:pos="5386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A24C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A24C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A24C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A24C9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A24C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A24C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A24C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A24C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A24C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A24C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A24C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A24C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A24C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A24C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A24C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A24C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A24C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A24C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A24C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A24C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A24C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A24C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A24C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A24C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A24C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A24C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A24C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A24C9"/>
    <w:pPr>
      <w:spacing w:before="240"/>
    </w:pPr>
  </w:style>
  <w:style w:type="paragraph" w:customStyle="1" w:styleId="Accordtitre">
    <w:name w:val="Accord titre"/>
    <w:basedOn w:val="Normal"/>
    <w:rsid w:val="006A24C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A24C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A24C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A24C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A24C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A24C9"/>
    <w:pPr>
      <w:spacing w:after="240"/>
    </w:pPr>
  </w:style>
  <w:style w:type="paragraph" w:customStyle="1" w:styleId="Annexetitre">
    <w:name w:val="Annexe titre"/>
    <w:basedOn w:val="Normal"/>
    <w:next w:val="Normal"/>
    <w:rsid w:val="006A24C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A24C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A24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A24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A24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A24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A24C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A24C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A24C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A24C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A24C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A24C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A24C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A24C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A24C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A24C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A24C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A24C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A24C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A24C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A24C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A24C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A24C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A24C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A24C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A24C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A24C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A24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A24C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6A24C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A24C9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6A24C9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6A24C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4C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A24C9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A24C9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6A24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4C9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6A24C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paragraph" w:styleId="Quote">
    <w:name w:val="Quote"/>
    <w:basedOn w:val="Normal"/>
    <w:next w:val="Normal"/>
    <w:link w:val="QuoteChar"/>
    <w:uiPriority w:val="29"/>
    <w:qFormat/>
    <w:rsid w:val="006A24C9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6A24C9"/>
    <w:rPr>
      <w:i/>
      <w:iCs/>
      <w:color w:val="404040" w:themeColor="text1" w:themeTint="BF"/>
      <w:sz w:val="24"/>
      <w:lang w:val="pt-PT"/>
    </w:rPr>
  </w:style>
  <w:style w:type="character" w:styleId="IntenseEmphasis">
    <w:name w:val="Intense Emphasis"/>
    <w:basedOn w:val="DefaultParagraphFont"/>
    <w:uiPriority w:val="21"/>
    <w:qFormat/>
    <w:rsid w:val="006A24C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4C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6A24C9"/>
    <w:rPr>
      <w:i/>
      <w:iCs/>
      <w:color w:val="5B9BD5" w:themeColor="accent1"/>
      <w:sz w:val="24"/>
      <w:lang w:val="pt-PT"/>
    </w:rPr>
  </w:style>
  <w:style w:type="character" w:styleId="IntenseReference">
    <w:name w:val="Intense Reference"/>
    <w:basedOn w:val="DefaultParagraphFont"/>
    <w:uiPriority w:val="32"/>
    <w:qFormat/>
    <w:rsid w:val="006A24C9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2026-06-18T12:19:00Z</dcterms:created>
  <dcterms:modified xsi:type="dcterms:W3CDTF">2026-09-03T08:20:00Z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