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8ED70A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6698" w:rsidP="0010095E" w14:paraId="166F9E31" w14:textId="77777777">
            <w:pPr>
              <w:pStyle w:val="EPName"/>
            </w:pPr>
            <w:r w:rsidRPr="006D6698">
              <w:t>Europaparlamentet</w:t>
            </w:r>
          </w:p>
          <w:p w:rsidR="00751A4A" w:rsidRPr="006D6698" w:rsidP="005F1B17" w14:paraId="53148B4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698">
              <w:t>2024</w:t>
            </w:r>
            <w:r w:rsidRPr="006D6698" w:rsidR="00817416">
              <w:t>-202</w:t>
            </w:r>
            <w:r w:rsidRPr="006D66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6698" w:rsidP="0010095E" w14:paraId="562FF596" w14:textId="77777777">
            <w:pPr>
              <w:pStyle w:val="EPLogo"/>
            </w:pPr>
            <w:r w:rsidRPr="006D669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6698" w:rsidP="004C5D52" w14:paraId="1808A059" w14:textId="77777777">
      <w:pPr>
        <w:pStyle w:val="LineTop"/>
      </w:pPr>
    </w:p>
    <w:p w:rsidR="00680577" w:rsidRPr="006D6698" w:rsidP="00680577" w14:paraId="1DFC47B5" w14:textId="77777777">
      <w:pPr>
        <w:pStyle w:val="EPBodyTA1"/>
      </w:pPr>
      <w:r w:rsidRPr="006D6698">
        <w:t>ANTAGNA TEXTER</w:t>
      </w:r>
    </w:p>
    <w:p w:rsidR="00D058B8" w:rsidRPr="006D6698" w:rsidP="00D058B8" w14:paraId="7257A844" w14:textId="77777777">
      <w:pPr>
        <w:pStyle w:val="LineBottom"/>
      </w:pPr>
    </w:p>
    <w:p w:rsidR="004B4438" w:rsidRPr="006D6698" w:rsidP="004B4438" w14:paraId="27DF3DC7" w14:textId="71150E5E">
      <w:pPr>
        <w:pStyle w:val="ATHeading1"/>
      </w:pPr>
      <w:bookmarkStart w:id="0" w:name="TANumber"/>
      <w:r w:rsidRPr="006D6698">
        <w:t>P10_TA(2026)0</w:t>
      </w:r>
      <w:bookmarkEnd w:id="0"/>
      <w:r w:rsidR="008B4985">
        <w:t>227</w:t>
      </w:r>
    </w:p>
    <w:p w:rsidR="004B4438" w:rsidRPr="006D6698" w:rsidP="004B4438" w14:paraId="3A51C58C" w14:textId="77777777">
      <w:pPr>
        <w:pStyle w:val="ATHeading2"/>
      </w:pPr>
      <w:bookmarkStart w:id="1" w:name="title"/>
      <w:r w:rsidRPr="006D6698">
        <w:t>Cirkularitetskrav</w:t>
      </w:r>
      <w:r w:rsidRPr="006D6698">
        <w:t xml:space="preserve"> för fordonskonstruktion och hantering av uttjänta fordon</w:t>
      </w:r>
      <w:bookmarkEnd w:id="1"/>
    </w:p>
    <w:p w:rsidR="004B4438" w:rsidRPr="006D6698" w:rsidP="004B4438" w14:paraId="6E1465EC" w14:textId="77777777">
      <w:pPr>
        <w:rPr>
          <w:i/>
          <w:vanish/>
        </w:rPr>
      </w:pPr>
      <w:r>
        <w:rPr>
          <w:i/>
        </w:rPr>
        <w:fldChar w:fldCharType="begin"/>
      </w:r>
      <w:r w:rsidRPr="006D6698">
        <w:rPr>
          <w:i/>
        </w:rPr>
        <w:instrText xml:space="preserve"> TC"(</w:instrText>
      </w:r>
      <w:bookmarkStart w:id="2" w:name="DocNumber"/>
      <w:r w:rsidRPr="006D6698">
        <w:rPr>
          <w:i/>
        </w:rPr>
        <w:instrText>A10-0158/2025</w:instrText>
      </w:r>
      <w:bookmarkEnd w:id="2"/>
      <w:r w:rsidRPr="006D6698">
        <w:rPr>
          <w:i/>
        </w:rPr>
        <w:instrText xml:space="preserve"> - Föredragande: Jens Gieseke; Paulius Saudargas)"\l3 \n&gt; \* MERGEFORMAT </w:instrText>
      </w:r>
      <w:r>
        <w:rPr>
          <w:i/>
        </w:rPr>
        <w:fldChar w:fldCharType="end"/>
      </w:r>
    </w:p>
    <w:p w:rsidR="004B4438" w:rsidRPr="006D6698" w:rsidP="004B4438" w14:paraId="1F96F550" w14:textId="77777777">
      <w:pPr>
        <w:rPr>
          <w:vanish/>
        </w:rPr>
      </w:pPr>
      <w:bookmarkStart w:id="3" w:name="Commission"/>
      <w:r w:rsidRPr="006D6698">
        <w:rPr>
          <w:vanish/>
        </w:rPr>
        <w:t>Utskottet för miljö, klimat och livsmedelssäkerhet, Utskottet för den inre marknaden och konsumentskydd</w:t>
      </w:r>
      <w:bookmarkEnd w:id="3"/>
    </w:p>
    <w:p w:rsidR="004B4438" w:rsidRPr="006D6698" w:rsidP="004B4438" w14:paraId="7D4DCB29" w14:textId="77777777">
      <w:pPr>
        <w:rPr>
          <w:vanish/>
        </w:rPr>
      </w:pPr>
      <w:bookmarkStart w:id="4" w:name="PE"/>
      <w:r w:rsidRPr="006D6698">
        <w:rPr>
          <w:vanish/>
        </w:rPr>
        <w:t>PE768.004</w:t>
      </w:r>
      <w:bookmarkEnd w:id="4"/>
    </w:p>
    <w:p w:rsidR="004B4438" w:rsidRPr="006D6698" w:rsidP="004B4438" w14:paraId="2C77E094" w14:textId="628718F8">
      <w:pPr>
        <w:pStyle w:val="ATHeading3"/>
      </w:pPr>
      <w:bookmarkStart w:id="5" w:name="Sujet"/>
      <w:r w:rsidRPr="006D6698">
        <w:t xml:space="preserve">Europaparlamentets lagstiftningsresolution av den </w:t>
      </w:r>
      <w:r w:rsidR="00410FDC">
        <w:t>18</w:t>
      </w:r>
      <w:r w:rsidRPr="006D6698" w:rsidR="00410FDC">
        <w:t xml:space="preserve"> </w:t>
      </w:r>
      <w:r w:rsidR="00410FDC">
        <w:t>juni</w:t>
      </w:r>
      <w:r w:rsidRPr="006D6698" w:rsidR="00410FDC">
        <w:t xml:space="preserve"> </w:t>
      </w:r>
      <w:r w:rsidRPr="006D6698">
        <w:t xml:space="preserve">2026 om förslaget till Europaparlamentets och rådets förordning om </w:t>
      </w:r>
      <w:r w:rsidRPr="006D6698">
        <w:t>cirkularitetskrav</w:t>
      </w:r>
      <w:r w:rsidRPr="006D6698">
        <w:t xml:space="preserve"> för fordonskonstruktion och hantering av uttjänta fordon, om ändring av förordningarna (EU) 2018/858 och 2019/1020 och om upphävande av direktiven 2000/53/EG och 2005/64/EG</w:t>
      </w:r>
      <w:bookmarkEnd w:id="5"/>
      <w:r w:rsidRPr="006D6698">
        <w:t xml:space="preserve"> </w:t>
      </w:r>
      <w:bookmarkStart w:id="6" w:name="References"/>
      <w:r w:rsidRPr="006D6698">
        <w:t>(COM(2023)0451 – C9-0308/2023 – 2023/0284(COD))</w:t>
      </w:r>
      <w:bookmarkEnd w:id="6"/>
    </w:p>
    <w:p w:rsidR="00B90A82" w:rsidRPr="006D6698" w:rsidP="00B90A82" w14:paraId="2EC5ABFF" w14:textId="77777777">
      <w:pPr>
        <w:pStyle w:val="NormalBold"/>
        <w:widowControl/>
      </w:pPr>
      <w:r w:rsidRPr="006D6698">
        <w:t>(Ordinarie lagstiftningsförfarande: första behandlingen)</w:t>
      </w:r>
    </w:p>
    <w:p w:rsidR="00B90A82" w:rsidRPr="006D6698" w:rsidP="00B90A82" w14:paraId="70641A32" w14:textId="77777777">
      <w:pPr>
        <w:pStyle w:val="EPComma"/>
      </w:pPr>
      <w:r w:rsidRPr="006D6698">
        <w:rPr>
          <w:i/>
          <w:iCs/>
        </w:rPr>
        <w:t>Europaparlamentet utfärdar denna resolution</w:t>
      </w:r>
    </w:p>
    <w:p w:rsidR="00B90A82" w:rsidRPr="006D6698" w:rsidP="00B90A82" w14:paraId="4B4DD1B8" w14:textId="77777777">
      <w:pPr>
        <w:pStyle w:val="NormalHanging12a"/>
      </w:pPr>
      <w:r w:rsidRPr="006D6698">
        <w:t>–</w:t>
      </w:r>
      <w:r w:rsidRPr="006D6698">
        <w:tab/>
        <w:t>med beaktande av kommissionens förslag till Europaparlamentet och rådet (COM(2023)0451),</w:t>
      </w:r>
    </w:p>
    <w:p w:rsidR="00B90A82" w:rsidRPr="008F61BF" w:rsidP="00B90A82" w14:paraId="03736CDE" w14:textId="77777777">
      <w:pPr>
        <w:pStyle w:val="NormalHanging12a"/>
      </w:pPr>
      <w:r w:rsidRPr="006D6698">
        <w:t>–</w:t>
      </w:r>
      <w:r w:rsidRPr="006D6698">
        <w:tab/>
        <w:t>med beaktande av artiklarna 294.2 och 114 i fördraget om Europeiska unionens funktionssätt, i enlighet med v</w:t>
      </w:r>
      <w:r w:rsidRPr="008F61BF">
        <w:t>ilka kommissionen har lagt fram sitt förslag för parlamentet (C9-0308/2023),</w:t>
      </w:r>
    </w:p>
    <w:p w:rsidR="00410FDC" w:rsidRPr="008F61BF" w:rsidP="00B90A82" w14:paraId="5A97CC8C" w14:textId="52CE12A4">
      <w:pPr>
        <w:pStyle w:val="NormalHanging12a"/>
      </w:pPr>
      <w:r w:rsidRPr="008F61BF">
        <w:t>–</w:t>
      </w:r>
      <w:r w:rsidRPr="008F61BF">
        <w:tab/>
        <w:t>med beaktande av yttrandet från utskottet för rättsliga frågor över den föreslagna rättsliga grunden,</w:t>
      </w:r>
    </w:p>
    <w:p w:rsidR="00B90A82" w:rsidRPr="008F61BF" w:rsidP="00B90A82" w14:paraId="7E243F23" w14:textId="15FF18F4">
      <w:pPr>
        <w:pStyle w:val="NormalHanging12a"/>
      </w:pPr>
      <w:r w:rsidRPr="008F61BF">
        <w:t>–</w:t>
      </w:r>
      <w:r w:rsidRPr="008F61BF">
        <w:tab/>
        <w:t xml:space="preserve">med beaktande av </w:t>
      </w:r>
      <w:r w:rsidRPr="008F61BF" w:rsidR="00300EB2">
        <w:t xml:space="preserve">artiklarna </w:t>
      </w:r>
      <w:r w:rsidRPr="008F61BF">
        <w:t>294.3</w:t>
      </w:r>
      <w:r w:rsidRPr="008F61BF" w:rsidR="00300EB2">
        <w:t>,</w:t>
      </w:r>
      <w:r w:rsidRPr="008F61BF" w:rsidR="00516286">
        <w:t xml:space="preserve"> 114 och 192.1 </w:t>
      </w:r>
      <w:r w:rsidRPr="008F61BF">
        <w:t>i fördraget om Europeiska unionens funktionssätt,</w:t>
      </w:r>
    </w:p>
    <w:p w:rsidR="00B90A82" w:rsidRPr="008F61BF" w:rsidP="00B90A82" w14:paraId="4F970E49" w14:textId="766D112B">
      <w:pPr>
        <w:pStyle w:val="NormalHanging12a"/>
      </w:pPr>
      <w:r w:rsidRPr="008F61BF">
        <w:t>–</w:t>
      </w:r>
      <w:r w:rsidRPr="008F61BF">
        <w:tab/>
        <w:t>med beaktande av Europeiska ekonomiska och sociala kommitténs yttrande av den 14 december 2023</w:t>
      </w:r>
      <w:r>
        <w:rPr>
          <w:rStyle w:val="FootnoteReference"/>
        </w:rPr>
        <w:footnoteReference w:id="2"/>
      </w:r>
      <w:r w:rsidRPr="008F61BF">
        <w:t>,</w:t>
      </w:r>
    </w:p>
    <w:p w:rsidR="00410FDC" w:rsidRPr="008F61BF" w:rsidP="00B90A82" w14:paraId="66DA1B1F" w14:textId="71AE8CC8">
      <w:pPr>
        <w:pStyle w:val="NormalHanging12a"/>
      </w:pPr>
      <w:r w:rsidRPr="008F61BF">
        <w:t>–</w:t>
      </w:r>
      <w:r w:rsidRPr="008F61BF">
        <w:tab/>
        <w:t>efter att ha hört Regionkommittén,</w:t>
      </w:r>
    </w:p>
    <w:p w:rsidR="00410FDC" w:rsidRPr="008F61BF" w:rsidP="00B90A82" w14:paraId="2A102CF4" w14:textId="11AB6683">
      <w:pPr>
        <w:pStyle w:val="NormalHanging12a"/>
      </w:pPr>
      <w:r w:rsidRPr="008F61BF">
        <w:t>–</w:t>
      </w:r>
      <w:r w:rsidRPr="008F61BF">
        <w:tab/>
        <w:t xml:space="preserve">med beaktande av den preliminära överenskommelse som godkänts av de ansvariga utskotten enligt artikel 75.4 i arbetsordningen och det skriftliga åtagandet från rådets </w:t>
      </w:r>
      <w:r w:rsidRPr="008F61BF">
        <w:t>företrädare av den 25 februari 2026 att godkänna parlamentets ståndpunkt i enlighet med artikel 294.4 i fördraget om Europeiska unionens funktionssätt,</w:t>
      </w:r>
    </w:p>
    <w:p w:rsidR="00B90A82" w:rsidRPr="008F61BF" w:rsidP="00B90A82" w14:paraId="710BE800" w14:textId="1590AFE3">
      <w:pPr>
        <w:pStyle w:val="NormalHanging12a"/>
      </w:pPr>
      <w:r w:rsidRPr="008F61BF">
        <w:t>–</w:t>
      </w:r>
      <w:r w:rsidRPr="008F61BF">
        <w:tab/>
        <w:t xml:space="preserve">med beaktande av </w:t>
      </w:r>
      <w:r w:rsidRPr="008F61BF" w:rsidR="00516286">
        <w:t xml:space="preserve">artiklarna 60 och 41 </w:t>
      </w:r>
      <w:r w:rsidRPr="008F61BF">
        <w:t>i arbetsordningen</w:t>
      </w:r>
      <w:r w:rsidRPr="008F61BF" w:rsidR="006A6064">
        <w:t>,</w:t>
      </w:r>
    </w:p>
    <w:p w:rsidR="00300EB2" w:rsidRPr="008F61BF" w:rsidP="00B90A82" w14:paraId="77923ECB" w14:textId="386C7D7D">
      <w:pPr>
        <w:pStyle w:val="NormalHanging12a"/>
      </w:pPr>
      <w:r w:rsidRPr="008F61BF">
        <w:t>–</w:t>
      </w:r>
      <w:r w:rsidRPr="008F61BF">
        <w:tab/>
        <w:t>med beaktande av den gemensamma behandlingen av ärendet i utskottet för miljö, klimat och livsmedelssäkerhet och utskottet för den inre marknaden och konsumentskydd, i enlighet med artikel 59 i arbetsordningen,</w:t>
      </w:r>
    </w:p>
    <w:p w:rsidR="00B90A82" w:rsidRPr="008F61BF" w:rsidP="00B90A82" w14:paraId="70D02DE6" w14:textId="77777777">
      <w:pPr>
        <w:pStyle w:val="NormalHanging12a"/>
      </w:pPr>
      <w:r w:rsidRPr="008F61BF">
        <w:t>–</w:t>
      </w:r>
      <w:r w:rsidRPr="008F61BF">
        <w:tab/>
        <w:t>med beaktande av yttrandet från utskottet för transport och turism,</w:t>
      </w:r>
    </w:p>
    <w:p w:rsidR="00B90A82" w:rsidRPr="008F61BF" w:rsidP="00B90A82" w14:paraId="7D7DD1F4" w14:textId="77777777">
      <w:pPr>
        <w:pStyle w:val="NormalHanging12a"/>
      </w:pPr>
      <w:r w:rsidRPr="008F61BF">
        <w:t>–</w:t>
      </w:r>
      <w:r w:rsidRPr="008F61BF">
        <w:tab/>
        <w:t>med beaktande av betänkandet från utskottet för miljö, klimat och livsmedelssäkerhet och utskottet för den inre marknaden och konsumentskydd (A10-0158/2025).</w:t>
      </w:r>
    </w:p>
    <w:p w:rsidR="00B90A82" w:rsidRPr="008F61BF" w:rsidP="00B90A82" w14:paraId="5EEC7227" w14:textId="783AC15C">
      <w:pPr>
        <w:pStyle w:val="NormalHanging12a"/>
      </w:pPr>
      <w:r w:rsidRPr="008F61BF">
        <w:t>1.</w:t>
      </w:r>
      <w:r w:rsidRPr="008F61BF">
        <w:tab/>
        <w:t>Europaparlamentet antar nedanstående ståndpunkt vid första behandlingen</w:t>
      </w:r>
      <w:r>
        <w:rPr>
          <w:rStyle w:val="FootnoteReference"/>
        </w:rPr>
        <w:footnoteReference w:id="3"/>
      </w:r>
      <w:r w:rsidRPr="008F61BF">
        <w:t>.</w:t>
      </w:r>
    </w:p>
    <w:p w:rsidR="00B90A82" w:rsidRPr="008F61BF" w:rsidP="00B90A82" w14:paraId="2FE42D64" w14:textId="6AB857C0">
      <w:pPr>
        <w:pStyle w:val="NormalHanging12a"/>
      </w:pPr>
      <w:r w:rsidRPr="008F61BF">
        <w:t>2.</w:t>
      </w:r>
      <w:r w:rsidRPr="008F61BF">
        <w:tab/>
      </w:r>
      <w:r w:rsidRPr="008F61BF" w:rsidR="006A6064">
        <w:t>Europaparlamentet uppmanar kommissionen att på nytt lägga fram ärendet för parlamentet om den ersätter, väsentligt ändrar eller har för avsikt att väsentligt ändra sitt förslag.</w:t>
      </w:r>
    </w:p>
    <w:p w:rsidR="00B51ECF" w:rsidRPr="008F61BF" w:rsidP="00B51ECF" w14:paraId="47BD381E" w14:textId="77777777">
      <w:pPr>
        <w:pStyle w:val="NormalHanging12a"/>
        <w:sectPr w:rsidSect="006D669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F61BF">
        <w:t>3.</w:t>
      </w:r>
      <w:r w:rsidRPr="008F61BF">
        <w:tab/>
        <w:t>Europaparlamentet uppdrar åt talmannen att översända parlamentets ståndpunkt till rådet, kommissionen och de nationella parlamenten.</w:t>
      </w:r>
    </w:p>
    <w:p w:rsidR="00EE19B5" w:rsidRPr="008F61BF" w:rsidP="00EE19B5" w14:paraId="20188116" w14:textId="2AEF8CFB">
      <w:pPr>
        <w:widowControl/>
        <w:spacing w:after="240"/>
        <w:rPr>
          <w:b/>
          <w:snapToGrid w:val="0"/>
        </w:rPr>
      </w:pPr>
      <w:r w:rsidRPr="008F61BF">
        <w:rPr>
          <w:b/>
          <w:snapToGrid w:val="0"/>
        </w:rPr>
        <w:t>P10_TC1-COD(2023)0284</w:t>
      </w:r>
    </w:p>
    <w:p w:rsidR="00EE19B5" w:rsidP="008F61BF" w14:paraId="6031F9D5" w14:textId="31CF4BE4">
      <w:pPr>
        <w:widowControl/>
        <w:spacing w:before="120" w:after="120"/>
        <w:rPr>
          <w:rFonts w:eastAsia="Aptos"/>
          <w:b/>
          <w:szCs w:val="24"/>
          <w:lang w:eastAsia="en-US"/>
        </w:rPr>
      </w:pPr>
      <w:r w:rsidRPr="008F61BF">
        <w:rPr>
          <w:b/>
          <w:snapToGrid w:val="0"/>
        </w:rPr>
        <w:t xml:space="preserve">Europaparlamentets ståndpunkt fastställd vid första behandlingen den 18 juni 2026 inför antagandet av Europaparlamentets och rådets förordning (EU) 2026/… om </w:t>
      </w:r>
      <w:r w:rsidRPr="008F61BF">
        <w:rPr>
          <w:rFonts w:eastAsia="Aptos"/>
          <w:b/>
          <w:szCs w:val="24"/>
          <w:lang w:eastAsia="en-US"/>
        </w:rPr>
        <w:t>cirkularitetskrav</w:t>
      </w:r>
      <w:r w:rsidRPr="008F61BF">
        <w:rPr>
          <w:rFonts w:eastAsia="Aptos"/>
          <w:b/>
          <w:szCs w:val="24"/>
          <w:lang w:eastAsia="en-US"/>
        </w:rPr>
        <w:t xml:space="preserve"> för fordonskonstruktion och hantering av uttjänta fordon, om ändring av förordningarna </w:t>
      </w:r>
      <w:r w:rsidRPr="008F61BF">
        <w:rPr>
          <w:rFonts w:eastAsia="Aptos"/>
          <w:b/>
          <w:i/>
          <w:szCs w:val="24"/>
          <w:lang w:eastAsia="en-US"/>
        </w:rPr>
        <w:t>(EU) nr 168/2013,</w:t>
      </w:r>
      <w:r w:rsidRPr="008F61BF">
        <w:rPr>
          <w:rFonts w:eastAsia="Aptos"/>
          <w:b/>
          <w:szCs w:val="24"/>
          <w:lang w:eastAsia="en-US"/>
        </w:rPr>
        <w:t xml:space="preserve"> (EU) 2018/858, (EU) 2019/1020 och </w:t>
      </w:r>
      <w:r w:rsidRPr="008F61BF">
        <w:rPr>
          <w:rFonts w:eastAsia="Aptos"/>
          <w:b/>
          <w:i/>
          <w:iCs/>
          <w:szCs w:val="24"/>
          <w:lang w:eastAsia="en-US"/>
        </w:rPr>
        <w:t>(EU) 2023/1542</w:t>
      </w:r>
      <w:r w:rsidRPr="008F61BF">
        <w:rPr>
          <w:rFonts w:eastAsia="Aptos"/>
          <w:b/>
          <w:szCs w:val="24"/>
          <w:lang w:eastAsia="en-US"/>
        </w:rPr>
        <w:t xml:space="preserve"> och om upphävande av direktiven 2000/53/EG och 2005/64/EG</w:t>
      </w:r>
    </w:p>
    <w:p w:rsidR="0093397D" w:rsidRPr="0093397D" w:rsidP="008F61BF" w14:paraId="30373473" w14:textId="23173F26">
      <w:pPr>
        <w:widowControl/>
        <w:spacing w:before="120" w:after="120"/>
        <w:rPr>
          <w:rFonts w:eastAsia="Calibri"/>
          <w:i/>
          <w:iCs/>
          <w:szCs w:val="24"/>
          <w:lang w:eastAsia="en-US"/>
        </w:rPr>
      </w:pPr>
      <w:r w:rsidRPr="0093397D">
        <w:rPr>
          <w:rFonts w:eastAsia="Calibri"/>
          <w:i/>
          <w:iCs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>
        <w:rPr>
          <w:rFonts w:eastAsia="Calibri"/>
          <w:i/>
          <w:iCs/>
          <w:szCs w:val="24"/>
          <w:lang w:eastAsia="en-US"/>
        </w:rPr>
        <w:t>6</w:t>
      </w:r>
      <w:r w:rsidRPr="0093397D">
        <w:rPr>
          <w:rFonts w:eastAsia="Calibri"/>
          <w:i/>
          <w:iCs/>
          <w:szCs w:val="24"/>
          <w:lang w:eastAsia="en-US"/>
        </w:rPr>
        <w:t>/</w:t>
      </w:r>
      <w:r>
        <w:rPr>
          <w:rFonts w:eastAsia="Calibri"/>
          <w:i/>
          <w:iCs/>
          <w:szCs w:val="24"/>
          <w:lang w:eastAsia="en-US"/>
        </w:rPr>
        <w:t>1738</w:t>
      </w:r>
      <w:r w:rsidRPr="0093397D">
        <w:rPr>
          <w:rFonts w:eastAsia="Calibri"/>
          <w:i/>
          <w:iCs/>
          <w:szCs w:val="24"/>
          <w:lang w:eastAsia="en-US"/>
        </w:rPr>
        <w:t>.)</w:t>
      </w:r>
    </w:p>
    <w:sectPr w:rsidSect="006D66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2A1ED0D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14B6488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3A9E444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B4438" w:rsidRPr="006D6698" w14:paraId="7FCE725A" w14:textId="77777777">
      <w:r w:rsidRPr="006D6698">
        <w:separator/>
      </w:r>
    </w:p>
  </w:footnote>
  <w:footnote w:type="continuationSeparator" w:id="1">
    <w:p w:rsidR="004B4438" w:rsidRPr="006D6698" w14:paraId="32192715" w14:textId="77777777">
      <w:r w:rsidRPr="006D6698">
        <w:continuationSeparator/>
      </w:r>
    </w:p>
  </w:footnote>
  <w:footnote w:id="2">
    <w:p w:rsidR="00B90A82" w:rsidRPr="008F61BF" w:rsidP="006D6698" w14:paraId="1B46AF09" w14:textId="73D50CB0">
      <w:pPr>
        <w:pStyle w:val="FootnoteText"/>
        <w:ind w:left="567" w:hanging="567"/>
        <w:rPr>
          <w:sz w:val="24"/>
          <w:lang w:val="fi-FI"/>
        </w:rPr>
      </w:pPr>
      <w:r w:rsidRPr="006D6698">
        <w:rPr>
          <w:rStyle w:val="FootnoteReference"/>
          <w:sz w:val="24"/>
          <w:lang w:val="sv-SE"/>
        </w:rPr>
        <w:footnoteRef/>
      </w:r>
      <w:r w:rsidRPr="008F61BF" w:rsidR="006D6698">
        <w:rPr>
          <w:sz w:val="24"/>
          <w:lang w:val="fi-FI"/>
        </w:rPr>
        <w:t xml:space="preserve"> </w:t>
      </w:r>
      <w:r w:rsidRPr="008F61BF" w:rsidR="006D6698">
        <w:rPr>
          <w:sz w:val="24"/>
          <w:lang w:val="fi-FI"/>
        </w:rPr>
        <w:tab/>
      </w:r>
      <w:r w:rsidRPr="008F61BF">
        <w:rPr>
          <w:sz w:val="24"/>
          <w:lang w:val="fi-FI"/>
        </w:rPr>
        <w:t xml:space="preserve">EUT C, C/2024/1593, 5.3.2024, ELI: </w:t>
      </w:r>
      <w:hyperlink r:id="rId1" w:history="1">
        <w:r w:rsidRPr="008F61BF">
          <w:rPr>
            <w:rStyle w:val="Hyperlink"/>
            <w:lang w:val="fi-FI"/>
          </w:rPr>
          <w:t>http://data.europa.eu/eli/C/2024/1593/oj</w:t>
        </w:r>
      </w:hyperlink>
      <w:r w:rsidRPr="008F61BF">
        <w:rPr>
          <w:sz w:val="24"/>
          <w:lang w:val="fi-FI"/>
        </w:rPr>
        <w:t>.</w:t>
      </w:r>
    </w:p>
  </w:footnote>
  <w:footnote w:id="3">
    <w:p w:rsidR="00B51ECF" w:rsidRPr="008F61BF" w:rsidP="00B51ECF" w14:paraId="0118DE16" w14:textId="5A99EB5C">
      <w:pPr>
        <w:pStyle w:val="FootnoteText"/>
        <w:ind w:left="709" w:hanging="709"/>
        <w:rPr>
          <w:lang w:val="sv-SE"/>
        </w:rPr>
      </w:pPr>
      <w:r>
        <w:rPr>
          <w:rStyle w:val="FootnoteReference"/>
        </w:rPr>
        <w:footnoteRef/>
      </w:r>
      <w:r w:rsidRPr="008F61BF">
        <w:rPr>
          <w:lang w:val="sv-SE"/>
        </w:rPr>
        <w:t xml:space="preserve"> </w:t>
      </w:r>
      <w:r w:rsidRPr="008F61BF">
        <w:rPr>
          <w:lang w:val="sv-SE"/>
        </w:rPr>
        <w:tab/>
      </w:r>
      <w:r w:rsidRPr="008F61BF">
        <w:rPr>
          <w:sz w:val="24"/>
          <w:szCs w:val="24"/>
          <w:lang w:val="sv-SE"/>
        </w:rPr>
        <w:t xml:space="preserve">Denna ståndpunkt ersätter de ändringar som antogs den </w:t>
      </w:r>
      <w:r>
        <w:rPr>
          <w:sz w:val="24"/>
          <w:szCs w:val="24"/>
          <w:lang w:val="sv-SE"/>
        </w:rPr>
        <w:t>9</w:t>
      </w:r>
      <w:r w:rsidRPr="008F61BF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september</w:t>
      </w:r>
      <w:r w:rsidRPr="008F61BF">
        <w:rPr>
          <w:sz w:val="24"/>
          <w:szCs w:val="24"/>
          <w:lang w:val="sv-SE"/>
        </w:rPr>
        <w:t xml:space="preserve"> 2025 (Antagna texter, P10_TA(2025)0168).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71496FC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781816E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698" w14:paraId="4FC7117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93495607">
    <w:abstractNumId w:val="2"/>
  </w:num>
  <w:num w:numId="2" w16cid:durableId="520363512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38"/>
    <w:rsid w:val="00002272"/>
    <w:rsid w:val="00064002"/>
    <w:rsid w:val="000677B9"/>
    <w:rsid w:val="0008140A"/>
    <w:rsid w:val="000831BA"/>
    <w:rsid w:val="000A42CC"/>
    <w:rsid w:val="000E7DD9"/>
    <w:rsid w:val="0010095E"/>
    <w:rsid w:val="00125B37"/>
    <w:rsid w:val="001348CE"/>
    <w:rsid w:val="00176732"/>
    <w:rsid w:val="00187494"/>
    <w:rsid w:val="001F32AE"/>
    <w:rsid w:val="001F5EDC"/>
    <w:rsid w:val="00233D01"/>
    <w:rsid w:val="00253055"/>
    <w:rsid w:val="002767FF"/>
    <w:rsid w:val="002817DD"/>
    <w:rsid w:val="002B18FE"/>
    <w:rsid w:val="002B5493"/>
    <w:rsid w:val="00300EB2"/>
    <w:rsid w:val="00343214"/>
    <w:rsid w:val="00361C00"/>
    <w:rsid w:val="0039186E"/>
    <w:rsid w:val="00395FA1"/>
    <w:rsid w:val="003E15D4"/>
    <w:rsid w:val="003E47BB"/>
    <w:rsid w:val="003E759E"/>
    <w:rsid w:val="00410FDC"/>
    <w:rsid w:val="00411CCE"/>
    <w:rsid w:val="0041666E"/>
    <w:rsid w:val="00421060"/>
    <w:rsid w:val="00471C19"/>
    <w:rsid w:val="00474743"/>
    <w:rsid w:val="004867E3"/>
    <w:rsid w:val="00494A28"/>
    <w:rsid w:val="004B4438"/>
    <w:rsid w:val="004C0004"/>
    <w:rsid w:val="004C5D52"/>
    <w:rsid w:val="0050519A"/>
    <w:rsid w:val="005072A1"/>
    <w:rsid w:val="00514517"/>
    <w:rsid w:val="00516286"/>
    <w:rsid w:val="00545827"/>
    <w:rsid w:val="00550B1A"/>
    <w:rsid w:val="00560270"/>
    <w:rsid w:val="005C2568"/>
    <w:rsid w:val="005F1B17"/>
    <w:rsid w:val="006037C0"/>
    <w:rsid w:val="00630A64"/>
    <w:rsid w:val="006631B6"/>
    <w:rsid w:val="00680577"/>
    <w:rsid w:val="006A6064"/>
    <w:rsid w:val="006D66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195"/>
    <w:rsid w:val="007E22AD"/>
    <w:rsid w:val="00817416"/>
    <w:rsid w:val="00842779"/>
    <w:rsid w:val="00865F67"/>
    <w:rsid w:val="00881A7B"/>
    <w:rsid w:val="008840E5"/>
    <w:rsid w:val="00887B3E"/>
    <w:rsid w:val="008B4985"/>
    <w:rsid w:val="008C2AC6"/>
    <w:rsid w:val="008E4540"/>
    <w:rsid w:val="008F61BF"/>
    <w:rsid w:val="00930C23"/>
    <w:rsid w:val="0093193B"/>
    <w:rsid w:val="0093397D"/>
    <w:rsid w:val="009509D8"/>
    <w:rsid w:val="00950B64"/>
    <w:rsid w:val="00981893"/>
    <w:rsid w:val="009B554E"/>
    <w:rsid w:val="00A1687D"/>
    <w:rsid w:val="00A43E52"/>
    <w:rsid w:val="00A4678D"/>
    <w:rsid w:val="00A778C7"/>
    <w:rsid w:val="00A96229"/>
    <w:rsid w:val="00AB441E"/>
    <w:rsid w:val="00AB6293"/>
    <w:rsid w:val="00AE0928"/>
    <w:rsid w:val="00AE6D0F"/>
    <w:rsid w:val="00AF3B82"/>
    <w:rsid w:val="00B12E95"/>
    <w:rsid w:val="00B22876"/>
    <w:rsid w:val="00B51ECF"/>
    <w:rsid w:val="00B558F0"/>
    <w:rsid w:val="00B90A8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B1E"/>
    <w:rsid w:val="00D56C11"/>
    <w:rsid w:val="00D73051"/>
    <w:rsid w:val="00D834A0"/>
    <w:rsid w:val="00D872DF"/>
    <w:rsid w:val="00D91E21"/>
    <w:rsid w:val="00DA4800"/>
    <w:rsid w:val="00DA7FCD"/>
    <w:rsid w:val="00E365E1"/>
    <w:rsid w:val="00E5025B"/>
    <w:rsid w:val="00E820A4"/>
    <w:rsid w:val="00EA05DD"/>
    <w:rsid w:val="00EA611A"/>
    <w:rsid w:val="00EB006A"/>
    <w:rsid w:val="00EB4772"/>
    <w:rsid w:val="00ED169E"/>
    <w:rsid w:val="00ED4235"/>
    <w:rsid w:val="00EE19B5"/>
    <w:rsid w:val="00EE55D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5"/>
    <w:docVar w:name="dvlangue" w:val="SV"/>
    <w:docVar w:name="dvnumam" w:val="518"/>
    <w:docVar w:name="dvpe" w:val="768.004"/>
    <w:docVar w:name="dvrapporteur" w:val="Föredragande: "/>
    <w:docVar w:name="dvstar" w:val="***I"/>
    <w:docVar w:name="dvtitre" w:val="Europaparlamentets lagstiftningsresolution av den xx xx 2026 om förslaget till Europaparlamentets och rådets förordning om cirkularitetskrav för fordonskonstruktion och hantering av uttjänta fordon, om ändring av förordningarna (EU) 2018/858 och 2019/1020 och om upphävande av direktiven 2000/53/EG och 2005/64/EG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0F28B3"/>
  <w15:chartTrackingRefBased/>
  <w15:docId w15:val="{8FB1630B-8E40-4977-85CF-ED2998A8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90A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A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A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A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A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A8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A8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A8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A8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B90A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0A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0A8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0A82"/>
    <w:pPr>
      <w:spacing w:after="120"/>
    </w:pPr>
  </w:style>
  <w:style w:type="paragraph" w:customStyle="1" w:styleId="PageHeading">
    <w:name w:val="PageHeading"/>
    <w:basedOn w:val="Normal"/>
    <w:rsid w:val="00B90A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0A8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90A82"/>
    <w:rPr>
      <w:b/>
      <w:sz w:val="24"/>
      <w:lang w:val="sv-SE"/>
    </w:rPr>
  </w:style>
  <w:style w:type="paragraph" w:customStyle="1" w:styleId="NormalBold12a">
    <w:name w:val="NormalBold12a"/>
    <w:basedOn w:val="Normal"/>
    <w:rsid w:val="00B90A82"/>
    <w:pPr>
      <w:spacing w:after="240"/>
    </w:pPr>
    <w:rPr>
      <w:b/>
    </w:rPr>
  </w:style>
  <w:style w:type="paragraph" w:customStyle="1" w:styleId="AmJustText">
    <w:name w:val="AmJustText"/>
    <w:basedOn w:val="Normal"/>
    <w:rsid w:val="00B90A8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0A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0A82"/>
    <w:pPr>
      <w:spacing w:after="480"/>
      <w:ind w:left="1417"/>
    </w:pPr>
  </w:style>
  <w:style w:type="paragraph" w:customStyle="1" w:styleId="CoverNormal">
    <w:name w:val="CoverNormal"/>
    <w:basedOn w:val="Normal"/>
    <w:rsid w:val="00B90A82"/>
    <w:pPr>
      <w:ind w:left="1418"/>
    </w:pPr>
  </w:style>
  <w:style w:type="paragraph" w:customStyle="1" w:styleId="AmCrossRef">
    <w:name w:val="AmCrossRef"/>
    <w:basedOn w:val="Normal"/>
    <w:rsid w:val="00B90A8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0A8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0A8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0A8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0A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0A8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0A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A82"/>
    <w:rPr>
      <w:sz w:val="24"/>
      <w:lang w:val="sv-SE"/>
    </w:rPr>
  </w:style>
  <w:style w:type="paragraph" w:customStyle="1" w:styleId="AmOrLang">
    <w:name w:val="AmOrLang"/>
    <w:basedOn w:val="Normal"/>
    <w:rsid w:val="00B90A8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0A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90A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90A82"/>
    <w:pPr>
      <w:spacing w:before="240"/>
    </w:pPr>
    <w:rPr>
      <w:b/>
    </w:rPr>
  </w:style>
  <w:style w:type="paragraph" w:customStyle="1" w:styleId="EPBody">
    <w:name w:val="EPBody"/>
    <w:basedOn w:val="Normal"/>
    <w:rsid w:val="00B90A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0A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0A82"/>
    <w:pPr>
      <w:spacing w:before="480" w:after="240"/>
    </w:pPr>
  </w:style>
  <w:style w:type="paragraph" w:customStyle="1" w:styleId="Lgendesigne">
    <w:name w:val="Légende signe"/>
    <w:basedOn w:val="Normal"/>
    <w:rsid w:val="00B90A8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0A8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0A82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B90A82"/>
    <w:rPr>
      <w:noProof/>
      <w:sz w:val="24"/>
    </w:rPr>
  </w:style>
  <w:style w:type="paragraph" w:customStyle="1" w:styleId="Normal12">
    <w:name w:val="Normal12"/>
    <w:basedOn w:val="Normal"/>
    <w:link w:val="Normal12Char"/>
    <w:rsid w:val="00B90A8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90A82"/>
    <w:rPr>
      <w:sz w:val="24"/>
    </w:rPr>
  </w:style>
  <w:style w:type="paragraph" w:customStyle="1" w:styleId="Normal6">
    <w:name w:val="Normal6"/>
    <w:basedOn w:val="Normal"/>
    <w:link w:val="Normal6Char"/>
    <w:rsid w:val="00B90A82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B90A82"/>
    <w:rPr>
      <w:i/>
    </w:rPr>
  </w:style>
  <w:style w:type="paragraph" w:customStyle="1" w:styleId="EntPE">
    <w:name w:val="EntPE"/>
    <w:basedOn w:val="Normal12"/>
    <w:rsid w:val="00B90A82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B90A82"/>
    <w:pPr>
      <w:spacing w:after="480"/>
    </w:pPr>
  </w:style>
  <w:style w:type="paragraph" w:customStyle="1" w:styleId="NormalBoldCenter">
    <w:name w:val="NormalBoldCenter"/>
    <w:basedOn w:val="Normal"/>
    <w:rsid w:val="00B90A82"/>
    <w:pPr>
      <w:jc w:val="center"/>
    </w:pPr>
    <w:rPr>
      <w:b/>
    </w:rPr>
  </w:style>
  <w:style w:type="paragraph" w:customStyle="1" w:styleId="Footprint12b">
    <w:name w:val="Footprint12b"/>
    <w:basedOn w:val="Normal"/>
    <w:rsid w:val="00B90A8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90A82"/>
    <w:rPr>
      <w:szCs w:val="24"/>
    </w:rPr>
  </w:style>
  <w:style w:type="paragraph" w:customStyle="1" w:styleId="AMNumberTabs0">
    <w:name w:val="AMNumberTabs"/>
    <w:basedOn w:val="Normal"/>
    <w:rsid w:val="00B90A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90A8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90A8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90A82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B90A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0A8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B90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0A8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0A8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90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90A82"/>
    <w:rPr>
      <w:b/>
      <w:bCs/>
      <w:lang w:val="sv-SE"/>
    </w:rPr>
  </w:style>
  <w:style w:type="paragraph" w:styleId="Revision">
    <w:name w:val="Revision"/>
    <w:hidden/>
    <w:uiPriority w:val="99"/>
    <w:semiHidden/>
    <w:rsid w:val="00B90A82"/>
    <w:rPr>
      <w:sz w:val="24"/>
      <w:lang w:val="sv-SE"/>
    </w:rPr>
  </w:style>
  <w:style w:type="paragraph" w:styleId="Index1">
    <w:name w:val="index 1"/>
    <w:basedOn w:val="Normal"/>
    <w:next w:val="Normal"/>
    <w:autoRedefine/>
    <w:rsid w:val="00B90A82"/>
    <w:pPr>
      <w:ind w:left="240" w:hanging="240"/>
    </w:pPr>
  </w:style>
  <w:style w:type="paragraph" w:styleId="IndexHeading">
    <w:name w:val="index heading"/>
    <w:basedOn w:val="Normal"/>
    <w:next w:val="Index1"/>
    <w:rsid w:val="00B90A82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B90A8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90A82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B90A82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B90A82"/>
  </w:style>
  <w:style w:type="character" w:customStyle="1" w:styleId="AmNumberTabsChar">
    <w:name w:val="AmNumberTabs Char"/>
    <w:basedOn w:val="DefaultParagraphFont"/>
    <w:link w:val="AmNumberTabs"/>
    <w:rsid w:val="00B90A82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B90A82"/>
    <w:rPr>
      <w:b/>
      <w:sz w:val="24"/>
      <w:lang w:val="sv-SE"/>
    </w:rPr>
  </w:style>
  <w:style w:type="paragraph" w:customStyle="1" w:styleId="Normal12a">
    <w:name w:val="Normal12a"/>
    <w:basedOn w:val="Normal"/>
    <w:rsid w:val="00B90A8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B90A8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90A8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B90A8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90A8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B90A8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B90A8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CoverBold">
    <w:name w:val="CoverBold"/>
    <w:basedOn w:val="Normal"/>
    <w:rsid w:val="00B90A82"/>
    <w:pPr>
      <w:ind w:left="1417"/>
    </w:pPr>
    <w:rPr>
      <w:b/>
      <w:lang w:val="en-GB"/>
    </w:rPr>
  </w:style>
  <w:style w:type="character" w:customStyle="1" w:styleId="SupBoldItalic">
    <w:name w:val="SupBoldItalic"/>
    <w:uiPriority w:val="1"/>
    <w:qFormat/>
    <w:rsid w:val="00B90A82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B90A82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90A82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90A82"/>
    <w:rPr>
      <w:rFonts w:ascii="Arial" w:hAnsi="Arial" w:eastAsiaTheme="majorEastAsia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A82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90A82"/>
    <w:rPr>
      <w:rFonts w:ascii="Arial" w:hAnsi="Arial" w:eastAsiaTheme="majorEastAsia" w:cs="Arial"/>
      <w:sz w:val="24"/>
      <w:szCs w:val="24"/>
      <w:lang w:val="sv-SE" w:eastAsia="en-US"/>
    </w:rPr>
  </w:style>
  <w:style w:type="character" w:styleId="Emphasis">
    <w:name w:val="Emphasis"/>
    <w:basedOn w:val="DefaultParagraphFont"/>
    <w:qFormat/>
    <w:rsid w:val="00B90A8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90A8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Dot pt,FooterText,Ha,Heading 2_sj,L,Lettre d'introduction,List Paragraph Char Char Char,List Paragraph1,Medium Grid 1 - Accent 21,No Spacing1,Numbered Para 1,Paragrafo elenco,Paragraphe de liste1,lp1"/>
    <w:basedOn w:val="Normal"/>
    <w:link w:val="ListParagraphChar"/>
    <w:uiPriority w:val="34"/>
    <w:qFormat/>
    <w:rsid w:val="00B90A8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90A8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90A82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A8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A82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B90A8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90A8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90A8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90A8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90A82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0A82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90A82"/>
    <w:rPr>
      <w:rFonts w:eastAsiaTheme="minorHAnsi"/>
      <w:sz w:val="24"/>
      <w:szCs w:val="24"/>
      <w:lang w:val="sv-S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0A82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EE19B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E19B5"/>
    <w:pPr>
      <w:spacing w:after="240"/>
      <w:jc w:val="center"/>
    </w:pPr>
  </w:style>
  <w:style w:type="paragraph" w:customStyle="1" w:styleId="AmDateTab">
    <w:name w:val="AmDateTab"/>
    <w:basedOn w:val="Normal"/>
    <w:rsid w:val="00EE19B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E19B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E19B5"/>
  </w:style>
  <w:style w:type="paragraph" w:customStyle="1" w:styleId="Title1">
    <w:name w:val="Title1"/>
    <w:basedOn w:val="Normal"/>
    <w:next w:val="Normal"/>
    <w:uiPriority w:val="10"/>
    <w:qFormat/>
    <w:rsid w:val="00EE19B5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EE19B5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Emphasis1">
    <w:name w:val="Emphasis1"/>
    <w:basedOn w:val="DefaultParagraphFont"/>
    <w:uiPriority w:val="20"/>
    <w:qFormat/>
    <w:rsid w:val="00EE19B5"/>
    <w:rPr>
      <w:rFonts w:ascii="Aptos" w:hAnsi="Aptos"/>
      <w:b/>
      <w:i/>
      <w:iCs/>
    </w:rPr>
  </w:style>
  <w:style w:type="character" w:customStyle="1" w:styleId="SubtleEmphasis1">
    <w:name w:val="Subtle Emphasis1"/>
    <w:uiPriority w:val="19"/>
    <w:qFormat/>
    <w:rsid w:val="00EE19B5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EE19B5"/>
    <w:rPr>
      <w:rFonts w:ascii="Aptos Display" w:eastAsia="Times New Roman" w:hAnsi="Aptos Display"/>
      <w:b/>
      <w:i/>
      <w:sz w:val="24"/>
      <w:szCs w:val="24"/>
    </w:rPr>
  </w:style>
  <w:style w:type="paragraph" w:customStyle="1" w:styleId="NormalCentered">
    <w:name w:val="Normal Centered"/>
    <w:basedOn w:val="Normal"/>
    <w:rsid w:val="00EE19B5"/>
    <w:pPr>
      <w:widowControl/>
      <w:spacing w:before="200" w:after="120" w:line="360" w:lineRule="auto"/>
      <w:jc w:val="center"/>
    </w:pPr>
    <w:rPr>
      <w:rFonts w:eastAsia="Aptos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EE19B5"/>
  </w:style>
  <w:style w:type="paragraph" w:customStyle="1" w:styleId="TechnicalBlockBase">
    <w:name w:val="TechnicalBlockBase"/>
    <w:link w:val="TechnicalBlockBaseChar"/>
    <w:rsid w:val="00EE19B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E19B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paragraph" w:customStyle="1" w:styleId="TBEntRefer">
    <w:name w:val="TBEntRefer"/>
    <w:basedOn w:val="TechnicalBlockBase"/>
    <w:link w:val="EntReferChar"/>
    <w:rsid w:val="00EE19B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EE19B5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DistrbMarkers">
    <w:name w:val="TBDistrbMarkers"/>
    <w:basedOn w:val="TBEntRefer"/>
    <w:qFormat/>
    <w:rsid w:val="00EE19B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EE19B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EE19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E19B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EE19B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E19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E19B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E19B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EE19B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EE19B5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SubjectTable">
    <w:name w:val="TBSubjectTable"/>
    <w:basedOn w:val="TechnicalBlockBase"/>
    <w:rsid w:val="00EE19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EE19B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EE19B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EE19B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E19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EE19B5"/>
    <w:pPr>
      <w:widowControl/>
      <w:spacing w:after="440" w:line="360" w:lineRule="auto"/>
    </w:pPr>
    <w:rPr>
      <w:rFonts w:eastAsia="Aptos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EE19B5"/>
    <w:pPr>
      <w:widowControl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EE19B5"/>
    <w:pPr>
      <w:widowControl/>
      <w:spacing w:before="20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NormalJustified">
    <w:name w:val="Normal Justified"/>
    <w:basedOn w:val="Normal"/>
    <w:rsid w:val="00EE19B5"/>
    <w:pPr>
      <w:widowControl/>
      <w:spacing w:before="200" w:after="120" w:line="360" w:lineRule="auto"/>
      <w:jc w:val="both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EE19B5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EE19B5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EE19B5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E19B5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E19B5"/>
    <w:pPr>
      <w:widowControl/>
      <w:spacing w:after="240"/>
      <w:jc w:val="center"/>
    </w:pPr>
    <w:rPr>
      <w:rFonts w:eastAsia="Aptos"/>
      <w:szCs w:val="22"/>
      <w:lang w:eastAsia="en-US"/>
    </w:rPr>
  </w:style>
  <w:style w:type="paragraph" w:customStyle="1" w:styleId="FinalLine">
    <w:name w:val="Final Line"/>
    <w:basedOn w:val="Normal"/>
    <w:next w:val="Normal"/>
    <w:rsid w:val="00EE19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E19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Text1">
    <w:name w:val="Text 1"/>
    <w:basedOn w:val="Normal"/>
    <w:rsid w:val="00EE19B5"/>
    <w:pPr>
      <w:widowControl/>
      <w:spacing w:before="120" w:after="120" w:line="360" w:lineRule="auto"/>
      <w:ind w:left="567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qFormat/>
    <w:rsid w:val="00EE19B5"/>
    <w:pPr>
      <w:widowControl/>
      <w:spacing w:before="120" w:after="120" w:line="360" w:lineRule="auto"/>
      <w:ind w:left="1134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qFormat/>
    <w:rsid w:val="00EE19B5"/>
    <w:pPr>
      <w:widowControl/>
      <w:spacing w:before="120" w:after="120" w:line="360" w:lineRule="auto"/>
      <w:ind w:left="1701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EE19B5"/>
    <w:pPr>
      <w:widowControl/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EE19B5"/>
    <w:pPr>
      <w:widowControl/>
      <w:spacing w:before="120" w:after="120" w:line="360" w:lineRule="auto"/>
      <w:ind w:left="2835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EE19B5"/>
    <w:pPr>
      <w:widowControl/>
      <w:spacing w:before="120" w:after="120" w:line="360" w:lineRule="auto"/>
      <w:ind w:left="3402"/>
    </w:pPr>
    <w:rPr>
      <w:rFonts w:eastAsia="Aptos"/>
      <w:szCs w:val="22"/>
      <w:lang w:eastAsia="en-US"/>
    </w:rPr>
  </w:style>
  <w:style w:type="paragraph" w:customStyle="1" w:styleId="PointManual">
    <w:name w:val="Point Manual"/>
    <w:basedOn w:val="Normal"/>
    <w:rsid w:val="00EE19B5"/>
    <w:pPr>
      <w:widowControl/>
      <w:spacing w:before="120" w:after="120" w:line="360" w:lineRule="auto"/>
      <w:ind w:left="567" w:hanging="567"/>
    </w:pPr>
    <w:rPr>
      <w:rFonts w:eastAsia="Aptos"/>
      <w:szCs w:val="22"/>
      <w:lang w:eastAsia="en-US"/>
    </w:rPr>
  </w:style>
  <w:style w:type="paragraph" w:customStyle="1" w:styleId="PointManual1">
    <w:name w:val="Point Manual (1)"/>
    <w:basedOn w:val="Normal"/>
    <w:rsid w:val="00EE19B5"/>
    <w:pPr>
      <w:widowControl/>
      <w:spacing w:before="120" w:after="120" w:line="360" w:lineRule="auto"/>
      <w:ind w:left="1134" w:hanging="567"/>
    </w:pPr>
    <w:rPr>
      <w:rFonts w:eastAsia="Aptos"/>
      <w:szCs w:val="22"/>
      <w:lang w:eastAsia="en-US"/>
    </w:rPr>
  </w:style>
  <w:style w:type="paragraph" w:customStyle="1" w:styleId="PointManual2">
    <w:name w:val="Point Manual (2)"/>
    <w:basedOn w:val="Normal"/>
    <w:rsid w:val="00EE19B5"/>
    <w:pPr>
      <w:widowControl/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PointManual3">
    <w:name w:val="Point Manual (3)"/>
    <w:basedOn w:val="Normal"/>
    <w:rsid w:val="00EE19B5"/>
    <w:pPr>
      <w:widowControl/>
      <w:spacing w:before="120" w:after="120" w:line="360" w:lineRule="auto"/>
      <w:ind w:left="2268" w:hanging="567"/>
    </w:pPr>
    <w:rPr>
      <w:rFonts w:eastAsia="Aptos"/>
      <w:szCs w:val="22"/>
      <w:lang w:eastAsia="en-US"/>
    </w:rPr>
  </w:style>
  <w:style w:type="paragraph" w:customStyle="1" w:styleId="PointManual4">
    <w:name w:val="Point Manual (4)"/>
    <w:basedOn w:val="Normal"/>
    <w:rsid w:val="00EE19B5"/>
    <w:pPr>
      <w:widowControl/>
      <w:spacing w:before="120" w:after="120" w:line="360" w:lineRule="auto"/>
      <w:ind w:left="2835" w:hanging="567"/>
    </w:pPr>
    <w:rPr>
      <w:rFonts w:eastAsia="Aptos"/>
      <w:szCs w:val="22"/>
      <w:lang w:eastAsia="en-US"/>
    </w:rPr>
  </w:style>
  <w:style w:type="paragraph" w:customStyle="1" w:styleId="PointDoubleManual">
    <w:name w:val="Point Double Manual"/>
    <w:basedOn w:val="Normal"/>
    <w:rsid w:val="00EE19B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Aptos"/>
      <w:szCs w:val="22"/>
      <w:lang w:eastAsia="en-US"/>
    </w:rPr>
  </w:style>
  <w:style w:type="paragraph" w:customStyle="1" w:styleId="PointDoubleManual1">
    <w:name w:val="Point Double Manual (1)"/>
    <w:basedOn w:val="Normal"/>
    <w:rsid w:val="00EE19B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Aptos"/>
      <w:szCs w:val="22"/>
      <w:lang w:eastAsia="en-US"/>
    </w:rPr>
  </w:style>
  <w:style w:type="paragraph" w:customStyle="1" w:styleId="PointDoubleManual2">
    <w:name w:val="Point Double Manual (2)"/>
    <w:basedOn w:val="Normal"/>
    <w:rsid w:val="00EE19B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Aptos"/>
      <w:szCs w:val="22"/>
      <w:lang w:eastAsia="en-US"/>
    </w:rPr>
  </w:style>
  <w:style w:type="paragraph" w:customStyle="1" w:styleId="PointDoubleManual3">
    <w:name w:val="Point Double Manual (3)"/>
    <w:basedOn w:val="Normal"/>
    <w:rsid w:val="00EE19B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Aptos"/>
      <w:szCs w:val="22"/>
      <w:lang w:eastAsia="en-US"/>
    </w:rPr>
  </w:style>
  <w:style w:type="paragraph" w:customStyle="1" w:styleId="PointDoubleManual4">
    <w:name w:val="Point Double Manual (4)"/>
    <w:basedOn w:val="Normal"/>
    <w:rsid w:val="00EE19B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Aptos"/>
      <w:szCs w:val="22"/>
      <w:lang w:eastAsia="en-US"/>
    </w:rPr>
  </w:style>
  <w:style w:type="paragraph" w:customStyle="1" w:styleId="Pointabc">
    <w:name w:val="Point abc"/>
    <w:basedOn w:val="Normal"/>
    <w:rsid w:val="00EE19B5"/>
    <w:pPr>
      <w:widowControl/>
      <w:numPr>
        <w:ilvl w:val="1"/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abc1">
    <w:name w:val="Point abc (1)"/>
    <w:basedOn w:val="Normal"/>
    <w:rsid w:val="00EE19B5"/>
    <w:pPr>
      <w:widowControl/>
      <w:numPr>
        <w:ilvl w:val="3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abc2">
    <w:name w:val="Point abc (2)"/>
    <w:basedOn w:val="Normal"/>
    <w:rsid w:val="00EE19B5"/>
    <w:pPr>
      <w:widowControl/>
      <w:numPr>
        <w:ilvl w:val="5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abc3">
    <w:name w:val="Point abc (3)"/>
    <w:basedOn w:val="Normal"/>
    <w:rsid w:val="00EE19B5"/>
    <w:pPr>
      <w:widowControl/>
      <w:numPr>
        <w:ilvl w:val="7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abc4">
    <w:name w:val="Point abc (4)"/>
    <w:basedOn w:val="Normal"/>
    <w:rsid w:val="00EE19B5"/>
    <w:pPr>
      <w:widowControl/>
      <w:numPr>
        <w:ilvl w:val="8"/>
        <w:numId w:val="3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123">
    <w:name w:val="Point 123"/>
    <w:basedOn w:val="Normal"/>
    <w:rsid w:val="00EE19B5"/>
    <w:pPr>
      <w:widowControl/>
      <w:numPr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1231">
    <w:name w:val="Point 123 (1)"/>
    <w:basedOn w:val="Normal"/>
    <w:rsid w:val="00EE19B5"/>
    <w:pPr>
      <w:widowControl/>
      <w:numPr>
        <w:ilvl w:val="2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1232">
    <w:name w:val="Point 123 (2)"/>
    <w:basedOn w:val="Normal"/>
    <w:rsid w:val="00EE19B5"/>
    <w:pPr>
      <w:widowControl/>
      <w:numPr>
        <w:ilvl w:val="4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1233">
    <w:name w:val="Point 123 (3)"/>
    <w:basedOn w:val="Normal"/>
    <w:rsid w:val="00EE19B5"/>
    <w:pPr>
      <w:widowControl/>
      <w:numPr>
        <w:ilvl w:val="6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ivx">
    <w:name w:val="Point ivx"/>
    <w:basedOn w:val="Normal"/>
    <w:rsid w:val="00EE19B5"/>
    <w:pPr>
      <w:widowControl/>
      <w:numPr>
        <w:numId w:val="4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ivx1">
    <w:name w:val="Point ivx (1)"/>
    <w:basedOn w:val="Normal"/>
    <w:rsid w:val="00EE19B5"/>
    <w:pPr>
      <w:widowControl/>
      <w:numPr>
        <w:ilvl w:val="1"/>
        <w:numId w:val="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ivx2">
    <w:name w:val="Point ivx (2)"/>
    <w:basedOn w:val="Normal"/>
    <w:rsid w:val="00EE19B5"/>
    <w:pPr>
      <w:widowControl/>
      <w:numPr>
        <w:ilvl w:val="2"/>
        <w:numId w:val="4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ivx3">
    <w:name w:val="Point ivx (3)"/>
    <w:basedOn w:val="Normal"/>
    <w:rsid w:val="00EE19B5"/>
    <w:pPr>
      <w:widowControl/>
      <w:numPr>
        <w:ilvl w:val="3"/>
        <w:numId w:val="4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Pointivx4">
    <w:name w:val="Point ivx (4)"/>
    <w:basedOn w:val="Normal"/>
    <w:rsid w:val="00EE19B5"/>
    <w:pPr>
      <w:widowControl/>
      <w:numPr>
        <w:ilvl w:val="4"/>
        <w:numId w:val="4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Bullet">
    <w:name w:val="Bullet"/>
    <w:basedOn w:val="Normal"/>
    <w:rsid w:val="00EE19B5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EE19B5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EE19B5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EE19B5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EE19B5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Dash">
    <w:name w:val="Dash"/>
    <w:basedOn w:val="Normal"/>
    <w:rsid w:val="00EE19B5"/>
    <w:pPr>
      <w:widowControl/>
      <w:numPr>
        <w:numId w:val="10"/>
      </w:numPr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Dash1">
    <w:name w:val="Dash 1"/>
    <w:basedOn w:val="Normal"/>
    <w:rsid w:val="00EE19B5"/>
    <w:pPr>
      <w:widowControl/>
      <w:numPr>
        <w:numId w:val="11"/>
      </w:numPr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Dash2">
    <w:name w:val="Dash 2"/>
    <w:basedOn w:val="Normal"/>
    <w:rsid w:val="00EE19B5"/>
    <w:pPr>
      <w:widowControl/>
      <w:numPr>
        <w:numId w:val="12"/>
      </w:numPr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Dash3">
    <w:name w:val="Dash 3"/>
    <w:basedOn w:val="Normal"/>
    <w:rsid w:val="00EE19B5"/>
    <w:pPr>
      <w:widowControl/>
      <w:numPr>
        <w:numId w:val="13"/>
      </w:numPr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Dash4">
    <w:name w:val="Dash 4"/>
    <w:basedOn w:val="Normal"/>
    <w:rsid w:val="00EE19B5"/>
    <w:pPr>
      <w:widowControl/>
      <w:numPr>
        <w:numId w:val="14"/>
      </w:numPr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DashEqual">
    <w:name w:val="Dash Equal"/>
    <w:basedOn w:val="Dash"/>
    <w:rsid w:val="00EE19B5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EE19B5"/>
    <w:pPr>
      <w:numPr>
        <w:numId w:val="16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EE19B5"/>
    <w:pPr>
      <w:numPr>
        <w:numId w:val="17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EE19B5"/>
    <w:pPr>
      <w:numPr>
        <w:numId w:val="18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EE19B5"/>
    <w:pPr>
      <w:numPr>
        <w:numId w:val="19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EE19B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E19B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E19B5"/>
    <w:pPr>
      <w:widowControl/>
      <w:spacing w:before="360" w:after="120" w:line="360" w:lineRule="auto"/>
      <w:outlineLvl w:val="0"/>
    </w:pPr>
    <w:rPr>
      <w:rFonts w:eastAsia="Aptos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E19B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EE19B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E19B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EE19B5"/>
    <w:pPr>
      <w:jc w:val="center"/>
    </w:pPr>
  </w:style>
  <w:style w:type="paragraph" w:customStyle="1" w:styleId="Jardin">
    <w:name w:val="Jardin"/>
    <w:basedOn w:val="Normal"/>
    <w:rsid w:val="00EE19B5"/>
    <w:pPr>
      <w:widowControl/>
      <w:spacing w:before="200"/>
      <w:jc w:val="center"/>
    </w:pPr>
    <w:rPr>
      <w:rFonts w:eastAsia="Aptos"/>
      <w:szCs w:val="22"/>
      <w:lang w:eastAsia="en-US"/>
    </w:rPr>
  </w:style>
  <w:style w:type="paragraph" w:customStyle="1" w:styleId="Amendment">
    <w:name w:val="Amendment"/>
    <w:basedOn w:val="Normal"/>
    <w:next w:val="Normal"/>
    <w:rsid w:val="00EE19B5"/>
    <w:pPr>
      <w:widowControl/>
      <w:spacing w:before="120" w:after="120" w:line="360" w:lineRule="auto"/>
    </w:pPr>
    <w:rPr>
      <w:rFonts w:eastAsia="Aptos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E19B5"/>
    <w:pPr>
      <w:widowControl/>
      <w:spacing w:before="120" w:after="120" w:line="360" w:lineRule="auto"/>
      <w:ind w:left="2268" w:hanging="2268"/>
    </w:pPr>
    <w:rPr>
      <w:rFonts w:eastAsia="Aptos"/>
      <w:szCs w:val="22"/>
      <w:lang w:eastAsia="en-US"/>
    </w:rPr>
  </w:style>
  <w:style w:type="paragraph" w:customStyle="1" w:styleId="ReplyRE">
    <w:name w:val="Reply RE"/>
    <w:basedOn w:val="Normal"/>
    <w:next w:val="Normal"/>
    <w:rsid w:val="00EE19B5"/>
    <w:pPr>
      <w:widowControl/>
      <w:spacing w:before="120" w:after="480"/>
      <w:contextualSpacing/>
    </w:pPr>
    <w:rPr>
      <w:rFonts w:eastAsia="Aptos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E19B5"/>
    <w:rPr>
      <w:b/>
    </w:rPr>
  </w:style>
  <w:style w:type="paragraph" w:customStyle="1" w:styleId="Annex">
    <w:name w:val="Annex"/>
    <w:basedOn w:val="Normal"/>
    <w:next w:val="Normal"/>
    <w:rsid w:val="00EE19B5"/>
    <w:pPr>
      <w:widowControl/>
      <w:spacing w:before="120" w:after="120" w:line="360" w:lineRule="auto"/>
      <w:jc w:val="right"/>
    </w:pPr>
    <w:rPr>
      <w:rFonts w:eastAsia="Aptos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E19B5"/>
    <w:pPr>
      <w:widowControl/>
      <w:tabs>
        <w:tab w:val="center" w:pos="7087"/>
      </w:tabs>
      <w:spacing w:before="120" w:after="120" w:line="360" w:lineRule="auto"/>
      <w:contextualSpacing/>
    </w:pPr>
    <w:rPr>
      <w:rFonts w:eastAsia="Aptos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E19B5"/>
    <w:pPr>
      <w:widowControl/>
      <w:spacing w:before="120" w:after="120" w:line="360" w:lineRule="auto"/>
    </w:pPr>
    <w:rPr>
      <w:rFonts w:eastAsia="Aptos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E19B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E19B5"/>
    <w:pPr>
      <w:widowControl/>
      <w:spacing w:before="120" w:after="120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E19B5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19B5"/>
    <w:rPr>
      <w:rFonts w:eastAsia="Aptos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EE19B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E19B5"/>
    <w:rPr>
      <w:color w:val="808080"/>
    </w:rPr>
  </w:style>
  <w:style w:type="character" w:customStyle="1" w:styleId="ListParagraphChar">
    <w:name w:val="List Paragraph Char"/>
    <w:aliases w:val="1st level - Bullet List Paragraph Char,Dot pt Char,FooterText Char,Ha Char,Heading 2_sj Char,L Char,Lettre d'introduction Char,List Paragraph Char Char Char Char,List Paragraph1 Char,Medium Grid 1 - Accent 21 Char,No Spacing1 Char"/>
    <w:link w:val="ListParagraph"/>
    <w:uiPriority w:val="34"/>
    <w:qFormat/>
    <w:rsid w:val="00EE19B5"/>
    <w:rPr>
      <w:rFonts w:eastAsiaTheme="minorHAnsi"/>
      <w:sz w:val="24"/>
      <w:szCs w:val="24"/>
      <w:lang w:val="sv-SE" w:eastAsia="en-US"/>
    </w:rPr>
  </w:style>
  <w:style w:type="paragraph" w:styleId="TOC4">
    <w:name w:val="toc 4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E19B5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EE19B5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EE19B5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EE19B5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EE19B5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EE19B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EE19B5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EE19B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EE19B5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EE19B5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EE19B5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EE19B5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EE19B5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EE19B5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EE19B5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EE19B5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EE19B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EE19B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EE19B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EE19B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EE19B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EE19B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EE19B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EE19B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EE19B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EE19B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EE19B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EE19B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EE19B5"/>
    <w:pPr>
      <w:widowControl/>
      <w:numPr>
        <w:numId w:val="23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EE19B5"/>
    <w:pPr>
      <w:widowControl/>
      <w:numPr>
        <w:numId w:val="24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EE19B5"/>
    <w:pPr>
      <w:widowControl/>
      <w:numPr>
        <w:numId w:val="25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EE19B5"/>
    <w:pPr>
      <w:widowControl/>
      <w:numPr>
        <w:numId w:val="26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EE19B5"/>
    <w:pPr>
      <w:widowControl/>
      <w:numPr>
        <w:numId w:val="27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EE19B5"/>
    <w:pPr>
      <w:widowControl/>
      <w:numPr>
        <w:numId w:val="28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EE19B5"/>
    <w:pPr>
      <w:widowControl/>
      <w:numPr>
        <w:numId w:val="29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EE19B5"/>
    <w:pPr>
      <w:widowControl/>
      <w:numPr>
        <w:numId w:val="30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EE19B5"/>
    <w:pPr>
      <w:widowControl/>
      <w:numPr>
        <w:numId w:val="31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EE19B5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EE19B5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EE19B5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EE19B5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EE19B5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EE19B5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EE19B5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E19B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E19B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E19B5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EE19B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19B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E19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19B5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19B5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19B5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19B5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EE19B5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EE19B5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EE19B5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EE19B5"/>
    <w:pPr>
      <w:widowControl/>
      <w:numPr>
        <w:ilvl w:val="6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EE19B5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EE19B5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EE19B5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EE19B5"/>
    <w:pPr>
      <w:widowControl/>
      <w:numPr>
        <w:ilvl w:val="7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EE19B5"/>
    <w:pPr>
      <w:widowControl/>
      <w:numPr>
        <w:ilvl w:val="8"/>
        <w:numId w:val="33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EE19B5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EE19B5"/>
    <w:pPr>
      <w:widowControl/>
      <w:numPr>
        <w:numId w:val="35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EE19B5"/>
    <w:pPr>
      <w:widowControl/>
      <w:numPr>
        <w:numId w:val="36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EE19B5"/>
    <w:pPr>
      <w:widowControl/>
      <w:numPr>
        <w:numId w:val="37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EE19B5"/>
    <w:pPr>
      <w:widowControl/>
      <w:numPr>
        <w:numId w:val="38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E19B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E19B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19B5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EE19B5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19B5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19B5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19B5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19B5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19B5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19B5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EE19B5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19B5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19B5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E19B5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E19B5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E19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E19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E19B5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EE19B5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EE19B5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EE19B5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EE19B5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EE19B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EE19B5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E19B5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EE19B5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E19B5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E19B5"/>
    <w:pPr>
      <w:spacing w:before="240"/>
    </w:pPr>
  </w:style>
  <w:style w:type="paragraph" w:customStyle="1" w:styleId="Accordtitre">
    <w:name w:val="Accord titre"/>
    <w:basedOn w:val="Normal"/>
    <w:rsid w:val="00EE19B5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EE19B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EE19B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E19B5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19B5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19B5"/>
    <w:pPr>
      <w:spacing w:after="240"/>
    </w:pPr>
  </w:style>
  <w:style w:type="paragraph" w:customStyle="1" w:styleId="Annexetitre">
    <w:name w:val="Annexe titre"/>
    <w:basedOn w:val="Normal"/>
    <w:next w:val="Normal"/>
    <w:rsid w:val="00EE19B5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E19B5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customStyle="1" w:styleId="Division1">
    <w:name w:val="Division 1"/>
    <w:basedOn w:val="Normal"/>
    <w:next w:val="Normal"/>
    <w:rsid w:val="00EE19B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EE19B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EE19B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EE19B5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E19B5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E19B5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E19B5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E19B5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E19B5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E19B5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E19B5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E19B5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E19B5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E19B5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E19B5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E19B5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E19B5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E19B5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E19B5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E19B5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E19B5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E19B5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E19B5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E19B5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E19B5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E19B5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EE19B5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EE19B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E19B5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EE19B5"/>
    <w:rPr>
      <w:rFonts w:ascii="Aptos" w:eastAsia="Aptos" w:hAnsi="Aptos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EE19B5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E19B5"/>
    <w:rPr>
      <w:color w:val="800080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EE19B5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EE19B5"/>
    <w:rPr>
      <w:color w:val="954F72"/>
      <w:u w:val="single"/>
    </w:rPr>
  </w:style>
  <w:style w:type="character" w:customStyle="1" w:styleId="TitleChar1">
    <w:name w:val="Title Char1"/>
    <w:basedOn w:val="DefaultParagraphFont"/>
    <w:rsid w:val="00EE19B5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SubtitleChar1">
    <w:name w:val="Subtitle Char1"/>
    <w:basedOn w:val="DefaultParagraphFont"/>
    <w:rsid w:val="00EE19B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FollowedHyperlink">
    <w:name w:val="FollowedHyperlink"/>
    <w:basedOn w:val="DefaultParagraphFont"/>
    <w:rsid w:val="00EE19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380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2026-09-01T14:28:00Z</dcterms:created>
  <dcterms:modified xsi:type="dcterms:W3CDTF">2026-09-01T14:28:00Z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