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28FA7F9" w14:textId="77777777" w:rsidTr="0010095E">
        <w:tblPrEx>
          <w:tblW w:w="9072" w:type="dxa"/>
          <w:tblLook w:val="01E0"/>
        </w:tblPrEx>
        <w:trPr>
          <w:trHeight w:hRule="exact" w:val="1418"/>
        </w:trPr>
        <w:tc>
          <w:tcPr>
            <w:tcW w:w="6804" w:type="dxa"/>
            <w:shd w:val="clear" w:color="auto" w:fill="auto"/>
            <w:vAlign w:val="center"/>
          </w:tcPr>
          <w:p w:rsidR="00751A4A" w:rsidRPr="00B87A07" w:rsidP="0010095E" w14:paraId="170CFD50" w14:textId="6DE9E3BB">
            <w:pPr>
              <w:pStyle w:val="EPName"/>
            </w:pPr>
            <w:r w:rsidRPr="00B87A07">
              <w:t>Европейски</w:t>
            </w:r>
            <w:r w:rsidRPr="00B87A07" w:rsidR="00BC3C5C">
              <w:t xml:space="preserve"> парламент</w:t>
            </w:r>
          </w:p>
          <w:p w:rsidR="00751A4A" w:rsidRPr="00B87A07" w:rsidP="00BA4A99" w14:paraId="685EAFB7" w14:textId="379987E7">
            <w:pPr>
              <w:pStyle w:val="EPTerm"/>
              <w:rPr>
                <w:rStyle w:val="HideTWBExt"/>
                <w:noProof w:val="0"/>
                <w:vanish w:val="0"/>
                <w:color w:val="auto"/>
              </w:rPr>
            </w:pPr>
            <w:r w:rsidRPr="00B87A07">
              <w:t>2024</w:t>
            </w:r>
            <w:r w:rsidR="00BA4A99">
              <w:rPr>
                <w:lang w:val="en-GB"/>
              </w:rPr>
              <w:t> – </w:t>
            </w:r>
            <w:r w:rsidRPr="00B87A07" w:rsidR="00817416">
              <w:t>202</w:t>
            </w:r>
            <w:r w:rsidRPr="00B87A07">
              <w:t>9</w:t>
            </w:r>
          </w:p>
        </w:tc>
        <w:tc>
          <w:tcPr>
            <w:tcW w:w="2268" w:type="dxa"/>
            <w:shd w:val="clear" w:color="auto" w:fill="auto"/>
          </w:tcPr>
          <w:p w:rsidR="00751A4A" w:rsidRPr="00B87A07" w:rsidP="0010095E" w14:paraId="1387FA07" w14:textId="77777777">
            <w:pPr>
              <w:pStyle w:val="EPLogo"/>
            </w:pPr>
            <w:r w:rsidRPr="00B87A0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87A07" w:rsidP="004C5D52" w14:paraId="3C2BD599" w14:textId="77777777">
      <w:pPr>
        <w:pStyle w:val="LineTop"/>
      </w:pPr>
    </w:p>
    <w:p w:rsidR="00680577" w:rsidRPr="00B87A07" w:rsidP="00680577" w14:paraId="78AE15C3" w14:textId="77777777">
      <w:pPr>
        <w:pStyle w:val="EPBodyTA1"/>
      </w:pPr>
      <w:r w:rsidRPr="00B87A07">
        <w:t>ПРИЕТИ ТЕКСТОВЕ</w:t>
      </w:r>
    </w:p>
    <w:p w:rsidR="00D058B8" w:rsidRPr="00B87A07" w:rsidP="00D058B8" w14:paraId="4985C91C" w14:textId="77777777">
      <w:pPr>
        <w:pStyle w:val="LineBottom"/>
      </w:pPr>
    </w:p>
    <w:p w:rsidR="00BC3C5C" w:rsidRPr="00B87A07" w:rsidP="00BC3C5C" w14:paraId="2C8106F9" w14:textId="38010775">
      <w:pPr>
        <w:pStyle w:val="ATHeading1"/>
      </w:pPr>
      <w:bookmarkStart w:id="0" w:name="TANumber"/>
      <w:r w:rsidRPr="00B87A07">
        <w:t>P10_TA(2026)0</w:t>
      </w:r>
      <w:r w:rsidR="00CE0900">
        <w:t>228</w:t>
      </w:r>
      <w:bookmarkEnd w:id="0"/>
    </w:p>
    <w:p w:rsidR="00BC3C5C" w:rsidRPr="00B87A07" w:rsidP="00BC3C5C" w14:paraId="6CF54317" w14:textId="77777777">
      <w:pPr>
        <w:pStyle w:val="ATHeading2"/>
      </w:pPr>
      <w:bookmarkStart w:id="1" w:name="title"/>
      <w:r w:rsidRPr="00B87A07">
        <w:t>Прилагане на Директивата за пречистването на градските отпадъчни води (ДПГОВ) и рискове по отношение на сигурността на снабдяването с лекарствени продукти</w:t>
      </w:r>
      <w:bookmarkEnd w:id="1"/>
    </w:p>
    <w:p w:rsidR="00BC3C5C" w:rsidRPr="00B87A07" w:rsidP="00BC3C5C" w14:paraId="181BB1E2" w14:textId="11B09AA4">
      <w:pPr>
        <w:rPr>
          <w:i/>
          <w:vanish/>
        </w:rPr>
      </w:pPr>
      <w:r>
        <w:rPr>
          <w:i/>
        </w:rPr>
        <w:fldChar w:fldCharType="begin"/>
      </w:r>
      <w:r w:rsidRPr="00B87A07">
        <w:rPr>
          <w:i/>
        </w:rPr>
        <w:instrText xml:space="preserve"> TC"(</w:instrText>
      </w:r>
      <w:bookmarkStart w:id="2" w:name="DocNumber"/>
      <w:r w:rsidRPr="00B87A07">
        <w:rPr>
          <w:i/>
        </w:rPr>
        <w:instrText xml:space="preserve">B10-0238, 0240, 0241 </w:instrText>
      </w:r>
      <w:r w:rsidR="00CF0059">
        <w:rPr>
          <w:i/>
        </w:rPr>
        <w:instrText>и</w:instrText>
      </w:r>
      <w:r w:rsidRPr="00B87A07">
        <w:rPr>
          <w:i/>
        </w:rPr>
        <w:instrText xml:space="preserve"> 0281/2026</w:instrText>
      </w:r>
      <w:bookmarkEnd w:id="2"/>
      <w:r w:rsidRPr="00B87A07">
        <w:rPr>
          <w:i/>
        </w:rPr>
        <w:instrText xml:space="preserve">)"\l3 \n&gt; \* MERGEFORMAT </w:instrText>
      </w:r>
      <w:r>
        <w:rPr>
          <w:i/>
        </w:rPr>
        <w:fldChar w:fldCharType="end"/>
      </w:r>
    </w:p>
    <w:p w:rsidR="00BC3C5C" w:rsidRPr="00B87A07" w:rsidP="00BC3C5C" w14:paraId="7983ED8F" w14:textId="77777777">
      <w:pPr>
        <w:rPr>
          <w:vanish/>
        </w:rPr>
      </w:pPr>
      <w:bookmarkStart w:id="3" w:name="PE"/>
      <w:r w:rsidRPr="00B87A07">
        <w:rPr>
          <w:vanish/>
        </w:rPr>
        <w:t>PE783.281</w:t>
      </w:r>
      <w:bookmarkEnd w:id="3"/>
    </w:p>
    <w:p w:rsidR="00BC3C5C" w:rsidRPr="00B87A07" w:rsidP="00BC3C5C" w14:paraId="553D8B92" w14:textId="4C86380D">
      <w:pPr>
        <w:pStyle w:val="ATHeading3"/>
      </w:pPr>
      <w:bookmarkStart w:id="4" w:name="Sujet"/>
      <w:r w:rsidRPr="00B87A07">
        <w:t xml:space="preserve">Резолюция на Европейския парламент от </w:t>
      </w:r>
      <w:r w:rsidR="00BA4A99">
        <w:rPr>
          <w:lang w:val="en-GB"/>
        </w:rPr>
        <w:t xml:space="preserve">18 </w:t>
      </w:r>
      <w:r w:rsidR="00BA4A99">
        <w:t>юни</w:t>
      </w:r>
      <w:r w:rsidRPr="00B87A07">
        <w:t xml:space="preserve"> 2026 г. относно прилагането на Директивата за пречистването на градските отпадъчни води и рисковете за сигурността на доставките на лекарства</w:t>
      </w:r>
      <w:bookmarkEnd w:id="4"/>
      <w:r w:rsidRPr="00B87A07">
        <w:t xml:space="preserve"> </w:t>
      </w:r>
      <w:bookmarkStart w:id="5" w:name="References"/>
      <w:r w:rsidRPr="00B87A07">
        <w:t>(2026/2652(RSP))</w:t>
      </w:r>
      <w:bookmarkEnd w:id="5"/>
    </w:p>
    <w:p w:rsidR="00FB0092" w:rsidRPr="00B87A07" w:rsidP="00FB0092" w14:paraId="411F934E" w14:textId="77777777">
      <w:pPr>
        <w:pStyle w:val="EPComma"/>
      </w:pPr>
      <w:bookmarkStart w:id="6" w:name="TextBodyBegin"/>
      <w:bookmarkEnd w:id="6"/>
      <w:r w:rsidRPr="00B87A07">
        <w:rPr>
          <w:i/>
          <w:iCs/>
        </w:rPr>
        <w:t>Европейският парламент</w:t>
      </w:r>
      <w:r w:rsidRPr="00B87A07">
        <w:t>,</w:t>
      </w:r>
    </w:p>
    <w:p w:rsidR="00FB0092" w:rsidRPr="00B87A07" w:rsidP="00FB0092" w14:paraId="7362ED33" w14:textId="77777777">
      <w:pPr>
        <w:pStyle w:val="NormalHanging12a"/>
      </w:pPr>
      <w:r w:rsidRPr="00B87A07">
        <w:t>–</w:t>
      </w:r>
      <w:r w:rsidRPr="00B87A07">
        <w:tab/>
        <w:t>като взе предвид Договора за функционирането на Европейския съюз (ДФЕС), и по-специално членове 168 и 191 от него,</w:t>
      </w:r>
    </w:p>
    <w:p w:rsidR="00FB0092" w:rsidRPr="00B87A07" w:rsidP="00FB0092" w14:paraId="3532C3E0" w14:textId="77777777">
      <w:pPr>
        <w:pStyle w:val="NormalHanging12a"/>
      </w:pPr>
      <w:r w:rsidRPr="00B87A07">
        <w:t>–</w:t>
      </w:r>
      <w:r w:rsidRPr="00B87A07">
        <w:tab/>
        <w:t>като взе предвид член 35 от Хартата на основните права на Европейския съюз,</w:t>
      </w:r>
    </w:p>
    <w:p w:rsidR="00FB0092" w:rsidRPr="00B87A07" w:rsidP="00FB0092" w14:paraId="77913613" w14:textId="77777777">
      <w:pPr>
        <w:pStyle w:val="NormalHanging12a"/>
      </w:pPr>
      <w:r w:rsidRPr="00B87A07">
        <w:t>–</w:t>
      </w:r>
      <w:r w:rsidRPr="00B87A07">
        <w:tab/>
        <w:t>като взе предвид Директива (ЕС) 2024/3019 на Европейския парламент и на Съвета от 27 ноември 2024 г. за пречистването на градските отпадъчни води</w:t>
      </w:r>
      <w:r>
        <w:rPr>
          <w:rStyle w:val="FootnoteReference"/>
          <w:color w:val="000000"/>
        </w:rPr>
        <w:footnoteReference w:id="2"/>
      </w:r>
      <w:r w:rsidRPr="00B87A07">
        <w:t xml:space="preserve"> (преразгледана ДПГОВ), която влезе в сила на 1 януари 2025 г.,</w:t>
      </w:r>
    </w:p>
    <w:p w:rsidR="00FB0092" w:rsidRPr="00B87A07" w:rsidP="00FB0092" w14:paraId="18D45E9B" w14:textId="77777777">
      <w:pPr>
        <w:pStyle w:val="NormalHanging12a"/>
      </w:pPr>
      <w:r w:rsidRPr="00B87A07">
        <w:t>–</w:t>
      </w:r>
      <w:r w:rsidRPr="00B87A07">
        <w:tab/>
        <w:t>като взе предвид Директива 2000/60/EО на Европейския парламент и на Съвета от 23 октомври 2000 г. за установяване на рамка за действията на Общността в областта на политиката за водите</w:t>
      </w:r>
      <w:r>
        <w:rPr>
          <w:rStyle w:val="FootnoteReference"/>
          <w:color w:val="000000"/>
        </w:rPr>
        <w:footnoteReference w:id="3"/>
      </w:r>
      <w:r w:rsidRPr="00B87A07">
        <w:t xml:space="preserve"> (Рамковата директива за водите),</w:t>
      </w:r>
    </w:p>
    <w:p w:rsidR="00FB0092" w:rsidRPr="00B87A07" w:rsidP="00FB0092" w14:paraId="263E22C6" w14:textId="77777777">
      <w:pPr>
        <w:pStyle w:val="NormalHanging12a"/>
      </w:pPr>
      <w:r w:rsidRPr="00B87A07">
        <w:t>–</w:t>
      </w:r>
      <w:r w:rsidRPr="00B87A07">
        <w:tab/>
        <w:t>като взе предвид Директива 2006/118/ЕО на Европейския парламент и на Съвета от 12 декември 2006 г. за опазване на подземните води от замърсяване и влошаване на състоянието им</w:t>
      </w:r>
      <w:r>
        <w:rPr>
          <w:rStyle w:val="FootnoteReference"/>
        </w:rPr>
        <w:footnoteReference w:id="4"/>
      </w:r>
      <w:r w:rsidRPr="00B87A07">
        <w:t xml:space="preserve"> и Директива 2008/105/ЕО на Европейския парламент и на Съвета от 16 декември 2008 г. за определяне на стандарти за качество на околната среда в областта на политиката за водите, за изменение и последваща отмяна на директиви 82/176/ЕИО, 83/513/ЕИО, 84/156/ЕИО, 84/491/ЕИО, 86/280/ЕИО на Съвета и за изменение на Директива 2000/60/ЕО на Европейския парламент и на Съвета</w:t>
      </w:r>
      <w:r>
        <w:rPr>
          <w:rStyle w:val="FootnoteReference"/>
        </w:rPr>
        <w:footnoteReference w:id="5"/>
      </w:r>
      <w:r w:rsidRPr="00B87A07">
        <w:t>,</w:t>
      </w:r>
    </w:p>
    <w:p w:rsidR="00FB0092" w:rsidRPr="00B87A07" w:rsidP="00FB0092" w14:paraId="38C8BDD4" w14:textId="77777777">
      <w:pPr>
        <w:pStyle w:val="NormalHanging12a"/>
      </w:pPr>
      <w:r w:rsidRPr="00B87A07">
        <w:t>–</w:t>
      </w:r>
      <w:r w:rsidRPr="00B87A07">
        <w:tab/>
        <w:t xml:space="preserve">като взе предвид Решение (ЕС) 2022/591 на Европейския парламент и на Съвета </w:t>
      </w:r>
      <w:r w:rsidRPr="00B87A07">
        <w:t>от 6 април 2022 г. относно Обща програма на Европейския съюз за действие за околната среда до 2030 г.</w:t>
      </w:r>
      <w:r>
        <w:rPr>
          <w:rStyle w:val="FootnoteReference"/>
        </w:rPr>
        <w:footnoteReference w:id="6"/>
      </w:r>
      <w:r w:rsidRPr="00B87A07">
        <w:t>,</w:t>
      </w:r>
    </w:p>
    <w:p w:rsidR="00FB0092" w:rsidRPr="00B87A07" w:rsidP="00FB0092" w14:paraId="082734D4" w14:textId="77777777">
      <w:pPr>
        <w:pStyle w:val="NormalHanging12a"/>
      </w:pPr>
      <w:r w:rsidRPr="00B87A07">
        <w:t>–</w:t>
      </w:r>
      <w:r w:rsidRPr="00B87A07">
        <w:tab/>
        <w:t>като взе предвид своята резолюция от 17 септември 2020 г. относно недостига на лекарства – как да се намери решение на нововъзникващ проблем</w:t>
      </w:r>
      <w:r>
        <w:rPr>
          <w:rStyle w:val="FootnoteReference"/>
          <w:color w:val="000000"/>
        </w:rPr>
        <w:footnoteReference w:id="7"/>
      </w:r>
      <w:r w:rsidRPr="00B87A07">
        <w:t>,</w:t>
      </w:r>
    </w:p>
    <w:p w:rsidR="00FB0092" w:rsidRPr="00B87A07" w:rsidP="00FB0092" w14:paraId="63224F14" w14:textId="77777777">
      <w:pPr>
        <w:pStyle w:val="NormalHanging12a"/>
      </w:pPr>
      <w:r w:rsidRPr="00B87A07">
        <w:t>–</w:t>
      </w:r>
      <w:r w:rsidRPr="00B87A07">
        <w:tab/>
        <w:t>като взе предвид работния документ на службите на Комисията от 26 октомври 2022 г., озаглавен „Оценка на въздействието, придружаваща предложението за директива на Европейския парламент и на Съвета относно пречистването на градските отпадъчни води“ (SWD(2022)0541),</w:t>
      </w:r>
    </w:p>
    <w:p w:rsidR="00FB0092" w:rsidRPr="00B87A07" w:rsidP="00FB0092" w14:paraId="36409698" w14:textId="77777777">
      <w:pPr>
        <w:pStyle w:val="NormalHanging12a"/>
      </w:pPr>
      <w:r w:rsidRPr="00B87A07">
        <w:t>–</w:t>
      </w:r>
      <w:r w:rsidRPr="00B87A07">
        <w:tab/>
        <w:t>като взе предвид съобщението на Комисията от 12 май 2021 г., озаглавено „Път към здравословна планета за всички – План за действие на ЕС: „Към нулево замърсяване на въздуха, водата и почвата“ (COM(2021)0400),</w:t>
      </w:r>
    </w:p>
    <w:p w:rsidR="00FB0092" w:rsidRPr="00B87A07" w:rsidP="00FB0092" w14:paraId="66DE275F" w14:textId="77777777">
      <w:pPr>
        <w:pStyle w:val="NormalHanging12a"/>
      </w:pPr>
      <w:r w:rsidRPr="00B87A07">
        <w:t>–</w:t>
      </w:r>
      <w:r w:rsidRPr="00B87A07">
        <w:tab/>
        <w:t>като взе предвид доклада на Съвместния изследователски център (JRC) от 10 декември 2025 г., озаглавен „</w:t>
      </w:r>
      <w:r w:rsidRPr="00B87A07">
        <w:t>Updated</w:t>
      </w:r>
      <w:r w:rsidRPr="00B87A07">
        <w:t xml:space="preserve"> </w:t>
      </w:r>
      <w:r w:rsidRPr="00B87A07">
        <w:t>estimation</w:t>
      </w:r>
      <w:r w:rsidRPr="00B87A07">
        <w:t xml:space="preserve"> </w:t>
      </w:r>
      <w:r w:rsidRPr="00B87A07">
        <w:t>of</w:t>
      </w:r>
      <w:r w:rsidRPr="00B87A07">
        <w:t xml:space="preserve"> </w:t>
      </w:r>
      <w:r w:rsidRPr="00B87A07">
        <w:t>the</w:t>
      </w:r>
      <w:r w:rsidRPr="00B87A07">
        <w:t xml:space="preserve"> </w:t>
      </w:r>
      <w:r w:rsidRPr="00B87A07">
        <w:t>costs</w:t>
      </w:r>
      <w:r w:rsidRPr="00B87A07">
        <w:t xml:space="preserve"> </w:t>
      </w:r>
      <w:r w:rsidRPr="00B87A07">
        <w:t>of</w:t>
      </w:r>
      <w:r w:rsidRPr="00B87A07">
        <w:t xml:space="preserve"> </w:t>
      </w:r>
      <w:r w:rsidRPr="00B87A07">
        <w:t>quaternary</w:t>
      </w:r>
      <w:r w:rsidRPr="00B87A07">
        <w:t xml:space="preserve"> </w:t>
      </w:r>
      <w:r w:rsidRPr="00B87A07">
        <w:t>wastewater</w:t>
      </w:r>
      <w:r w:rsidRPr="00B87A07">
        <w:t xml:space="preserve"> </w:t>
      </w:r>
      <w:r w:rsidRPr="00B87A07">
        <w:t>treatment</w:t>
      </w:r>
      <w:r w:rsidRPr="00B87A07">
        <w:t xml:space="preserve"> </w:t>
      </w:r>
      <w:r w:rsidRPr="00B87A07">
        <w:t>in</w:t>
      </w:r>
      <w:r w:rsidRPr="00B87A07">
        <w:t xml:space="preserve"> </w:t>
      </w:r>
      <w:r w:rsidRPr="00B87A07">
        <w:t>the</w:t>
      </w:r>
      <w:r w:rsidRPr="00B87A07">
        <w:t xml:space="preserve"> EU – A </w:t>
      </w:r>
      <w:r w:rsidRPr="00B87A07">
        <w:t>comparison</w:t>
      </w:r>
      <w:r w:rsidRPr="00B87A07">
        <w:t xml:space="preserve"> </w:t>
      </w:r>
      <w:r w:rsidRPr="00B87A07">
        <w:t>of</w:t>
      </w:r>
      <w:r w:rsidRPr="00B87A07">
        <w:t xml:space="preserve"> </w:t>
      </w:r>
      <w:r w:rsidRPr="00B87A07">
        <w:t>cost</w:t>
      </w:r>
      <w:r w:rsidRPr="00B87A07">
        <w:t xml:space="preserve"> </w:t>
      </w:r>
      <w:r w:rsidRPr="00B87A07">
        <w:t>models</w:t>
      </w:r>
      <w:r w:rsidRPr="00B87A07">
        <w:t>“ (Актуализирана оценка на разходите за четвъртично пречистване на отпадъчните води в ЕС – Сравнение на моделите на разходите),</w:t>
      </w:r>
    </w:p>
    <w:p w:rsidR="00FB0092" w:rsidRPr="00B87A07" w:rsidP="00FB0092" w14:paraId="739965C3" w14:textId="77777777">
      <w:pPr>
        <w:pStyle w:val="NormalHanging12a"/>
      </w:pPr>
      <w:r w:rsidRPr="00B87A07">
        <w:t>–</w:t>
      </w:r>
      <w:r w:rsidRPr="00B87A07">
        <w:tab/>
        <w:t>като взе предвид текущата работа по Акта за критично важните лекарства,</w:t>
      </w:r>
    </w:p>
    <w:p w:rsidR="00FB0092" w:rsidRPr="00B87A07" w:rsidP="00FB0092" w14:paraId="5EE1EC83" w14:textId="77777777">
      <w:pPr>
        <w:pStyle w:val="NormalHanging12a"/>
      </w:pPr>
      <w:r w:rsidRPr="00B87A07">
        <w:t>–</w:t>
      </w:r>
      <w:r w:rsidRPr="00B87A07">
        <w:tab/>
        <w:t>като взе предвид член 142, параграф 5 и член 136, параграф 4 от своя Правилник за дейността,</w:t>
      </w:r>
    </w:p>
    <w:p w:rsidR="00FB0092" w:rsidRPr="00B87A07" w:rsidP="00FB0092" w14:paraId="1C3B5567" w14:textId="77777777">
      <w:pPr>
        <w:pStyle w:val="NormalHanging12a"/>
      </w:pPr>
      <w:r w:rsidRPr="00B87A07">
        <w:t>А.</w:t>
      </w:r>
      <w:r w:rsidRPr="00B87A07">
        <w:tab/>
        <w:t>като има предвид, че в член 191 от ДФЕС се посочва, че политиката на ЕС в областта на околната среда „има за цел постигането на високо равнище на защита, като взема предвид различното състояние на регионите в рамките на Съюза“, и че тя „се основава на принципите на предпазните мерки и превантивните действия, на принципа на приоритетното отстраняване още при източника на замърсяване на околната среда и на принципа „замърсителят плаща“;</w:t>
      </w:r>
    </w:p>
    <w:p w:rsidR="00FB0092" w:rsidRPr="00B87A07" w:rsidP="00FB0092" w14:paraId="2B4814E7" w14:textId="77777777">
      <w:pPr>
        <w:pStyle w:val="NormalHanging12a"/>
      </w:pPr>
      <w:r w:rsidRPr="00B87A07">
        <w:t>Б.</w:t>
      </w:r>
      <w:r w:rsidRPr="00B87A07">
        <w:tab/>
        <w:t>като има предвид, че водата е от първостепенно значение за живота и човечеството; като има предвид, че ЕС трябва да управлява ефикасно настоящите и бъдещите водни ресурси и да реагира ефективно на настоящите предизвикателства, свързани с водите, тъй като те засягат пряко човешкото здраве, околната среда и нейните екосистеми, както и стратегическите социално-икономически дейности;</w:t>
      </w:r>
    </w:p>
    <w:p w:rsidR="00FB0092" w:rsidRPr="00B87A07" w:rsidP="00FB0092" w14:paraId="0756BC83" w14:textId="77777777">
      <w:pPr>
        <w:pStyle w:val="NormalHanging12a"/>
      </w:pPr>
      <w:r w:rsidRPr="00B87A07">
        <w:t>В.</w:t>
      </w:r>
      <w:r w:rsidRPr="00B87A07">
        <w:tab/>
        <w:t xml:space="preserve">като има предвид, че микрозамърсителите, които се срещат във всички видове водни обекти и се откриват във всички води на ЕС, оказват вредно въздействие върху човешкото здраве, включително канцерогенно въздействие и въздействие, нарушаващо функциите на ендокринната система, както и върху водните организми, дори в ниски концентрации, и допринасят за разпространението на антимикробната резистентност (АМР); като има предвид, че Световната здравна организация обяви АМР за спешна световна здравна криза, която се очаква до 2050 г. да причини повече смъртни случаи в световен мащаб, отколкото раковите заболявания; като има предвид, че много микрозамърсители от лекарствени продукти попадат във водата след тяхната употреба от пациентите, а не по време </w:t>
      </w:r>
      <w:r w:rsidRPr="00B87A07">
        <w:t>на производството или обезвреждането им;</w:t>
      </w:r>
    </w:p>
    <w:p w:rsidR="00FB0092" w:rsidRPr="00B87A07" w:rsidP="00FB0092" w14:paraId="258A91DB" w14:textId="77777777">
      <w:pPr>
        <w:pStyle w:val="NormalHanging12a"/>
      </w:pPr>
      <w:r w:rsidRPr="00B87A07">
        <w:t>Г.</w:t>
      </w:r>
      <w:r w:rsidRPr="00B87A07">
        <w:tab/>
        <w:t>като има предвид, че замърсяването на водите, включително от микрозамърсители, представлява нарастваща и сериозна заплаха за екосистемите, биологичното разнообразие, както и за здравето на хората и животните, и понастоящем струва на ЕС над 75 милиарда евро годишно; като има предвид, че градските отпадъчни води са един от основните източници на замърсяване на водите, ако не се събират и пречистват правилно; като има предвид, че за да се избегне опасното им въздействие върху здравето и околната среда, е необходимо микрозамърсителите да се отстраняват от замърсените отпадъчни води;</w:t>
      </w:r>
    </w:p>
    <w:p w:rsidR="00FB0092" w:rsidRPr="00B87A07" w:rsidP="00FB0092" w14:paraId="500A551A" w14:textId="77777777">
      <w:pPr>
        <w:pStyle w:val="NormalHanging12a"/>
      </w:pPr>
      <w:r w:rsidRPr="00B87A07">
        <w:t>Д.</w:t>
      </w:r>
      <w:r w:rsidRPr="00B87A07">
        <w:tab/>
        <w:t>като има предвид, че много общини и общности в ЕС разчитат на терасно филтриране за питейната си вода, в резултат на което подаваната чрез водоснабдяването вода е все по-замърсена с микрозамърсители;</w:t>
      </w:r>
    </w:p>
    <w:p w:rsidR="00FB0092" w:rsidRPr="00B87A07" w:rsidP="00FB0092" w14:paraId="376F986B" w14:textId="77777777">
      <w:pPr>
        <w:pStyle w:val="NormalHanging12a"/>
      </w:pPr>
      <w:r w:rsidRPr="00B87A07">
        <w:t>Е.</w:t>
      </w:r>
      <w:r w:rsidRPr="00B87A07">
        <w:tab/>
        <w:t>като има предвид, че разходите за първично, вторично и третично пречистване обикновено се поемат от публичните органи чрез парите на данъкоплатците или таксите за вода; като има предвид, че прилагането по отношение на пречистването на водите на принципа „замърсителят плаща“, залегнал в член 191 от ДФЕС, беше въведено за първи път в преразгледаната ДПГОВ;</w:t>
      </w:r>
    </w:p>
    <w:p w:rsidR="00FB0092" w:rsidRPr="00B87A07" w:rsidP="00FB0092" w14:paraId="4F370FC5" w14:textId="77777777">
      <w:pPr>
        <w:pStyle w:val="NormalHanging12a"/>
      </w:pPr>
      <w:r w:rsidRPr="00B87A07">
        <w:t>Ж.</w:t>
      </w:r>
      <w:r w:rsidRPr="00B87A07">
        <w:tab/>
        <w:t>като има предвид, че ДПГОВ определя правната рамка за събирането, пречистването и заустването на градски отпадъчни води и заустването на биоразградими отпадъчни води от някои промишлени сектори и че преразгледаната ДПГОВ има за цел да намали замърсяването на водите, включително микрозамърсителите, и да опази качеството на водите в целия ЕС; като има предвид, че микрозамърсителите в отпадъчните води не се отстраняват ефективно чрез конвенционално пречистване на отпадъчните води; като има предвид, че преразгледаната директива въвежда задължението за четвъртично пречистване на отпадъчните води, което премахва микрозамърсителите, като по този начин гарантира високо равнище на опазване на здравето и околната среда в съответствие с подхода „Едно здраве“; като има предвид, че преработената директива изисква систематичното модернизиране на големите пречиствателни станции, обслужващи над 150 000 души (т.е. в големите градове, тъй като те са горещи точки по отношение на изпускането на микрозамърсители) с цел извършване на четвъртично пречистване и изисква модернизирането на по-малките пречиствателни станции само ако се намират в рискови зони;</w:t>
      </w:r>
    </w:p>
    <w:p w:rsidR="00FB0092" w:rsidRPr="00B87A07" w:rsidP="00FB0092" w14:paraId="0E64DCAD" w14:textId="77777777">
      <w:pPr>
        <w:pStyle w:val="NormalHanging12a"/>
      </w:pPr>
      <w:r w:rsidRPr="00B87A07">
        <w:t>З.</w:t>
      </w:r>
      <w:r w:rsidRPr="00B87A07">
        <w:tab/>
        <w:t>като има предвид, че прилагането на четвъртично пречистване се въвежда постепенно, считано от декември 2033 г., когато само 20% от по-големите инсталации и 10% от по-малките инсталации ще трябва да бъдат модернизирани, като пълно прилагане ще бъде постигнато до декември 2045 г.; като има предвид, че въвеждането на четвъртично пречистване като допълнително и усъвършенствано пречистване на градските отпадъчни води с цел премахване на възможно най-широк спектър от микрозамърсители е необходимо за намаляването на тези замърсители и за опазването на общественото здраве и околната среда; като има предвид, че въвеждането на четвъртично пречистване представлява най-скъпоструващият компонент на директивата;</w:t>
      </w:r>
    </w:p>
    <w:p w:rsidR="00FB0092" w:rsidRPr="00B87A07" w:rsidP="00FB0092" w14:paraId="4E727FBC" w14:textId="77777777">
      <w:pPr>
        <w:pStyle w:val="NormalHanging12a"/>
      </w:pPr>
      <w:r w:rsidRPr="00B87A07">
        <w:t>И.</w:t>
      </w:r>
      <w:r w:rsidRPr="00B87A07">
        <w:tab/>
        <w:t xml:space="preserve">като има предвид, че принципът „замърсителят плаща“ е правно обвързващ принцип, залегнал в член 191 от ДФЕС, и има за цел да гарантира, че лицата, отговорни за причиняването на щети върху околната среда, а не данъкоплатците </w:t>
      </w:r>
      <w:r w:rsidRPr="00B87A07">
        <w:t>или обществото като цяло, заплащат разходите за предотвратяване, контрол и отстраняване на това замърсяване;</w:t>
      </w:r>
    </w:p>
    <w:p w:rsidR="00FB0092" w:rsidRPr="00B87A07" w:rsidP="00FB0092" w14:paraId="199B338E" w14:textId="77777777">
      <w:pPr>
        <w:pStyle w:val="NormalHanging12a"/>
      </w:pPr>
      <w:r w:rsidRPr="00B87A07">
        <w:t>Й.</w:t>
      </w:r>
      <w:r w:rsidRPr="00B87A07">
        <w:tab/>
      </w:r>
      <w:bookmarkStart w:id="7" w:name="_Hlk227220226"/>
      <w:r w:rsidRPr="00B87A07">
        <w:t xml:space="preserve">като има предвид, че разширената отговорност на производителя (РОП) има за цел да </w:t>
      </w:r>
      <w:r w:rsidRPr="00B87A07">
        <w:t>интернализира</w:t>
      </w:r>
      <w:r w:rsidRPr="00B87A07">
        <w:t xml:space="preserve"> външните последици за околната среда и предоставя стимул за производителите да вземат предвид екологичните съображения по време на жизнения цикъл на продуктите – от етапа на проектиране до края на жизнения цикъл, прилагайки ефективно принципа „замърсителят плаща“; като има предвид, че повечето съществуващи схеми за РОП са разработени в контекста на потоците от отпадъци от подлежащи на идентифициране точкови източници, където производителите могат ефективно да организират, наблюдават и контролират системите за събиране и пречистване;</w:t>
      </w:r>
      <w:bookmarkEnd w:id="7"/>
    </w:p>
    <w:p w:rsidR="00FB0092" w:rsidRPr="00B87A07" w:rsidP="00FB0092" w14:paraId="72158368" w14:textId="77777777">
      <w:pPr>
        <w:pStyle w:val="NormalHanging12a"/>
      </w:pPr>
      <w:r w:rsidRPr="00B87A07">
        <w:t>К.</w:t>
      </w:r>
      <w:r w:rsidRPr="00B87A07">
        <w:tab/>
        <w:t>като има предвид, че лекарствените продукти се разработват и разрешават с цел лечение на пациентите; като има предвид, че оценките на риска за околната среда са необходим критерий за разрешаването на лекарствени продукти, но рискът за околната среда не е част от оценката на съотношението полза/риск при разрешаването на лекарствени продукти;</w:t>
      </w:r>
    </w:p>
    <w:p w:rsidR="00FB0092" w:rsidRPr="00B87A07" w:rsidP="00FB0092" w14:paraId="3E5F2F28" w14:textId="77777777">
      <w:pPr>
        <w:pStyle w:val="NormalHanging12a"/>
      </w:pPr>
      <w:r w:rsidRPr="00B87A07">
        <w:t>Л.</w:t>
      </w:r>
      <w:r w:rsidRPr="00B87A07">
        <w:tab/>
        <w:t>като има предвид, че данните и анализите на Комисията и JRC показват, че фармацевтичните и козметичните продукти са източникът на най-голям дял потенциално вредни и трудно поддаващи се на биологично разграждане вещества в отпадъчните води; като има предвид, че някои притежатели на разрешения за търговия съобщават, че токсичните товари, приписвани на определени продукти в тези анализи, се различават от данните от оценките на риска за околната среда от лекарствените продукти;</w:t>
      </w:r>
    </w:p>
    <w:p w:rsidR="00FB0092" w:rsidP="00FB0092" w14:paraId="64A0ED77" w14:textId="77777777">
      <w:pPr>
        <w:pStyle w:val="NormalHanging12a"/>
      </w:pPr>
      <w:r w:rsidRPr="00B87A07">
        <w:t>М.</w:t>
      </w:r>
      <w:r w:rsidRPr="00B87A07">
        <w:tab/>
        <w:t>като има предвид, че преразгледаната ДПГОВ въведе разпоредби за РОП в съответствие с принципа „замърсителят плаща“, които изискват най-малко 80% от разходите за четвъртично пречистване да се поемат от основните сектори, идентифицирани като отговорни за изпускането на замърсители, а именно фармацевтичната и козметичната промишленост;</w:t>
      </w:r>
    </w:p>
    <w:p w:rsidR="00572F95" w:rsidP="00FB0092" w14:paraId="132553FB" w14:textId="0E0DBF29">
      <w:pPr>
        <w:pStyle w:val="NormalHanging12a"/>
      </w:pPr>
      <w:r>
        <w:t>Н</w:t>
      </w:r>
      <w:r w:rsidRPr="00572F95">
        <w:t>.</w:t>
      </w:r>
      <w:r w:rsidRPr="00572F95">
        <w:tab/>
        <w:t>като има предвид, че въвеждането на четвъртично пречистване е най-скъпоструващият елемент на директивата;</w:t>
      </w:r>
    </w:p>
    <w:p w:rsidR="00572F95" w:rsidRPr="00B87A07" w:rsidP="00FB0092" w14:paraId="73EE8928" w14:textId="01E1E244">
      <w:pPr>
        <w:pStyle w:val="NormalHanging12a"/>
      </w:pPr>
      <w:r>
        <w:t>О</w:t>
      </w:r>
      <w:r w:rsidRPr="00572F95">
        <w:t>.</w:t>
      </w:r>
      <w:r w:rsidRPr="00572F95">
        <w:tab/>
        <w:t>като има предвид, че оценките на разходите на държавите членки значително надвишават посочените в оценката на въздействието на Комисията (например Германия и Испания са докладвали неколкократно по-високи разходи);</w:t>
      </w:r>
    </w:p>
    <w:p w:rsidR="00FB0092" w:rsidRPr="00B87A07" w:rsidP="00FB0092" w14:paraId="0CC2E991" w14:textId="0E107CED">
      <w:pPr>
        <w:pStyle w:val="NormalHanging12a"/>
      </w:pPr>
      <w:r>
        <w:t>П</w:t>
      </w:r>
      <w:r w:rsidRPr="00B87A07">
        <w:t>.</w:t>
      </w:r>
      <w:r w:rsidRPr="00B87A07">
        <w:tab/>
        <w:t xml:space="preserve">като има предвид, че РОП има за цел да се финансира отстраняването на микрозамърсителите от отпадъчните води и да се насърчава разработването на по-малко токсични продукти с повишена степен на </w:t>
      </w:r>
      <w:r w:rsidRPr="00B87A07">
        <w:t>биоразградимост</w:t>
      </w:r>
      <w:r w:rsidRPr="00B87A07">
        <w:t>, които са освободени от РОП; като има предвид, че системата за РОП стимулира и възнаграждава иновациите в разработването и използването на по-малко вредни вещества в съответните сектори;</w:t>
      </w:r>
    </w:p>
    <w:p w:rsidR="00FB0092" w:rsidRPr="00B87A07" w:rsidP="00FB0092" w14:paraId="2C871267" w14:textId="29955A34">
      <w:pPr>
        <w:pStyle w:val="NormalHanging12a"/>
      </w:pPr>
      <w:r>
        <w:t>Р</w:t>
      </w:r>
      <w:r w:rsidRPr="00B87A07">
        <w:t>.</w:t>
      </w:r>
      <w:r w:rsidRPr="00B87A07">
        <w:tab/>
        <w:t>като има предвид, че достъпът до безопасни, ефективни и ценово достъпни лекарства е крайъгълен камък на системите за обществено здравеопазване на ЕС и че сигурността на доставките на лекарства в ЕС трябва да бъде защитавана;</w:t>
      </w:r>
    </w:p>
    <w:p w:rsidR="00FB0092" w:rsidRPr="00B87A07" w:rsidP="00FB0092" w14:paraId="54D9D222" w14:textId="61B24904">
      <w:pPr>
        <w:pStyle w:val="NormalHanging12a"/>
      </w:pPr>
      <w:r>
        <w:t>С</w:t>
      </w:r>
      <w:r w:rsidRPr="00B87A07">
        <w:t>.</w:t>
      </w:r>
      <w:r w:rsidRPr="00B87A07">
        <w:tab/>
        <w:t xml:space="preserve">като има предвид, че съгласно оценката на въздействието на Комисията и </w:t>
      </w:r>
      <w:r w:rsidRPr="00B87A07">
        <w:t>независими данни потенциалното увеличение на разходите за продуктите или потенциалното намаляване на маржовете на печалба на промишлените сектори, които пускат продукти на пазара на ЕС, в резултат на прилагането на РОП, би било незначително и не би застрашило ценовата достъпност, наличността или достъпността на тези продукти на пазара на ЕС;</w:t>
      </w:r>
    </w:p>
    <w:p w:rsidR="00FB0092" w:rsidP="00FB0092" w14:paraId="435F3E97" w14:textId="0FA80D46">
      <w:pPr>
        <w:pStyle w:val="NormalHanging12a"/>
      </w:pPr>
      <w:r>
        <w:t>Т</w:t>
      </w:r>
      <w:r w:rsidRPr="00B87A07">
        <w:t>.</w:t>
      </w:r>
      <w:r w:rsidRPr="00B87A07">
        <w:tab/>
        <w:t>като има предвид, че оценките на разходите на органите на някои държави членки надвишават посочените в оценката на въздействието на Комисията (например Германия и Испания са докладвали разходи, които са неколкократно по-високи); като има предвид, че оценката на въздействието на Комисията също така беше оспорена от някои заинтересовани страни, по-специално по отношение на приноса на фармацевтичните и козметичните продукти за околната среда и изчисляването на въздействието върху цените на лекарствата; като има предвид, че JRC проведе второ проучване с цел да изясни и проучи по-подробно потенциалните разходи, които трябва да бъдат покрити от засегнатите от директивата промишлени сектори; като има предвид, че новото проучване до голяма степен потвърди предишните данни и констатации;</w:t>
      </w:r>
    </w:p>
    <w:p w:rsidR="00572F95" w:rsidRPr="00B87A07" w:rsidP="00FB0092" w14:paraId="58C2D730" w14:textId="6893E9EC">
      <w:pPr>
        <w:pStyle w:val="NormalHanging12a"/>
      </w:pPr>
      <w:r>
        <w:t>У</w:t>
      </w:r>
      <w:r w:rsidRPr="00572F95">
        <w:t>.</w:t>
      </w:r>
      <w:r w:rsidRPr="00572F95">
        <w:tab/>
        <w:t>като има предвид, че вменяването на отговорност от страна на Комисията за приблизително 92% от товара на микрозамърсителите на фармацевтичните и козметичните продукти беше поставено под въпрос от методологична и научна гледна точка, по-специално предвид липсата на задълбочен анализ на последиците за достъпа на пациентите и националните бюджети за здравеопазване; като има предвид, че този пропуск е от особено критично значение за цялата фармацевтична екосистема, която обхваща иновативни, генерични и незащитени с патент лекарства и която в своята цялост стои в основата на достъпа на пациентите, сигурността на доставките и дългосрочната устойчивост на европейските здравни системи, като същевременно поддържа инвестициите в научноизследователска и развойна дейност и производствения капацитет, от който зависи стратегическата автономност на Европа в областта на здравеопазването;</w:t>
      </w:r>
    </w:p>
    <w:p w:rsidR="00FB0092" w:rsidRPr="00B87A07" w:rsidP="00FB0092" w14:paraId="37F0F156" w14:textId="3D1202B5">
      <w:pPr>
        <w:pStyle w:val="NormalHanging12a"/>
      </w:pPr>
      <w:r>
        <w:t>Ф</w:t>
      </w:r>
      <w:r w:rsidRPr="00B87A07">
        <w:t>.</w:t>
      </w:r>
      <w:r w:rsidRPr="00B87A07">
        <w:tab/>
        <w:t>като има предвид, че генеричните лекарства представляват почти 70% от изписваните в ЕС лекарства</w:t>
      </w:r>
      <w:r>
        <w:rPr>
          <w:rStyle w:val="FootnoteReference"/>
          <w:color w:val="000000"/>
        </w:rPr>
        <w:footnoteReference w:id="8"/>
      </w:r>
      <w:r w:rsidRPr="00B87A07">
        <w:t xml:space="preserve"> и са от съществено значение за устойчивостта на здравната система; като има предвид, че производителите на генерични лекарства обикновено работят съгласно строги рамки за ценообразуване и по икономически модел, основан на големи обеми и ниски маржове, което ограничава способността им да поемат допълнителни регулаторни разходи и следователно могат да бъдат по-чувствителни към увеличаването на разходите, което изисква внимателно наблюдение на прилагането на директивата;</w:t>
      </w:r>
    </w:p>
    <w:p w:rsidR="00FB0092" w:rsidRPr="00B87A07" w:rsidP="00FB0092" w14:paraId="316738D9" w14:textId="76FEB025">
      <w:pPr>
        <w:pStyle w:val="NormalHanging12a"/>
      </w:pPr>
      <w:r>
        <w:t>Х</w:t>
      </w:r>
      <w:r w:rsidRPr="00B87A07">
        <w:t>.</w:t>
      </w:r>
      <w:r w:rsidRPr="00B87A07">
        <w:tab/>
        <w:t>като има предвид, че генеричните лекарства имат същата активна съставка като референтния лекарствен продукт, което допълнително затруднява задачата на производителите на генерични лекарства да се справят със замърсяването още при източника;</w:t>
      </w:r>
    </w:p>
    <w:p w:rsidR="00FB0092" w:rsidRPr="00B87A07" w:rsidP="00FB0092" w14:paraId="5FFCB70B" w14:textId="23B865D7">
      <w:pPr>
        <w:pStyle w:val="NormalHanging12a"/>
      </w:pPr>
      <w:r>
        <w:t>Ц</w:t>
      </w:r>
      <w:r w:rsidRPr="00B87A07">
        <w:t>.</w:t>
      </w:r>
      <w:r w:rsidRPr="00B87A07">
        <w:tab/>
        <w:t xml:space="preserve">като има предвид, че недостигът на лекарства в ЕС се влоши през последните години и поражда рискове за грижите за пациентите; като има предвид, че ЕС продължава да бъде силно зависим от държави извън ЕС по отношение на </w:t>
      </w:r>
      <w:r w:rsidRPr="00B87A07">
        <w:t>активните фармацевтични съставки; като има предвид, че ЕС предприема стъпки за справяне с недостига на лекарства и сигурността на доставките, включително чрез преразгледаното общо законодателство в областта на фармацевтичните продукти и Акта за критично важните лекарства;</w:t>
      </w:r>
    </w:p>
    <w:p w:rsidR="00FB0092" w:rsidRPr="00B87A07" w:rsidP="00FB0092" w14:paraId="7D071582" w14:textId="7427C03F">
      <w:pPr>
        <w:pStyle w:val="NormalHanging12a"/>
      </w:pPr>
      <w:r>
        <w:t>Ч</w:t>
      </w:r>
      <w:r w:rsidRPr="00B87A07">
        <w:t>.</w:t>
      </w:r>
      <w:r w:rsidRPr="00B87A07">
        <w:tab/>
        <w:t>като има предвид, че преразгледаната ДПГОВ предоставя на държавите членки гъвкавост при разработването на схеми за РОП и при установяването на методики за изчисляване на вноските, което им позволява да разработват схеми за РОП по начин, който гарантира пропорционалност и при който се избягват нежеланите последици, включително рискове за доставките на лекарства, чрез което се постига баланс между целите на обществено здраве и отговорностите във връзка с околната среда;</w:t>
      </w:r>
    </w:p>
    <w:p w:rsidR="00FB0092" w:rsidRPr="00B87A07" w:rsidP="00FB0092" w14:paraId="13D10761" w14:textId="3407143E">
      <w:pPr>
        <w:pStyle w:val="NormalHanging12a"/>
      </w:pPr>
      <w:r>
        <w:t>Ш</w:t>
      </w:r>
      <w:r w:rsidRPr="00B87A07">
        <w:t>.</w:t>
      </w:r>
      <w:r w:rsidRPr="00B87A07">
        <w:tab/>
        <w:t xml:space="preserve">като има предвид, че член 10 от преразгледаната ДПГОВ прави задължителни рамките за наблюдение и прилагане, включително </w:t>
      </w:r>
      <w:bookmarkStart w:id="8" w:name="_Hlk226712466"/>
      <w:r w:rsidRPr="00B87A07">
        <w:t>като гарантира, че въздействията на директивата, например върху цените на лекарствата, се наблюдават надлежно</w:t>
      </w:r>
      <w:bookmarkEnd w:id="8"/>
      <w:r w:rsidRPr="00B87A07">
        <w:t>;</w:t>
      </w:r>
    </w:p>
    <w:p w:rsidR="00FB0092" w:rsidRPr="00B87A07" w:rsidP="00FB0092" w14:paraId="5514BE1F" w14:textId="0EA062F9">
      <w:pPr>
        <w:pStyle w:val="NormalHanging12a"/>
      </w:pPr>
      <w:r>
        <w:t>Щ</w:t>
      </w:r>
      <w:r w:rsidRPr="00B87A07">
        <w:t>.</w:t>
      </w:r>
      <w:r w:rsidRPr="00B87A07">
        <w:tab/>
        <w:t xml:space="preserve">като има предвид, че в съображение 20 от ДПГОВ се потвърждава, че директивата вече </w:t>
      </w:r>
      <w:bookmarkStart w:id="9" w:name="_Hlk226712417"/>
      <w:r w:rsidRPr="00B87A07">
        <w:t>предвижда редовна оценка въз основа на данни от мониторинг и научни доказателства,</w:t>
      </w:r>
      <w:bookmarkEnd w:id="9"/>
      <w:r w:rsidRPr="00B87A07">
        <w:t xml:space="preserve"> включително възможността за актуализиране на обхвата на системата, когато е необходимо, като по този начин се осигурява достатъчна гъвкавост в рамките на съществуващата правна рамка, без да е необходимо преразглеждане на директивата;</w:t>
      </w:r>
    </w:p>
    <w:p w:rsidR="00FB0092" w:rsidRPr="00B87A07" w:rsidP="00FB0092" w14:paraId="17CE99B5" w14:textId="3A0192C5">
      <w:pPr>
        <w:pStyle w:val="NormalHanging12a"/>
      </w:pPr>
      <w:r>
        <w:t>АА</w:t>
      </w:r>
      <w:r w:rsidRPr="00B87A07">
        <w:t>.</w:t>
      </w:r>
      <w:r w:rsidRPr="00B87A07">
        <w:tab/>
        <w:t>като има предвид, че преразгледаната ДПГОВ изисква от Комисията да извърши цялостна оценка до края на 2033 г. и отново до края на 2040 г., като предостави възможност да се разгледат въздействията на директивата и ако е необходимо, да се предложат промени;</w:t>
      </w:r>
    </w:p>
    <w:p w:rsidR="00FB0092" w:rsidRPr="00B87A07" w:rsidP="00FB0092" w14:paraId="6BEB848D" w14:textId="69685EC3">
      <w:pPr>
        <w:pStyle w:val="NormalHanging12a"/>
      </w:pPr>
      <w:r>
        <w:t>АБ</w:t>
      </w:r>
      <w:r w:rsidRPr="00B87A07">
        <w:t>.</w:t>
      </w:r>
      <w:r w:rsidRPr="00B87A07">
        <w:tab/>
        <w:t xml:space="preserve">като има предвид, че по оценка на Комисията дори при пълно прехвърляне на разходите въздействието върху цените на лекарствата би възлязло на 2,64 — 3,20 EUR на човек годишно до 2045 г.; прогноза, която беше потвърдена отново през декември 2025 г. от JRC, който взе предвид окончателния текст, приет от </w:t>
      </w:r>
      <w:r w:rsidRPr="00B87A07">
        <w:t>съзаконодателите</w:t>
      </w:r>
      <w:r w:rsidRPr="00B87A07">
        <w:t>;</w:t>
      </w:r>
    </w:p>
    <w:p w:rsidR="00FB0092" w:rsidRPr="00B87A07" w:rsidP="00FB0092" w14:paraId="45490038" w14:textId="64085ED1">
      <w:pPr>
        <w:pStyle w:val="NormalHanging12a"/>
      </w:pPr>
      <w:r>
        <w:t>АВ</w:t>
      </w:r>
      <w:r w:rsidRPr="00B87A07">
        <w:t>.</w:t>
      </w:r>
      <w:r w:rsidRPr="00B87A07">
        <w:tab/>
        <w:t>като има предвид, че в директивата се предвижда дълъг срок за изпълнение, като някои разпоредби няма да се прилагат изцяло преди 2045 г., което ще даде достатъчно време за постепенното и балансирано прилагане на директивата и нейните изисквания за четвъртично пречистване, а именно покритие от 20% до 2033 г., 60% до 2039 г. и пълно покритие до 2045 г.; като има предвид, че директивата предоставя на държавите членки време да коригират ценообразуването на договорите чрез нови тръжни процедури за лекарства;</w:t>
      </w:r>
    </w:p>
    <w:p w:rsidR="00FB0092" w:rsidRPr="00B87A07" w:rsidP="00FB0092" w14:paraId="1C9A4CDF" w14:textId="302A5B0F">
      <w:pPr>
        <w:pStyle w:val="NormalHanging12a"/>
      </w:pPr>
      <w:r>
        <w:t>АГ</w:t>
      </w:r>
      <w:r w:rsidRPr="00B87A07">
        <w:t>.</w:t>
      </w:r>
      <w:r w:rsidRPr="00B87A07">
        <w:tab/>
        <w:t>като има предвид, че според оценката на въздействието на Комисията и проучването на JRC дори при пълно прехвърляне на разходите произтичащото от това увеличение на цените на лекарствата остава незначително в сравнение с цената на бездействието, тъй като значителните дългосрочни разходи за здравеопазване вследствие на заболявания, свързани с експозицията на микрозамърсители, по-специално рак, вече налагат значително по-голяма тежест върху системите за обществено здравеопазване и се очаква тя значително да се повиши;</w:t>
      </w:r>
    </w:p>
    <w:p w:rsidR="00FB0092" w:rsidRPr="00B87A07" w:rsidP="00FB0092" w14:paraId="6683C965" w14:textId="63F40DD6">
      <w:pPr>
        <w:pStyle w:val="NormalHanging12a"/>
      </w:pPr>
      <w:r>
        <w:t>АД</w:t>
      </w:r>
      <w:r w:rsidRPr="00B87A07">
        <w:t>.</w:t>
      </w:r>
      <w:r w:rsidRPr="00B87A07">
        <w:tab/>
        <w:t>като има предвид, че разходите, свързани с вноските за четвъртично пречистване, се основават на продукти, пуснати на пазара, и следователно включват всички продукти, независимо дали са произведени в ЕС или извън него, и че задължението за РОП се прилага еднакво за всички дружества, които пускат продукти на пазара на ЕС, като се гарантират еднакви условия на конкуренция и се предотвратяват нелоялни конкурентни предимства; като има предвид, че следователно директивата има за цел да не предизвиква изкривявания на пазара или да създава неблагоприятни условия за производителите от ЕС и за цялостната конкурентоспособност на сектора; като има предвид, че е много важно да се гарантира, че всички вносни продукти спазват и финансират задълженията за РОП, включително всички частни малки пратки, например онлайн поръчки;</w:t>
      </w:r>
    </w:p>
    <w:p w:rsidR="00FB0092" w:rsidRPr="00B87A07" w:rsidP="00FB0092" w14:paraId="68D22558" w14:textId="24C3BE35">
      <w:pPr>
        <w:pStyle w:val="NormalHanging12a"/>
      </w:pPr>
      <w:r>
        <w:t>АЕ</w:t>
      </w:r>
      <w:r w:rsidRPr="00B87A07">
        <w:t>.</w:t>
      </w:r>
      <w:r w:rsidRPr="00B87A07">
        <w:tab/>
        <w:t>като има предвид, че от оценката на въздействието на Комисията става ясно, че при липсата на РОП годишните разходи за четвъртично пречистване, оценявани на приблизително 1,186 милиарда евро годишно до 2040 г., в противен случай би трябвало да бъдат покрити главно чрез увеличаване на тарифите за вода и от публичните бюджети, което би довело до прехвърляне на разходите за промишленото замърсяване върху гражданите и данъкоплатците и би създало несправедлива тежест за домакинствата, включително най-уязвимите сред тях;</w:t>
      </w:r>
    </w:p>
    <w:p w:rsidR="00FB0092" w:rsidRPr="00B87A07" w:rsidP="00FB0092" w14:paraId="60EF9242" w14:textId="0464CD93">
      <w:pPr>
        <w:pStyle w:val="NormalHanging12a"/>
      </w:pPr>
      <w:r>
        <w:t>АЖ</w:t>
      </w:r>
      <w:r w:rsidRPr="00B87A07">
        <w:t>.</w:t>
      </w:r>
      <w:r w:rsidRPr="00B87A07">
        <w:tab/>
        <w:t>като има предвид, че прилагането на схемата за РОП е необходимо, за да се осигури правна и финансова сигурност, по-специално за публичните органи, и да се осигурят необходимите инвестиции в инфраструктура за отпадъчни води, за да се постигнат целите в областта на околната среда и общественото здраве и да се гарантира, че гражданите и потребителите на вода не поемат финансовите разходи, свързани със замърсяването, за което не носят отговорност;</w:t>
      </w:r>
    </w:p>
    <w:p w:rsidR="00FB0092" w:rsidRPr="00B87A07" w:rsidP="00FB0092" w14:paraId="61CAE064" w14:textId="2A2F3D78">
      <w:pPr>
        <w:pStyle w:val="NormalHanging12a"/>
      </w:pPr>
      <w:r>
        <w:t>АЗ</w:t>
      </w:r>
      <w:r w:rsidRPr="00B87A07">
        <w:t>.</w:t>
      </w:r>
      <w:r w:rsidRPr="00B87A07">
        <w:tab/>
        <w:t>като има предвид, че новите стандарти за качество на околната среда, и по-специално деветте фармацевтични стандарта за качество на околната среда съгласно Рамковата директива за водите, не могат да бъдат постигнати без усъвършенствано и допълнително пречистване на водите;</w:t>
      </w:r>
    </w:p>
    <w:p w:rsidR="00FB0092" w:rsidRPr="00B87A07" w:rsidP="00FB0092" w14:paraId="3F0F442E" w14:textId="7155FFDB">
      <w:pPr>
        <w:pStyle w:val="NormalHanging12a"/>
      </w:pPr>
      <w:r>
        <w:t>АИ</w:t>
      </w:r>
      <w:r w:rsidRPr="00B87A07">
        <w:t>.</w:t>
      </w:r>
      <w:r w:rsidRPr="00B87A07">
        <w:tab/>
        <w:t>като има предвид, че преразгледаната ДПГОВ задължава Комисията, въз основа на резултатите от мониторинга на градските отпадъчни води и най-актуалните научни данни, да прави редовна оценка на въпроса дали други продукти следва да бъдат включени в системата за РОП; като има предвид, че Комисията следва да представи първия официален преглед най-късно до 2033 г.;</w:t>
      </w:r>
    </w:p>
    <w:p w:rsidR="00FB0092" w:rsidRPr="00B87A07" w:rsidP="00FB0092" w14:paraId="47B7691C" w14:textId="77777777">
      <w:pPr>
        <w:pStyle w:val="NormalHanging12a"/>
      </w:pPr>
      <w:r w:rsidRPr="00B87A07">
        <w:t>1.</w:t>
      </w:r>
      <w:r w:rsidRPr="00B87A07">
        <w:tab/>
        <w:t>отново потвърждава силната си подкрепа за екологичните цели и прилагането на преразгледаната ДПГОВ в съответствие с определените срокове и подчертава необходимостта от намаляване и справяне със замърсяването на водите, включително с микрозамърсители;</w:t>
      </w:r>
    </w:p>
    <w:p w:rsidR="00FB0092" w:rsidRPr="00B87A07" w:rsidP="00FB0092" w14:paraId="62482D30" w14:textId="77777777">
      <w:pPr>
        <w:pStyle w:val="NormalHanging12a"/>
      </w:pPr>
      <w:r w:rsidRPr="00B87A07">
        <w:t>2.</w:t>
      </w:r>
      <w:r w:rsidRPr="00B87A07">
        <w:tab/>
        <w:t>подчертава, че е необходима по-добра защита на човешкото здраве и околната среда като част от амбициозен подход за справяне със замърсяването от всички източници, както и преминаване към нетоксична околна среда, като по-специално е необходимо справяне с опасните микрозамърсители, които представляват значителна и остра заплаха за здравето и околната среда;</w:t>
      </w:r>
    </w:p>
    <w:p w:rsidR="00FB0092" w:rsidRPr="00B87A07" w:rsidP="00FB0092" w14:paraId="05FA785C" w14:textId="77777777">
      <w:pPr>
        <w:pStyle w:val="NormalHanging12a"/>
      </w:pPr>
      <w:bookmarkStart w:id="10" w:name="_Hlk228944818"/>
      <w:bookmarkStart w:id="11" w:name="_Hlk228944896"/>
      <w:r w:rsidRPr="00B87A07">
        <w:t>3.</w:t>
      </w:r>
      <w:r w:rsidRPr="00B87A07">
        <w:tab/>
        <w:t xml:space="preserve">припомня, че политиката в областта на околната среда следва да се основава на принципите на предпазните мерки и превантивните действия, на принципа на приоритетното отстраняване още при източника на щети върху околната среда и </w:t>
      </w:r>
      <w:r w:rsidRPr="00B87A07">
        <w:t>на принципа „замърсителят плаща“;</w:t>
      </w:r>
      <w:bookmarkEnd w:id="10"/>
    </w:p>
    <w:p w:rsidR="00FB0092" w:rsidRPr="00B87A07" w:rsidP="00FB0092" w14:paraId="74E826CD" w14:textId="77777777">
      <w:pPr>
        <w:pStyle w:val="NormalHanging12a"/>
      </w:pPr>
      <w:bookmarkStart w:id="12" w:name="_Hlk228944651"/>
      <w:bookmarkEnd w:id="11"/>
      <w:r w:rsidRPr="00B87A07">
        <w:t>4.</w:t>
      </w:r>
      <w:r w:rsidRPr="00B87A07">
        <w:tab/>
        <w:t>подчертава, че въвеждането на четвъртично пречистване е необходимо за опазването на здравето, защитата на екосистемите и борбата с нововъзникващи рискове като АМР; подчертава във връзка с това, че РОП е най-ефективният инструмент за прилагане на принципа „замърсителят плаща“, посочен в член 191, параграф 2 от ДФЕС, и за осигуряване на достатъчно средства за необходимото пречистване на градските отпадъчни води;</w:t>
      </w:r>
      <w:bookmarkEnd w:id="12"/>
    </w:p>
    <w:p w:rsidR="00FB0092" w:rsidRPr="00B87A07" w:rsidP="00FB0092" w14:paraId="09258E52" w14:textId="77777777">
      <w:pPr>
        <w:pStyle w:val="NormalHanging12a"/>
      </w:pPr>
      <w:r w:rsidRPr="00B87A07">
        <w:t>5</w:t>
      </w:r>
      <w:r w:rsidRPr="00B87A07">
        <w:rPr>
          <w:i/>
        </w:rPr>
        <w:t>.</w:t>
      </w:r>
      <w:r w:rsidRPr="00B87A07">
        <w:rPr>
          <w:i/>
        </w:rPr>
        <w:tab/>
      </w:r>
      <w:bookmarkStart w:id="13" w:name="_Hlk227072613"/>
      <w:r w:rsidRPr="00B87A07">
        <w:t>отбелязва разликата между оценките на разходите в оценката на въздействието на Комисията и оценките на разходите, изготвени в публични оценки след приемането на директивата, по-специално в Германия и Испания; отбелязва освен това опасенията на заинтересованите страни относно надеждността на методиката, използвана за приписване на токсичните товари, и отбелязва опасенията относно разликите между данните, използвани от Комисията, и данните от оценката на риска за околната среда, представени на Европейската агенция по лекарствата в рамките на процедурата за издаване на разрешение за търговия; счита, че тези опасения следва да бъдат разгледани задълбочено, за да се гарантира надеждността на фактите, на които се основават анализите на разходите за четвъртично пречистване и схемата за РОП; отбелязва обаче, че различните методики, прилагани към проучванията, могат да обяснят някои от различията, и подчертава, че прогнозите от оценката на въздействието наскоро бяха потвърдени отново от JRC;</w:t>
      </w:r>
      <w:bookmarkEnd w:id="13"/>
    </w:p>
    <w:p w:rsidR="00FB0092" w:rsidP="00FB0092" w14:paraId="00D19F68" w14:textId="63CBBF7D">
      <w:pPr>
        <w:pStyle w:val="NormalHanging12a"/>
      </w:pPr>
      <w:bookmarkStart w:id="14" w:name="_Hlk228944475"/>
      <w:bookmarkStart w:id="15" w:name="_Hlk228944835"/>
      <w:r w:rsidRPr="00B87A07">
        <w:t>6.</w:t>
      </w:r>
      <w:r w:rsidRPr="00B87A07">
        <w:tab/>
      </w:r>
      <w:bookmarkEnd w:id="14"/>
      <w:r w:rsidRPr="00B87A07">
        <w:t xml:space="preserve">призовава Комисията да изготви до края на 2026 г. </w:t>
      </w:r>
      <w:r w:rsidRPr="00572F95" w:rsidR="00572F95">
        <w:t xml:space="preserve">нова оценка на въздействието, в която </w:t>
      </w:r>
      <w:r w:rsidRPr="00B87A07">
        <w:t xml:space="preserve">да се определи списъкът на веществата, налични в градските отпадъчни води, да се проверят разходите за четвъртично пречистване и вменяването на отговорността на съответните сектори съгласно принципа „замърсителят плаща“, както и да се установи потенциалното въздействие върху наличността, ценовата достъпност и достъпността на лекарствата, по-специално генеричните и критично важните лекарства и техните активни вещества; счита, че държавите членки, чрез Комитета по въпросите на фармацевтичните продукти за хуманна употреба, както и Европейската агенция за околна среда и Европейската агенция по лекарствата, следва да участват по подходящ начин в проучването в рамките на своите области на компетентност; призовава Комисията, ако е необходимо въз основа на резултатите от </w:t>
      </w:r>
      <w:r w:rsidRPr="00572F95" w:rsidR="00572F95">
        <w:t>оценката на въздействиет</w:t>
      </w:r>
      <w:r w:rsidR="003662DC">
        <w:t>о</w:t>
      </w:r>
      <w:r w:rsidRPr="00B87A07">
        <w:t xml:space="preserve">, да ускори оценката на разпределението на веществата и също така, ако е необходимо, незабавно да преразпредели задълженията за РОП към секторите, идентифицирани като отговорни; </w:t>
      </w:r>
      <w:r w:rsidRPr="00CE0900" w:rsidR="00CE0900">
        <w:t xml:space="preserve">призовава Комисията до края на юли 2026 г. да публикува съобщение, с което да информира държавите членки за независимото проучване и възможностите за гъвкавост съгласно директивата с цел да се гарантира достъпността, наличността и ценовата достъпност на лекарствата, както и да предприеме необходимите мерки за наблюдение на сигурността на доставките на лекарства и готовността за действие при кризи и за избягване на нежелани последици за доставките на лекарства, включително последици, произтичащи от разпоредбите за РОП; </w:t>
      </w:r>
      <w:r w:rsidRPr="00B87A07">
        <w:t xml:space="preserve">счита, че ако резултатите от </w:t>
      </w:r>
      <w:r w:rsidRPr="00572F95" w:rsidR="00572F95">
        <w:t>оценката на въздействието</w:t>
      </w:r>
      <w:r w:rsidRPr="00B87A07">
        <w:t xml:space="preserve"> покажат значителен риск за ценовата достъпност, наличността и достъпността на лекарствата, по-специално на критично важните и генеричните лекарства, Комисията следва бързо да приеме предпазни мерки, за да гарантира сигурността на доставките на тези лекарства</w:t>
      </w:r>
      <w:r w:rsidRPr="00CE0900" w:rsidR="00CE0900">
        <w:t>, включително спиране на задълженията за РОП</w:t>
      </w:r>
      <w:r w:rsidRPr="00B87A07">
        <w:t>;</w:t>
      </w:r>
      <w:bookmarkEnd w:id="15"/>
    </w:p>
    <w:p w:rsidR="00CE0900" w:rsidRPr="00B87A07" w:rsidP="00FB0092" w14:paraId="6D1267CE" w14:textId="3B0480CC">
      <w:pPr>
        <w:pStyle w:val="NormalHanging12a"/>
        <w:rPr>
          <w:rFonts w:eastAsia="Aptos"/>
        </w:rPr>
      </w:pPr>
      <w:r>
        <w:rPr>
          <w:rFonts w:eastAsia="Aptos"/>
        </w:rPr>
        <w:t>7</w:t>
      </w:r>
      <w:r w:rsidRPr="00CE0900">
        <w:rPr>
          <w:rFonts w:eastAsia="Aptos"/>
        </w:rPr>
        <w:t>.</w:t>
      </w:r>
      <w:r w:rsidRPr="00CE0900">
        <w:rPr>
          <w:rFonts w:eastAsia="Aptos"/>
        </w:rPr>
        <w:tab/>
        <w:t xml:space="preserve">призовава Комисията да постигне напредък по приемането на актове за </w:t>
      </w:r>
      <w:r w:rsidRPr="00CE0900">
        <w:rPr>
          <w:rFonts w:eastAsia="Aptos"/>
        </w:rPr>
        <w:t>изпълнение относно обхвата на задълженията във връзка с четвъртичното пречистване, за да се даде яснота на държавите членки, операторите на отпадъчни води и съответните заинтересовани страни по отношение на свързаните с това разходи;</w:t>
      </w:r>
    </w:p>
    <w:p w:rsidR="00FB0092" w:rsidRPr="00B87A07" w:rsidP="00FB0092" w14:paraId="04DD146E" w14:textId="073F14A5">
      <w:pPr>
        <w:pStyle w:val="NormalHanging12a"/>
        <w:rPr>
          <w:rFonts w:eastAsia="Aptos"/>
        </w:rPr>
      </w:pPr>
      <w:bookmarkStart w:id="16" w:name="_Hlk228945625"/>
      <w:r>
        <w:t>8</w:t>
      </w:r>
      <w:r w:rsidRPr="00B87A07">
        <w:t>.</w:t>
      </w:r>
      <w:r w:rsidRPr="00B87A07">
        <w:tab/>
        <w:t>подчертава, че разходите, свързани с авангардните технологии за пречистване на отпадъчните води, не следва да се прехвърлят върху данъкоплатците и потребителите на вода, а следва да се поемат по справедлив и пропорционален начин от онези сектори, които допринасят за замърсяването;</w:t>
      </w:r>
    </w:p>
    <w:bookmarkEnd w:id="16"/>
    <w:p w:rsidR="00FB0092" w:rsidRPr="00B87A07" w:rsidP="00FB0092" w14:paraId="3065638E" w14:textId="4659B84C">
      <w:pPr>
        <w:pStyle w:val="NormalHanging12a"/>
      </w:pPr>
      <w:r>
        <w:t>9</w:t>
      </w:r>
      <w:r w:rsidRPr="00B87A07">
        <w:t>.</w:t>
      </w:r>
      <w:r w:rsidRPr="00B87A07">
        <w:tab/>
      </w:r>
      <w:r w:rsidRPr="00572F95" w:rsidR="00572F95">
        <w:t>призовава за спиране („спиране на часовника“) на прилагането на разпоредбите за РОП и на задълженията за четвъртично пречистване и свързаните с тях финансови задължения до приключването на проучването и оценката на неговите констатации от страна на Комисията;</w:t>
      </w:r>
      <w:r w:rsidRPr="00B87A07">
        <w:t>;</w:t>
      </w:r>
    </w:p>
    <w:p w:rsidR="00FB0092" w:rsidRPr="00B87A07" w:rsidP="00FB0092" w14:paraId="3CA90846" w14:textId="7B001333">
      <w:pPr>
        <w:pStyle w:val="NormalHanging12a"/>
      </w:pPr>
      <w:r>
        <w:t>10</w:t>
      </w:r>
      <w:r w:rsidRPr="00B87A07">
        <w:t>.</w:t>
      </w:r>
      <w:r w:rsidRPr="00B87A07">
        <w:tab/>
        <w:t>подчертава, че задължението за РОП се прилага еднакво за всички дружества, които пускат продукти на пазара на ЕС, независимо дали са произведени в ЕС или извън него, с цел да се гарантират еднакви условия на конкуренция и да се предотвратяват нелоялни конкурентни предимства; призовава Комисията да изясни как производителите извън ЕС ще спазват задълженията за РОП, за да се избегнат нарушения на конкуренцията и да гарантират еднакви условия на конкуренция;</w:t>
      </w:r>
    </w:p>
    <w:p w:rsidR="00FB0092" w:rsidRPr="00B87A07" w:rsidP="00FB0092" w14:paraId="3BAF3D22" w14:textId="4C47E272">
      <w:pPr>
        <w:pStyle w:val="NormalHanging12a"/>
      </w:pPr>
      <w:r>
        <w:t>11</w:t>
      </w:r>
      <w:r w:rsidRPr="00B87A07">
        <w:t>.</w:t>
      </w:r>
      <w:r w:rsidRPr="00B87A07">
        <w:tab/>
        <w:t xml:space="preserve">подчертава, че недостигът на лекарства вече е голямо и нарастващо предизвикателство в ЕС; подчертава необходимостта да се съхрани </w:t>
      </w:r>
      <w:r w:rsidRPr="00CE0900" w:rsidR="00CE0900">
        <w:t>капацитетът за фармацевтични изследвания, развойна дейност и производство</w:t>
      </w:r>
      <w:r w:rsidRPr="00B87A07">
        <w:t xml:space="preserve"> и устойчивостта на веригата на доставки на ЕС;</w:t>
      </w:r>
    </w:p>
    <w:p w:rsidR="00FB0092" w:rsidRPr="00B87A07" w:rsidP="00FB0092" w14:paraId="4CC91F76" w14:textId="7CC718C3">
      <w:pPr>
        <w:pStyle w:val="NormalHanging12a"/>
      </w:pPr>
      <w:bookmarkStart w:id="17" w:name="_Hlk227220207"/>
      <w:r>
        <w:t>12</w:t>
      </w:r>
      <w:r w:rsidRPr="00B87A07">
        <w:t>.</w:t>
      </w:r>
      <w:r w:rsidRPr="00B87A07">
        <w:tab/>
        <w:t>признава спецификата на генеричните лекарства и достъпа до лекарства като цяло и призовава Комисията и държавите членки внимателно и непрекъснато да наблюдават въздействието на директивата върху ценовата достъпност, наличността и достъпността на тези лекарства, както се изисква съгласно преразгледаната ДПГОВ, с цел да се избегнат нежелани прекъсвания на доставките или повишения на цените;</w:t>
      </w:r>
      <w:bookmarkEnd w:id="17"/>
    </w:p>
    <w:p w:rsidR="00FB0092" w:rsidRPr="00B87A07" w:rsidP="00FB0092" w14:paraId="5AC8D11A" w14:textId="4FC5ED4E">
      <w:pPr>
        <w:pStyle w:val="NormalHanging12a"/>
      </w:pPr>
      <w:r>
        <w:t>13</w:t>
      </w:r>
      <w:r w:rsidRPr="00B87A07">
        <w:t>.</w:t>
      </w:r>
      <w:r w:rsidRPr="00B87A07">
        <w:tab/>
      </w:r>
      <w:bookmarkStart w:id="18" w:name="_Hlk227048195"/>
      <w:bookmarkStart w:id="19" w:name="_Hlk227048150"/>
      <w:r w:rsidRPr="00B87A07">
        <w:t>припомня, че директивата предвижда гъвкавост и възможност за прилагане на пропорционални мерки, за да се гарантира, че задълженията за РОП не застрашават финансовата достъпност, наличността или достъпността на лекарствата; призовава държавите членки, когато изготвят и прилагат национални схеми за РОП, внимателно да оценяват и разглеждат надлежно обоснованите и подкрепени с доказателства опасения, свързани с нежелани последици от директивата, като обръщат специално внимание на генеричните лекарства; припомня задължението на Комисията да наблюдава и докладва относно въздействието върху ценовата достъпност, наличността и достъпността на лекарствата и да гарантира всеобхватна оценка до края на 2033 г. и отново до края на 2040 г.;</w:t>
      </w:r>
      <w:bookmarkEnd w:id="18"/>
      <w:bookmarkEnd w:id="19"/>
    </w:p>
    <w:p w:rsidR="00FB0092" w:rsidRPr="00B87A07" w:rsidP="00FB0092" w14:paraId="650AA71D" w14:textId="2BD9F288">
      <w:pPr>
        <w:pStyle w:val="NormalHanging12a"/>
      </w:pPr>
      <w:r>
        <w:t>14</w:t>
      </w:r>
      <w:r w:rsidRPr="00B87A07">
        <w:t>.</w:t>
      </w:r>
      <w:r w:rsidRPr="00B87A07">
        <w:tab/>
        <w:t>отбелязва обаче предизвикателствата, свързани с използването на стимула, поради трудностите при промените в състава на лекарствата, които може да изискват обширни изследвания или нови разрешения за търговия, по-специално за генеричните лекарства;</w:t>
      </w:r>
    </w:p>
    <w:p w:rsidR="00FB0092" w:rsidRPr="00B87A07" w:rsidP="00FB0092" w14:paraId="64B9E71D" w14:textId="633A1403">
      <w:pPr>
        <w:pStyle w:val="NormalHanging12a"/>
      </w:pPr>
      <w:r>
        <w:t>15</w:t>
      </w:r>
      <w:r w:rsidRPr="00B87A07">
        <w:t>.</w:t>
      </w:r>
      <w:r w:rsidRPr="00B87A07">
        <w:tab/>
        <w:t>във връзка с това припомня, че от Комисията се изисква редовно да оценява дали други продукти и сектори, които оказват значително въздействие върху токсичното замърсяване на отпадъчните води, следва да бъдат включени в системата за РОП, за да се гарантира, че свързаните с това разходи са справедливо разпределени и не падат върху гражданите и потребителите на вода;</w:t>
      </w:r>
    </w:p>
    <w:p w:rsidR="00FB0092" w:rsidRPr="00B87A07" w:rsidP="00FB0092" w14:paraId="4AE42CBC" w14:textId="461E914E">
      <w:pPr>
        <w:pStyle w:val="NormalHanging12a"/>
      </w:pPr>
      <w:r>
        <w:t>16</w:t>
      </w:r>
      <w:r w:rsidRPr="00B87A07">
        <w:t>.</w:t>
      </w:r>
      <w:r w:rsidRPr="00B87A07">
        <w:tab/>
        <w:t>подкрепя научните изследвания и иновациите в областта на екологично устойчивите фармацевтични продукти и авангардните технологии за пречистване на отпадъчни води;</w:t>
      </w:r>
    </w:p>
    <w:p w:rsidR="00FB0092" w:rsidRPr="00B87A07" w:rsidP="00FB0092" w14:paraId="2E950309" w14:textId="1DB92B7D">
      <w:pPr>
        <w:pStyle w:val="NormalHanging12a"/>
      </w:pPr>
      <w:r>
        <w:t>17</w:t>
      </w:r>
      <w:r w:rsidRPr="00B87A07">
        <w:t>.</w:t>
      </w:r>
      <w:r w:rsidRPr="00B87A07">
        <w:tab/>
        <w:t>припомня, че в съответствие с подхода „Едно здраве“ защитата на здравето на хората, защитата на здравето на животните и защитата на здравето на околната среда са неразривно свързани; подчертава, че достъпът до лекарства и опазването на околната среда трябва да се осъществяват едновременно, без да се допуска едното да се използва като претекст за намаляването на амбициите в другото;</w:t>
      </w:r>
    </w:p>
    <w:p w:rsidR="00B87A07" w:rsidRPr="00B87A07" w:rsidP="00B87A07" w14:paraId="25A248D6" w14:textId="63C61F31">
      <w:pPr>
        <w:pStyle w:val="NormalHanging12a"/>
      </w:pPr>
      <w:r>
        <w:t>18</w:t>
      </w:r>
      <w:r w:rsidRPr="00B87A07" w:rsidR="00FB0092">
        <w:t>.</w:t>
      </w:r>
      <w:r w:rsidRPr="00B87A07" w:rsidR="00FB0092">
        <w:tab/>
        <w:t>възлага на своя председател да предаде настоящата резолюция на Съвета, на Комисията и на правителствата и парламентите на държавите членки.</w:t>
      </w:r>
    </w:p>
    <w:p w:rsidR="00E365E1" w:rsidRPr="00B87A07" w:rsidP="00FB0092" w14:paraId="6A3FA71B" w14:textId="560FFD74"/>
    <w:sectPr w:rsidSect="00B87A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C3C5C" w:rsidRPr="00B87A07" w14:paraId="28CFC70D" w14:textId="77777777">
      <w:r w:rsidRPr="00B87A07">
        <w:separator/>
      </w:r>
    </w:p>
  </w:footnote>
  <w:footnote w:type="continuationSeparator" w:id="1">
    <w:p w:rsidR="00BC3C5C" w:rsidRPr="00B87A07" w14:paraId="09719CAA" w14:textId="77777777">
      <w:r w:rsidRPr="00B87A07">
        <w:continuationSeparator/>
      </w:r>
    </w:p>
  </w:footnote>
  <w:footnote w:id="2">
    <w:p w:rsidR="00FB0092" w:rsidRPr="00B87A07" w:rsidP="00B87A07" w14:paraId="372E60B8" w14:textId="2BF3D65A">
      <w:pPr>
        <w:pStyle w:val="FootnoteText"/>
        <w:ind w:left="567" w:hanging="567"/>
        <w:rPr>
          <w:sz w:val="24"/>
          <w:lang w:val="bg-BG"/>
        </w:rPr>
      </w:pPr>
      <w:r w:rsidRPr="00B87A07">
        <w:rPr>
          <w:rStyle w:val="FootnoteReference"/>
          <w:sz w:val="24"/>
          <w:lang w:val="bg-BG"/>
        </w:rPr>
        <w:footnoteRef/>
      </w:r>
      <w:r w:rsidRPr="00B87A07" w:rsidR="00B87A07">
        <w:rPr>
          <w:sz w:val="24"/>
          <w:lang w:val="bg-BG"/>
        </w:rPr>
        <w:t xml:space="preserve"> </w:t>
      </w:r>
      <w:r w:rsidRPr="00B87A07" w:rsidR="00B87A07">
        <w:rPr>
          <w:sz w:val="24"/>
          <w:lang w:val="bg-BG"/>
        </w:rPr>
        <w:tab/>
      </w:r>
      <w:r w:rsidRPr="00B87A07">
        <w:rPr>
          <w:sz w:val="24"/>
          <w:lang w:val="bg-BG"/>
        </w:rPr>
        <w:t>ОВ L, 2024/3019, 12.12.2024 г., ELI: </w:t>
      </w:r>
      <w:hyperlink r:id="rId1" w:tooltip="Достъп до този документ чрез неговия идентификатор ELI URI." w:history="1">
        <w:r w:rsidRPr="00B87A07">
          <w:rPr>
            <w:rStyle w:val="Hyperlink"/>
            <w:sz w:val="24"/>
            <w:lang w:val="bg-BG"/>
          </w:rPr>
          <w:t>http://data.europa.eu/eli/dir/2024/3019/oj</w:t>
        </w:r>
      </w:hyperlink>
      <w:r w:rsidRPr="00B87A07">
        <w:rPr>
          <w:sz w:val="24"/>
          <w:lang w:val="bg-BG"/>
        </w:rPr>
        <w:t>.</w:t>
      </w:r>
    </w:p>
  </w:footnote>
  <w:footnote w:id="3">
    <w:p w:rsidR="00FB0092" w:rsidRPr="00B87A07" w:rsidP="00B87A07" w14:paraId="09413AB4" w14:textId="1CFEABB1">
      <w:pPr>
        <w:pStyle w:val="FootnoteText"/>
        <w:ind w:left="567" w:hanging="567"/>
        <w:rPr>
          <w:sz w:val="24"/>
          <w:lang w:val="bg-BG"/>
        </w:rPr>
      </w:pPr>
      <w:r w:rsidRPr="00B87A07">
        <w:rPr>
          <w:rStyle w:val="FootnoteReference"/>
          <w:sz w:val="24"/>
          <w:lang w:val="bg-BG"/>
        </w:rPr>
        <w:footnoteRef/>
      </w:r>
      <w:r w:rsidRPr="00B87A07" w:rsidR="00B87A07">
        <w:rPr>
          <w:sz w:val="24"/>
          <w:lang w:val="bg-BG"/>
        </w:rPr>
        <w:t xml:space="preserve"> </w:t>
      </w:r>
      <w:r w:rsidRPr="00B87A07" w:rsidR="00B87A07">
        <w:rPr>
          <w:sz w:val="24"/>
          <w:lang w:val="bg-BG"/>
        </w:rPr>
        <w:tab/>
      </w:r>
      <w:r w:rsidRPr="00B87A07">
        <w:rPr>
          <w:sz w:val="24"/>
          <w:lang w:val="bg-BG"/>
        </w:rPr>
        <w:t>ОВ L 327, 22.12.2000 г., стр. 1.</w:t>
      </w:r>
      <w:r w:rsidR="00BA4A99">
        <w:rPr>
          <w:sz w:val="24"/>
          <w:lang w:val="bg-BG"/>
        </w:rPr>
        <w:t>,</w:t>
      </w:r>
      <w:r w:rsidRPr="00B87A07">
        <w:rPr>
          <w:sz w:val="24"/>
          <w:lang w:val="bg-BG"/>
        </w:rPr>
        <w:t xml:space="preserve"> ELI: </w:t>
      </w:r>
      <w:hyperlink r:id="rId2" w:tooltip="Достъп до този документ чрез неговия идентификатор ELI URI." w:history="1">
        <w:r w:rsidRPr="00B87A07">
          <w:rPr>
            <w:rStyle w:val="Hyperlink"/>
            <w:sz w:val="24"/>
            <w:lang w:val="bg-BG"/>
          </w:rPr>
          <w:t>http://data.europa.eu/eli/dir/2000/60/oj</w:t>
        </w:r>
      </w:hyperlink>
      <w:r w:rsidRPr="00B87A07">
        <w:rPr>
          <w:sz w:val="24"/>
          <w:lang w:val="bg-BG"/>
        </w:rPr>
        <w:t>.</w:t>
      </w:r>
    </w:p>
  </w:footnote>
  <w:footnote w:id="4">
    <w:p w:rsidR="00FB0092" w:rsidRPr="00B87A07" w:rsidP="00B87A07" w14:paraId="2675C649" w14:textId="259F3663">
      <w:pPr>
        <w:pStyle w:val="FootnoteText"/>
        <w:ind w:left="567" w:hanging="567"/>
        <w:rPr>
          <w:sz w:val="24"/>
          <w:lang w:val="bg-BG"/>
        </w:rPr>
      </w:pPr>
      <w:r w:rsidRPr="00B87A07">
        <w:rPr>
          <w:rStyle w:val="FootnoteReference"/>
          <w:sz w:val="24"/>
          <w:lang w:val="bg-BG"/>
        </w:rPr>
        <w:footnoteRef/>
      </w:r>
      <w:r w:rsidRPr="00B87A07" w:rsidR="00B87A07">
        <w:rPr>
          <w:sz w:val="24"/>
          <w:lang w:val="bg-BG"/>
        </w:rPr>
        <w:t xml:space="preserve"> </w:t>
      </w:r>
      <w:r w:rsidRPr="00B87A07" w:rsidR="00B87A07">
        <w:rPr>
          <w:sz w:val="24"/>
          <w:lang w:val="bg-BG"/>
        </w:rPr>
        <w:tab/>
      </w:r>
      <w:r w:rsidRPr="00B87A07">
        <w:rPr>
          <w:sz w:val="24"/>
          <w:lang w:val="bg-BG"/>
        </w:rPr>
        <w:t>ОВ L 372, 27.12.2006 г., стр. 19, ELI: </w:t>
      </w:r>
      <w:hyperlink r:id="rId3" w:tooltip="Достъп до този документ чрез неговия идентификатор ELI URI." w:history="1">
        <w:r w:rsidRPr="00B87A07">
          <w:rPr>
            <w:rStyle w:val="Hyperlink"/>
            <w:sz w:val="24"/>
            <w:lang w:val="bg-BG"/>
          </w:rPr>
          <w:t>http://data.europa.eu/eli/dir/2006/118/oj</w:t>
        </w:r>
      </w:hyperlink>
      <w:r w:rsidRPr="00B87A07">
        <w:rPr>
          <w:sz w:val="24"/>
          <w:lang w:val="bg-BG"/>
        </w:rPr>
        <w:t>.</w:t>
      </w:r>
    </w:p>
  </w:footnote>
  <w:footnote w:id="5">
    <w:p w:rsidR="00FB0092" w:rsidRPr="00B87A07" w:rsidP="00B87A07" w14:paraId="0F44AF85" w14:textId="6E645165">
      <w:pPr>
        <w:pStyle w:val="FootnoteText"/>
        <w:ind w:left="567" w:hanging="567"/>
        <w:rPr>
          <w:sz w:val="24"/>
          <w:lang w:val="bg-BG"/>
        </w:rPr>
      </w:pPr>
      <w:r w:rsidRPr="00B87A07">
        <w:rPr>
          <w:rStyle w:val="FootnoteReference"/>
          <w:sz w:val="24"/>
          <w:lang w:val="bg-BG"/>
        </w:rPr>
        <w:footnoteRef/>
      </w:r>
      <w:r w:rsidRPr="00B87A07" w:rsidR="00B87A07">
        <w:rPr>
          <w:sz w:val="24"/>
          <w:lang w:val="bg-BG"/>
        </w:rPr>
        <w:t xml:space="preserve"> </w:t>
      </w:r>
      <w:r w:rsidRPr="00B87A07" w:rsidR="00B87A07">
        <w:rPr>
          <w:sz w:val="24"/>
          <w:lang w:val="bg-BG"/>
        </w:rPr>
        <w:tab/>
      </w:r>
      <w:r w:rsidRPr="00B87A07">
        <w:rPr>
          <w:sz w:val="24"/>
          <w:lang w:val="bg-BG"/>
        </w:rPr>
        <w:t>ОВ L 348, 24.12.2008 г., стр. 84, ELI: </w:t>
      </w:r>
      <w:hyperlink r:id="rId4" w:tooltip="Достъп до този документ чрез неговия идентификатор ELI URI." w:history="1">
        <w:r w:rsidRPr="00B87A07">
          <w:rPr>
            <w:rStyle w:val="Hyperlink"/>
            <w:sz w:val="24"/>
            <w:lang w:val="bg-BG"/>
          </w:rPr>
          <w:t>http://data.europa.eu/eli/dir/2008/105/oj</w:t>
        </w:r>
      </w:hyperlink>
      <w:r w:rsidRPr="00B87A07">
        <w:rPr>
          <w:sz w:val="24"/>
          <w:lang w:val="bg-BG"/>
        </w:rPr>
        <w:t>.</w:t>
      </w:r>
    </w:p>
  </w:footnote>
  <w:footnote w:id="6">
    <w:p w:rsidR="00FB0092" w:rsidRPr="00B87A07" w:rsidP="00B87A07" w14:paraId="590E425A" w14:textId="4A609441">
      <w:pPr>
        <w:pStyle w:val="FootnoteText"/>
        <w:ind w:left="567" w:hanging="567"/>
        <w:rPr>
          <w:sz w:val="24"/>
          <w:lang w:val="bg-BG"/>
        </w:rPr>
      </w:pPr>
      <w:r w:rsidRPr="00B87A07">
        <w:rPr>
          <w:rStyle w:val="FootnoteReference"/>
          <w:sz w:val="24"/>
          <w:lang w:val="bg-BG"/>
        </w:rPr>
        <w:footnoteRef/>
      </w:r>
      <w:r w:rsidRPr="00B87A07" w:rsidR="00B87A07">
        <w:rPr>
          <w:sz w:val="24"/>
          <w:lang w:val="bg-BG"/>
        </w:rPr>
        <w:t xml:space="preserve"> </w:t>
      </w:r>
      <w:r w:rsidRPr="00B87A07" w:rsidR="00B87A07">
        <w:rPr>
          <w:sz w:val="24"/>
          <w:lang w:val="bg-BG"/>
        </w:rPr>
        <w:tab/>
      </w:r>
      <w:r w:rsidRPr="00B87A07">
        <w:rPr>
          <w:sz w:val="24"/>
          <w:lang w:val="bg-BG"/>
        </w:rPr>
        <w:t xml:space="preserve">ОВ L 114, 12.4.2022 г., стр. 22, ELI: </w:t>
      </w:r>
      <w:hyperlink r:id="rId5" w:history="1">
        <w:r w:rsidRPr="00B87A07">
          <w:rPr>
            <w:rStyle w:val="Hyperlink"/>
            <w:sz w:val="24"/>
            <w:lang w:val="bg-BG"/>
          </w:rPr>
          <w:t>http://data.europa.eu/eli/dec/2022/591/oj</w:t>
        </w:r>
      </w:hyperlink>
      <w:r w:rsidRPr="00B87A07">
        <w:rPr>
          <w:sz w:val="24"/>
          <w:lang w:val="bg-BG"/>
        </w:rPr>
        <w:t>.</w:t>
      </w:r>
    </w:p>
  </w:footnote>
  <w:footnote w:id="7">
    <w:p w:rsidR="00FB0092" w:rsidRPr="00B87A07" w:rsidP="00B87A07" w14:paraId="13146A03" w14:textId="6D2B536C">
      <w:pPr>
        <w:pStyle w:val="FootnoteText"/>
        <w:ind w:left="567" w:hanging="567"/>
        <w:rPr>
          <w:sz w:val="24"/>
          <w:lang w:val="bg-BG"/>
        </w:rPr>
      </w:pPr>
      <w:r w:rsidRPr="00B87A07">
        <w:rPr>
          <w:rStyle w:val="FootnoteReference"/>
          <w:sz w:val="24"/>
          <w:lang w:val="bg-BG"/>
        </w:rPr>
        <w:footnoteRef/>
      </w:r>
      <w:r w:rsidRPr="00B87A07" w:rsidR="00B87A07">
        <w:rPr>
          <w:sz w:val="24"/>
          <w:lang w:val="bg-BG"/>
        </w:rPr>
        <w:t xml:space="preserve"> </w:t>
      </w:r>
      <w:r w:rsidRPr="00B87A07" w:rsidR="00B87A07">
        <w:rPr>
          <w:sz w:val="24"/>
          <w:lang w:val="bg-BG"/>
        </w:rPr>
        <w:tab/>
      </w:r>
      <w:r w:rsidRPr="00B87A07">
        <w:rPr>
          <w:sz w:val="24"/>
          <w:lang w:val="bg-BG"/>
        </w:rPr>
        <w:t>ОВ C 385, 22.9.2021 г., стр. 83.</w:t>
      </w:r>
    </w:p>
  </w:footnote>
  <w:footnote w:id="8">
    <w:p w:rsidR="00FB0092" w:rsidRPr="00B87A07" w:rsidP="00B87A07" w14:paraId="1133BD79" w14:textId="656DCCF0">
      <w:pPr>
        <w:pStyle w:val="FootnoteText"/>
        <w:ind w:left="567" w:hanging="567"/>
        <w:rPr>
          <w:sz w:val="24"/>
          <w:lang w:val="bg-BG"/>
        </w:rPr>
      </w:pPr>
      <w:r w:rsidRPr="00B87A07">
        <w:rPr>
          <w:rStyle w:val="FootnoteReference"/>
          <w:sz w:val="24"/>
          <w:szCs w:val="16"/>
          <w:lang w:val="bg-BG"/>
        </w:rPr>
        <w:footnoteRef/>
      </w:r>
      <w:r w:rsidRPr="00B87A07" w:rsidR="00B87A07">
        <w:rPr>
          <w:sz w:val="24"/>
          <w:lang w:val="bg-BG"/>
        </w:rPr>
        <w:t xml:space="preserve"> </w:t>
      </w:r>
      <w:r w:rsidRPr="00B87A07" w:rsidR="00B87A07">
        <w:rPr>
          <w:sz w:val="24"/>
          <w:lang w:val="bg-BG"/>
        </w:rPr>
        <w:tab/>
      </w:r>
      <w:r w:rsidRPr="00B87A07">
        <w:rPr>
          <w:sz w:val="24"/>
          <w:lang w:val="bg-BG"/>
        </w:rPr>
        <w:t>Съобщение на Комисията от 24 октомври 2023 г., озаглавено „Справяне с недостига на лекарства в ЕС“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5776654">
    <w:abstractNumId w:val="9"/>
  </w:num>
  <w:num w:numId="2" w16cid:durableId="1928030430">
    <w:abstractNumId w:val="9"/>
  </w:num>
  <w:num w:numId="3" w16cid:durableId="2136244219">
    <w:abstractNumId w:val="7"/>
  </w:num>
  <w:num w:numId="4" w16cid:durableId="1925649517">
    <w:abstractNumId w:val="7"/>
  </w:num>
  <w:num w:numId="5" w16cid:durableId="301882868">
    <w:abstractNumId w:val="6"/>
  </w:num>
  <w:num w:numId="6" w16cid:durableId="1168908673">
    <w:abstractNumId w:val="6"/>
  </w:num>
  <w:num w:numId="7" w16cid:durableId="1455439091">
    <w:abstractNumId w:val="5"/>
  </w:num>
  <w:num w:numId="8" w16cid:durableId="346953164">
    <w:abstractNumId w:val="5"/>
  </w:num>
  <w:num w:numId="9" w16cid:durableId="1859201058">
    <w:abstractNumId w:val="4"/>
  </w:num>
  <w:num w:numId="10" w16cid:durableId="1240018006">
    <w:abstractNumId w:val="4"/>
  </w:num>
  <w:num w:numId="11" w16cid:durableId="104496841">
    <w:abstractNumId w:val="8"/>
  </w:num>
  <w:num w:numId="12" w16cid:durableId="1942031221">
    <w:abstractNumId w:val="8"/>
  </w:num>
  <w:num w:numId="13" w16cid:durableId="2100523917">
    <w:abstractNumId w:val="3"/>
  </w:num>
  <w:num w:numId="14" w16cid:durableId="1150555791">
    <w:abstractNumId w:val="3"/>
  </w:num>
  <w:num w:numId="15" w16cid:durableId="1107772550">
    <w:abstractNumId w:val="2"/>
  </w:num>
  <w:num w:numId="16" w16cid:durableId="565798107">
    <w:abstractNumId w:val="2"/>
  </w:num>
  <w:num w:numId="17" w16cid:durableId="959918973">
    <w:abstractNumId w:val="1"/>
  </w:num>
  <w:num w:numId="18" w16cid:durableId="407071215">
    <w:abstractNumId w:val="1"/>
  </w:num>
  <w:num w:numId="19" w16cid:durableId="329720896">
    <w:abstractNumId w:val="0"/>
  </w:num>
  <w:num w:numId="20" w16cid:durableId="873618764">
    <w:abstractNumId w:val="0"/>
  </w:num>
  <w:num w:numId="21" w16cid:durableId="1005598954">
    <w:abstractNumId w:val="9"/>
  </w:num>
  <w:num w:numId="22" w16cid:durableId="1216967475">
    <w:abstractNumId w:val="7"/>
  </w:num>
  <w:num w:numId="23" w16cid:durableId="282809942">
    <w:abstractNumId w:val="6"/>
  </w:num>
  <w:num w:numId="24" w16cid:durableId="2113548610">
    <w:abstractNumId w:val="5"/>
  </w:num>
  <w:num w:numId="25" w16cid:durableId="751507978">
    <w:abstractNumId w:val="4"/>
  </w:num>
  <w:num w:numId="26" w16cid:durableId="510291805">
    <w:abstractNumId w:val="8"/>
  </w:num>
  <w:num w:numId="27" w16cid:durableId="1525748797">
    <w:abstractNumId w:val="3"/>
  </w:num>
  <w:num w:numId="28" w16cid:durableId="251012123">
    <w:abstractNumId w:val="2"/>
  </w:num>
  <w:num w:numId="29" w16cid:durableId="945309746">
    <w:abstractNumId w:val="1"/>
  </w:num>
  <w:num w:numId="30" w16cid:durableId="1909607826">
    <w:abstractNumId w:val="0"/>
  </w:num>
  <w:num w:numId="31" w16cid:durableId="820120384">
    <w:abstractNumId w:val="9"/>
  </w:num>
  <w:num w:numId="32" w16cid:durableId="259263052">
    <w:abstractNumId w:val="7"/>
  </w:num>
  <w:num w:numId="33" w16cid:durableId="1228609078">
    <w:abstractNumId w:val="6"/>
  </w:num>
  <w:num w:numId="34" w16cid:durableId="831213676">
    <w:abstractNumId w:val="5"/>
  </w:num>
  <w:num w:numId="35" w16cid:durableId="1405836920">
    <w:abstractNumId w:val="4"/>
  </w:num>
  <w:num w:numId="36" w16cid:durableId="1263762449">
    <w:abstractNumId w:val="8"/>
  </w:num>
  <w:num w:numId="37" w16cid:durableId="1829200548">
    <w:abstractNumId w:val="3"/>
  </w:num>
  <w:num w:numId="38" w16cid:durableId="1307977506">
    <w:abstractNumId w:val="2"/>
  </w:num>
  <w:num w:numId="39" w16cid:durableId="656882301">
    <w:abstractNumId w:val="1"/>
  </w:num>
  <w:num w:numId="40" w16cid:durableId="1066565032">
    <w:abstractNumId w:val="0"/>
  </w:num>
  <w:num w:numId="41" w16cid:durableId="1419718484">
    <w:abstractNumId w:val="10"/>
  </w:num>
  <w:num w:numId="42" w16cid:durableId="606933850">
    <w:abstractNumId w:val="10"/>
  </w:num>
  <w:num w:numId="43" w16cid:durableId="465319013">
    <w:abstractNumId w:val="10"/>
  </w:num>
  <w:num w:numId="44" w16cid:durableId="1128471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5C"/>
    <w:rsid w:val="00002272"/>
    <w:rsid w:val="00064002"/>
    <w:rsid w:val="000677B9"/>
    <w:rsid w:val="000822F3"/>
    <w:rsid w:val="000831BA"/>
    <w:rsid w:val="000A42CC"/>
    <w:rsid w:val="000E7DD9"/>
    <w:rsid w:val="0010095E"/>
    <w:rsid w:val="00125B37"/>
    <w:rsid w:val="00187494"/>
    <w:rsid w:val="001F32AE"/>
    <w:rsid w:val="002767FF"/>
    <w:rsid w:val="002B18FE"/>
    <w:rsid w:val="002B5493"/>
    <w:rsid w:val="00343214"/>
    <w:rsid w:val="00361C00"/>
    <w:rsid w:val="003662DC"/>
    <w:rsid w:val="00395FA1"/>
    <w:rsid w:val="003E15D4"/>
    <w:rsid w:val="00411CCE"/>
    <w:rsid w:val="00415833"/>
    <w:rsid w:val="0041666E"/>
    <w:rsid w:val="00421060"/>
    <w:rsid w:val="00471C19"/>
    <w:rsid w:val="004867E3"/>
    <w:rsid w:val="00494A28"/>
    <w:rsid w:val="004C0004"/>
    <w:rsid w:val="004C5D52"/>
    <w:rsid w:val="0050519A"/>
    <w:rsid w:val="005072A1"/>
    <w:rsid w:val="00514517"/>
    <w:rsid w:val="00545827"/>
    <w:rsid w:val="00560270"/>
    <w:rsid w:val="00572F95"/>
    <w:rsid w:val="005C2568"/>
    <w:rsid w:val="005F1B17"/>
    <w:rsid w:val="005F5940"/>
    <w:rsid w:val="006037C0"/>
    <w:rsid w:val="00616563"/>
    <w:rsid w:val="006631B6"/>
    <w:rsid w:val="00680577"/>
    <w:rsid w:val="006F74FA"/>
    <w:rsid w:val="00731ADD"/>
    <w:rsid w:val="00734777"/>
    <w:rsid w:val="00747932"/>
    <w:rsid w:val="00751A4A"/>
    <w:rsid w:val="00756632"/>
    <w:rsid w:val="00762C74"/>
    <w:rsid w:val="00786EC0"/>
    <w:rsid w:val="007C64A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A07"/>
    <w:rsid w:val="00BA4A99"/>
    <w:rsid w:val="00BC3C5C"/>
    <w:rsid w:val="00BD48FE"/>
    <w:rsid w:val="00BD7BD8"/>
    <w:rsid w:val="00BE6ADC"/>
    <w:rsid w:val="00C05BFE"/>
    <w:rsid w:val="00C23CD4"/>
    <w:rsid w:val="00C61C0C"/>
    <w:rsid w:val="00C941CB"/>
    <w:rsid w:val="00CC2357"/>
    <w:rsid w:val="00CE0900"/>
    <w:rsid w:val="00CF005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092"/>
    <w:rsid w:val="00FB4360"/>
    <w:rsid w:val="00FD0C70"/>
  </w:rsids>
  <w:docVars>
    <w:docVar w:name="dvdocse" w:val="B10-0238, 0240, 0241 and 0281/2026"/>
    <w:docVar w:name="dvlangue" w:val="BG"/>
    <w:docVar w:name="dvnumam" w:val="0"/>
    <w:docVar w:name="dvpe" w:val="783.281"/>
    <w:docVar w:name="dvtitre" w:val="Резолюция на Европейския парламент от ... 2026 г. относно прилагането на Директивата за пречистването на градските отпадъчни води и рисковете за сигурността на доставките на лекарства(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2423E1"/>
  <w15:chartTrackingRefBased/>
  <w15:docId w15:val="{684D0B0D-33CF-41AF-966C-6B1D9988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0092"/>
    <w:pPr>
      <w:spacing w:after="240"/>
      <w:ind w:left="567" w:hanging="567"/>
    </w:pPr>
  </w:style>
  <w:style w:type="paragraph" w:customStyle="1" w:styleId="EPComma">
    <w:name w:val="EPComma"/>
    <w:basedOn w:val="Normal"/>
    <w:link w:val="EPCommaChar"/>
    <w:rsid w:val="00FB0092"/>
    <w:pPr>
      <w:spacing w:before="480" w:after="240"/>
    </w:pPr>
  </w:style>
  <w:style w:type="character" w:customStyle="1" w:styleId="EPCommaChar">
    <w:name w:val="EPComma Char"/>
    <w:basedOn w:val="DefaultParagraphFont"/>
    <w:link w:val="EPComma"/>
    <w:rsid w:val="00FB0092"/>
    <w:rPr>
      <w:sz w:val="24"/>
      <w:lang w:val="bg-BG"/>
    </w:rPr>
  </w:style>
  <w:style w:type="character" w:styleId="Hyperlink">
    <w:name w:val="Hyperlink"/>
    <w:basedOn w:val="DefaultParagraphFont"/>
    <w:rsid w:val="00FB0092"/>
    <w:rPr>
      <w:color w:val="0000FF"/>
      <w:u w:val="single"/>
    </w:rPr>
  </w:style>
  <w:style w:type="paragraph" w:styleId="Revision">
    <w:name w:val="Revision"/>
    <w:hidden/>
    <w:uiPriority w:val="99"/>
    <w:semiHidden/>
    <w:rsid w:val="00BA4A9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3977</Words>
  <Characters>23644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2026-06-18T13:38:00Z</dcterms:created>
  <dcterms:modified xsi:type="dcterms:W3CDTF">2026-06-18T13:38:00Z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B10-0238, 0240, 0241 and 0281/2026</vt:lpwstr>
  </property>
  <property fmtid="{D5CDD505-2E9C-101B-9397-08002B2CF9AE}" pid="4" name="&lt;Type&gt;">
    <vt:lpwstr>RR</vt:lpwstr>
  </property>
</Properties>
</file>