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9C01F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54AE" w:rsidP="0010095E" w14:paraId="27AF6D1B" w14:textId="159A4AE5">
            <w:pPr>
              <w:pStyle w:val="EPName"/>
            </w:pPr>
            <w:r w:rsidRPr="005E54AE">
              <w:t>Europski parlament</w:t>
            </w:r>
          </w:p>
          <w:p w:rsidR="00751A4A" w:rsidRPr="005E54AE" w:rsidP="005F1B17" w14:paraId="0FF966D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54AE">
              <w:t>2024</w:t>
            </w:r>
            <w:r w:rsidRPr="005E54AE" w:rsidR="00817416">
              <w:t>-202</w:t>
            </w:r>
            <w:r w:rsidRPr="005E54A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54AE" w:rsidP="0010095E" w14:paraId="6DEA611A" w14:textId="77777777">
            <w:pPr>
              <w:pStyle w:val="EPLogo"/>
            </w:pPr>
            <w:r w:rsidRPr="005E54A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54AE" w:rsidP="004C5D52" w14:paraId="2304C471" w14:textId="77777777">
      <w:pPr>
        <w:pStyle w:val="LineTop"/>
      </w:pPr>
    </w:p>
    <w:p w:rsidR="00680577" w:rsidRPr="005E54AE" w:rsidP="00680577" w14:paraId="08F0D6C1" w14:textId="0ED4AF0A">
      <w:pPr>
        <w:pStyle w:val="EPBodyTA1"/>
      </w:pPr>
      <w:r w:rsidRPr="005E54AE">
        <w:t>USVOJENI TEKSTOVI</w:t>
      </w:r>
    </w:p>
    <w:p w:rsidR="00D058B8" w:rsidRPr="005E54AE" w:rsidP="00D058B8" w14:paraId="1A6B6A54" w14:textId="77777777">
      <w:pPr>
        <w:pStyle w:val="LineBottom"/>
      </w:pPr>
    </w:p>
    <w:p w:rsidR="00C8525D" w:rsidRPr="005E54AE" w:rsidP="00C8525D" w14:paraId="4050B371" w14:textId="0A576591">
      <w:pPr>
        <w:pStyle w:val="ATHeading1"/>
      </w:pPr>
      <w:bookmarkStart w:id="0" w:name="TANumber"/>
      <w:r w:rsidRPr="005E54AE">
        <w:t>P10_TA(2026)0</w:t>
      </w:r>
      <w:r w:rsidR="00C10D57">
        <w:t>228</w:t>
      </w:r>
      <w:bookmarkEnd w:id="0"/>
    </w:p>
    <w:p w:rsidR="00C8525D" w:rsidRPr="005E54AE" w:rsidP="00C8525D" w14:paraId="1EA3072C" w14:textId="77777777">
      <w:pPr>
        <w:pStyle w:val="ATHeading2"/>
      </w:pPr>
      <w:bookmarkStart w:id="1" w:name="title"/>
      <w:r w:rsidRPr="005E54AE">
        <w:t>Provedba Direktive o pročišćavanju komunalnih otpadnih voda i rizici za sigurnost opskrbe lijekovima</w:t>
      </w:r>
      <w:bookmarkEnd w:id="1"/>
    </w:p>
    <w:p w:rsidR="00C8525D" w:rsidRPr="005E54AE" w:rsidP="00C8525D" w14:paraId="3AB2E66E" w14:textId="4435E0CE">
      <w:pPr>
        <w:rPr>
          <w:i/>
          <w:vanish/>
        </w:rPr>
      </w:pPr>
      <w:r>
        <w:rPr>
          <w:i/>
        </w:rPr>
        <w:fldChar w:fldCharType="begin"/>
      </w:r>
      <w:r w:rsidRPr="005E54AE">
        <w:rPr>
          <w:i/>
        </w:rPr>
        <w:instrText xml:space="preserve"> TC"(</w:instrText>
      </w:r>
      <w:bookmarkStart w:id="2" w:name="DocNumber"/>
      <w:r w:rsidRPr="005E54AE">
        <w:rPr>
          <w:i/>
        </w:rPr>
        <w:instrText>B10-0238</w:instrText>
      </w:r>
      <w:r w:rsidR="00C04F02">
        <w:rPr>
          <w:i/>
        </w:rPr>
        <w:instrText>, 0240, 0241 i 0281</w:instrText>
      </w:r>
      <w:r w:rsidRPr="005E54AE">
        <w:rPr>
          <w:i/>
        </w:rPr>
        <w:instrText>/2026</w:instrText>
      </w:r>
      <w:bookmarkEnd w:id="2"/>
      <w:r w:rsidRPr="005E54A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8525D" w:rsidRPr="005E54AE" w:rsidP="00C8525D" w14:paraId="1793592B" w14:textId="77777777">
      <w:pPr>
        <w:rPr>
          <w:vanish/>
        </w:rPr>
      </w:pPr>
      <w:bookmarkStart w:id="3" w:name="PE"/>
      <w:r w:rsidRPr="005E54AE">
        <w:rPr>
          <w:vanish/>
        </w:rPr>
        <w:t>PE783.281</w:t>
      </w:r>
      <w:bookmarkEnd w:id="3"/>
    </w:p>
    <w:p w:rsidR="00C8525D" w:rsidRPr="005E54AE" w:rsidP="00C8525D" w14:paraId="61964172" w14:textId="53725DE0">
      <w:pPr>
        <w:pStyle w:val="ATHeading3"/>
      </w:pPr>
      <w:bookmarkStart w:id="4" w:name="Sujet"/>
      <w:r w:rsidRPr="005E54AE">
        <w:t xml:space="preserve">Rezolucija Europskog parlamenta od </w:t>
      </w:r>
      <w:r w:rsidR="005E54AE">
        <w:t>18</w:t>
      </w:r>
      <w:r w:rsidRPr="005E54AE">
        <w:t>.</w:t>
      </w:r>
      <w:r w:rsidR="005E54AE">
        <w:t xml:space="preserve"> lipnja</w:t>
      </w:r>
      <w:r w:rsidRPr="005E54AE">
        <w:t xml:space="preserve"> 2026. o provedbi Direktive o pročišćavanju komunalnih otpadnih voda i rizicima za sigurnost opskrbe lijekovima</w:t>
      </w:r>
      <w:bookmarkEnd w:id="4"/>
      <w:r w:rsidRPr="005E54AE">
        <w:t xml:space="preserve"> </w:t>
      </w:r>
      <w:bookmarkStart w:id="5" w:name="References"/>
      <w:r w:rsidRPr="005E54AE">
        <w:t>(2026/2652(RSP))</w:t>
      </w:r>
      <w:bookmarkEnd w:id="5"/>
    </w:p>
    <w:p w:rsidR="00F50B43" w:rsidRPr="005E54AE" w:rsidP="00F50B43" w14:paraId="715894A6" w14:textId="77777777">
      <w:pPr>
        <w:pStyle w:val="EPComma"/>
      </w:pPr>
      <w:bookmarkStart w:id="6" w:name="TextBodyBegin"/>
      <w:bookmarkEnd w:id="6"/>
      <w:r w:rsidRPr="005E54AE">
        <w:rPr>
          <w:i/>
        </w:rPr>
        <w:t>Europski parlament</w:t>
      </w:r>
      <w:r w:rsidRPr="005E54AE">
        <w:t>,</w:t>
      </w:r>
    </w:p>
    <w:p w:rsidR="00F50B43" w:rsidRPr="005E54AE" w:rsidP="00F50B43" w14:paraId="6E4B9CA3" w14:textId="77777777">
      <w:pPr>
        <w:pStyle w:val="NormalHanging12a"/>
      </w:pPr>
      <w:r w:rsidRPr="005E54AE">
        <w:t>–</w:t>
      </w:r>
      <w:r w:rsidRPr="005E54AE">
        <w:tab/>
        <w:t>uzimajući u obzir Ugovor o funkcioniranju Europske unije (UFEU), a posebno njegove članke 168. i 191.,</w:t>
      </w:r>
    </w:p>
    <w:p w:rsidR="00F50B43" w:rsidRPr="005E54AE" w:rsidP="00F50B43" w14:paraId="65C50EA0" w14:textId="77777777">
      <w:pPr>
        <w:pStyle w:val="NormalHanging12a"/>
      </w:pPr>
      <w:r w:rsidRPr="005E54AE">
        <w:t>–</w:t>
      </w:r>
      <w:r w:rsidRPr="005E54AE">
        <w:tab/>
        <w:t>uzimajući u obzir članak 35. Povelje Europske unije o temeljnim pravima,</w:t>
      </w:r>
    </w:p>
    <w:p w:rsidR="00F50B43" w:rsidRPr="005E54AE" w:rsidP="00F50B43" w14:paraId="53CF023D" w14:textId="77777777">
      <w:pPr>
        <w:pStyle w:val="NormalHanging12a"/>
      </w:pPr>
      <w:r w:rsidRPr="005E54AE">
        <w:t>–</w:t>
      </w:r>
      <w:r w:rsidRPr="005E54AE">
        <w:tab/>
        <w:t>uzimajući u obzir Direktivu (EU) 2024/3019 Europskog parlamenta i Vijeća od 27. studenoga 2024. o pročišćavanju komunalnih otpadnih voda</w:t>
      </w:r>
      <w:r>
        <w:rPr>
          <w:rStyle w:val="FootnoteReference"/>
          <w:color w:val="000000"/>
        </w:rPr>
        <w:footnoteReference w:id="2"/>
      </w:r>
      <w:r w:rsidRPr="005E54AE">
        <w:t xml:space="preserve"> (revidirana Direktiva o pročišćavanju komunalnih otpadnih voda), koja je stupila na snagu 1. siječnja 2025.,</w:t>
      </w:r>
    </w:p>
    <w:p w:rsidR="00F50B43" w:rsidRPr="005E54AE" w:rsidP="00F50B43" w14:paraId="4795D080" w14:textId="77777777">
      <w:pPr>
        <w:pStyle w:val="NormalHanging12a"/>
      </w:pPr>
      <w:r w:rsidRPr="005E54AE">
        <w:t>–</w:t>
      </w:r>
      <w:r w:rsidRPr="005E54AE">
        <w:tab/>
        <w:t>uzimajući u obzir Direktivu 2000/60/EZ Europskog parlamenta i Vijeća od 23. listopada 2000. o uspostavi okvira za djelovanje Zajednice u području vodne politike</w:t>
      </w:r>
      <w:r>
        <w:rPr>
          <w:rStyle w:val="FootnoteReference"/>
          <w:color w:val="000000"/>
        </w:rPr>
        <w:footnoteReference w:id="3"/>
      </w:r>
      <w:r w:rsidRPr="005E54AE">
        <w:t xml:space="preserve"> (Okvirna Direktiva o vodama),</w:t>
      </w:r>
    </w:p>
    <w:p w:rsidR="00F50B43" w:rsidRPr="005E54AE" w:rsidP="00F50B43" w14:paraId="596C9F62" w14:textId="687635E3">
      <w:pPr>
        <w:pStyle w:val="NormalHanging12a"/>
      </w:pPr>
      <w:r w:rsidRPr="005E54AE">
        <w:t>–</w:t>
      </w:r>
      <w:r w:rsidRPr="005E54AE">
        <w:tab/>
        <w:t>uzimajući u obzir Direktivu 2006/118/EZ Europskog parlamenta i Vijeća od 12. prosinca 2006. o zaštiti podzemnih voda od onečišćenja i pogoršanja stanja</w:t>
      </w:r>
      <w:r>
        <w:rPr>
          <w:rStyle w:val="FootnoteReference"/>
        </w:rPr>
        <w:footnoteReference w:id="4"/>
      </w:r>
      <w:r w:rsidRPr="005E54AE">
        <w:t xml:space="preserve"> i Direktivu 2008/105/EZ Europskog parlamenta i Vijeća od 16. prosinca 2008. o standardima kvalitete okoliša u području vodne politike i o izmjeni i kasnijem stavljanju izvan snage Direktiva Vijeća 82/176/EEZ, 83/513/EEZ, 84/156/EEZ, 84/491/EEZ, 86/280</w:t>
      </w:r>
      <w:r w:rsidR="00586E9F">
        <w:t>/</w:t>
      </w:r>
      <w:r w:rsidRPr="005E54AE">
        <w:t>EEZ i izmjeni Direktive 2000/60/EZ Europskog parlamenta i Vijeća</w:t>
      </w:r>
      <w:r>
        <w:rPr>
          <w:rStyle w:val="FootnoteReference"/>
        </w:rPr>
        <w:footnoteReference w:id="5"/>
      </w:r>
      <w:r w:rsidRPr="005E54AE">
        <w:t>,</w:t>
      </w:r>
    </w:p>
    <w:p w:rsidR="00F50B43" w:rsidRPr="005E54AE" w:rsidP="00F50B43" w14:paraId="372B471F" w14:textId="77777777">
      <w:pPr>
        <w:pStyle w:val="NormalHanging12a"/>
      </w:pPr>
      <w:r w:rsidRPr="005E54AE">
        <w:t>–</w:t>
      </w:r>
      <w:r w:rsidRPr="005E54AE">
        <w:tab/>
        <w:t>uzimajući u obzir Odluku (EU) 2022/591 Europskog parlamenta i Vijeća od 6. travnja 2022. o Općem programu djelovanja Unije za okoliš do 2030.</w:t>
      </w:r>
      <w:r>
        <w:rPr>
          <w:rStyle w:val="FootnoteReference"/>
        </w:rPr>
        <w:footnoteReference w:id="6"/>
      </w:r>
      <w:r w:rsidRPr="005E54AE">
        <w:t>,</w:t>
      </w:r>
    </w:p>
    <w:p w:rsidR="00F50B43" w:rsidRPr="005E54AE" w:rsidP="00F50B43" w14:paraId="125445E8" w14:textId="77777777">
      <w:pPr>
        <w:pStyle w:val="NormalHanging12a"/>
      </w:pPr>
      <w:r w:rsidRPr="005E54AE">
        <w:t>–</w:t>
      </w:r>
      <w:r w:rsidRPr="005E54AE">
        <w:tab/>
        <w:t>uzimajući u obzir svoju Rezoluciju od 17. rujna 2020. naslovljenu „Nestašica lijekova –</w:t>
      </w:r>
      <w:r w:rsidRPr="005E54AE">
        <w:tab/>
        <w:t>rješenja za novonastali problem”</w:t>
      </w:r>
      <w:r>
        <w:rPr>
          <w:rStyle w:val="FootnoteReference"/>
          <w:color w:val="000000"/>
        </w:rPr>
        <w:footnoteReference w:id="7"/>
      </w:r>
      <w:r w:rsidRPr="005E54AE">
        <w:t>,</w:t>
      </w:r>
    </w:p>
    <w:p w:rsidR="00F50B43" w:rsidRPr="005E54AE" w:rsidP="00F50B43" w14:paraId="460AA05C" w14:textId="77777777">
      <w:pPr>
        <w:pStyle w:val="NormalHanging12a"/>
      </w:pPr>
      <w:r w:rsidRPr="005E54AE">
        <w:t>–</w:t>
      </w:r>
      <w:r w:rsidRPr="005E54AE">
        <w:tab/>
        <w:t>uzimajući u obzir radni dokument službi Komisije od 26. listopada 2022. o procjeni utjecaja priloženoj Prijedlogu direktive Europskog parlamenta i Vijeća o pročišćavanju komunalnih otpadnih voda (SWD(2022)0541),</w:t>
      </w:r>
    </w:p>
    <w:p w:rsidR="00F50B43" w:rsidRPr="005E54AE" w:rsidP="00F50B43" w14:paraId="20B6C36A" w14:textId="77777777">
      <w:pPr>
        <w:pStyle w:val="NormalHanging12a"/>
      </w:pPr>
      <w:r w:rsidRPr="005E54AE">
        <w:t>–</w:t>
      </w:r>
      <w:r w:rsidRPr="005E54AE">
        <w:tab/>
        <w:t>uzimajući u obzir komunikaciju Komisije od 12. svibnja 2021. naslovljenu „Put prema zdravom planetu za sve – Akcijski plan EU-a: Prema postizanju nulte stope onečišćenja zraka, vode i tla” (COM(2021)0400),</w:t>
      </w:r>
    </w:p>
    <w:p w:rsidR="00F50B43" w:rsidRPr="005E54AE" w:rsidP="00F50B43" w14:paraId="1E7372C1" w14:textId="77777777">
      <w:pPr>
        <w:pStyle w:val="NormalHanging12a"/>
      </w:pPr>
      <w:r w:rsidRPr="005E54AE">
        <w:t>–</w:t>
      </w:r>
      <w:r w:rsidRPr="005E54AE">
        <w:tab/>
        <w:t>uzimajući u obzir izvješće Zajedničkog istraživačkog centra od 10. prosinca 2025. naslovljeno „</w:t>
      </w:r>
      <w:r w:rsidRPr="005E54AE">
        <w:t>Updated</w:t>
      </w:r>
      <w:r w:rsidRPr="005E54AE">
        <w:t xml:space="preserve"> </w:t>
      </w:r>
      <w:r w:rsidRPr="005E54AE">
        <w:t>estimation</w:t>
      </w:r>
      <w:r w:rsidRPr="005E54AE">
        <w:t xml:space="preserve"> </w:t>
      </w:r>
      <w:r w:rsidRPr="005E54AE">
        <w:t>of</w:t>
      </w:r>
      <w:r w:rsidRPr="005E54AE">
        <w:t xml:space="preserve"> </w:t>
      </w:r>
      <w:r w:rsidRPr="005E54AE">
        <w:t>the</w:t>
      </w:r>
      <w:r w:rsidRPr="005E54AE">
        <w:t xml:space="preserve"> </w:t>
      </w:r>
      <w:r w:rsidRPr="005E54AE">
        <w:t>costs</w:t>
      </w:r>
      <w:r w:rsidRPr="005E54AE">
        <w:t xml:space="preserve"> </w:t>
      </w:r>
      <w:r w:rsidRPr="005E54AE">
        <w:t>of</w:t>
      </w:r>
      <w:r w:rsidRPr="005E54AE">
        <w:t xml:space="preserve"> </w:t>
      </w:r>
      <w:r w:rsidRPr="005E54AE">
        <w:t>quaternary</w:t>
      </w:r>
      <w:r w:rsidRPr="005E54AE">
        <w:t xml:space="preserve"> </w:t>
      </w:r>
      <w:r w:rsidRPr="005E54AE">
        <w:t>wastewater</w:t>
      </w:r>
      <w:r w:rsidRPr="005E54AE">
        <w:t xml:space="preserve"> </w:t>
      </w:r>
      <w:r w:rsidRPr="005E54AE">
        <w:t>treatment</w:t>
      </w:r>
      <w:r w:rsidRPr="005E54AE">
        <w:t xml:space="preserve"> </w:t>
      </w:r>
      <w:r w:rsidRPr="005E54AE">
        <w:t>in</w:t>
      </w:r>
      <w:r w:rsidRPr="005E54AE">
        <w:t xml:space="preserve"> </w:t>
      </w:r>
      <w:r w:rsidRPr="005E54AE">
        <w:t>the</w:t>
      </w:r>
      <w:r w:rsidRPr="005E54AE">
        <w:t xml:space="preserve"> EU – A </w:t>
      </w:r>
      <w:r w:rsidRPr="005E54AE">
        <w:t>comparison</w:t>
      </w:r>
      <w:r w:rsidRPr="005E54AE">
        <w:t xml:space="preserve"> </w:t>
      </w:r>
      <w:r w:rsidRPr="005E54AE">
        <w:t>of</w:t>
      </w:r>
      <w:r w:rsidRPr="005E54AE">
        <w:t xml:space="preserve"> </w:t>
      </w:r>
      <w:r w:rsidRPr="005E54AE">
        <w:t>cost</w:t>
      </w:r>
      <w:r w:rsidRPr="005E54AE">
        <w:t xml:space="preserve"> </w:t>
      </w:r>
      <w:r w:rsidRPr="005E54AE">
        <w:t>models</w:t>
      </w:r>
      <w:r w:rsidRPr="005E54AE">
        <w:t>” (Ažurirana procjena troškova kvartarnog pročišćavanja otpadnih voda u EU-u – usporedba troškovnih modela),</w:t>
      </w:r>
    </w:p>
    <w:p w:rsidR="00F50B43" w:rsidRPr="005E54AE" w:rsidP="00F50B43" w14:paraId="4E062743" w14:textId="77777777">
      <w:pPr>
        <w:pStyle w:val="NormalHanging12a"/>
      </w:pPr>
      <w:r w:rsidRPr="005E54AE">
        <w:t>–</w:t>
      </w:r>
      <w:r w:rsidRPr="005E54AE">
        <w:tab/>
        <w:t>uzimajući u obzir rad na Aktu o kritičnim lijekovima koji je u tijeku,</w:t>
      </w:r>
    </w:p>
    <w:p w:rsidR="00F50B43" w:rsidRPr="005E54AE" w:rsidP="00F50B43" w14:paraId="5D1D0450" w14:textId="77777777">
      <w:pPr>
        <w:pStyle w:val="NormalHanging12a"/>
      </w:pPr>
      <w:r w:rsidRPr="005E54AE">
        <w:t>–</w:t>
      </w:r>
      <w:r w:rsidRPr="005E54AE">
        <w:tab/>
        <w:t>uzimajući u obzir članak 142. stavak 5. i članak 136. stavak 4. Poslovnika,</w:t>
      </w:r>
    </w:p>
    <w:p w:rsidR="00F50B43" w:rsidRPr="005E54AE" w:rsidP="00F50B43" w14:paraId="3D3B5C23" w14:textId="77777777">
      <w:pPr>
        <w:pStyle w:val="NormalHanging12a"/>
      </w:pPr>
      <w:r w:rsidRPr="005E54AE">
        <w:t>A.</w:t>
      </w:r>
      <w:r w:rsidRPr="005E54AE">
        <w:tab/>
        <w:t>budući da se člankom 191. UFEU-a utvrđuje da je politika EU-a u području okoliša usmjerena prema postizanju visokog stupnja zaštite, uzimajući u obzir različitost prilika u različitim regijama Unije te da se temelji na načelu opreznosti i na načelu preventivnog djelovanja, načelu da se šteta nanesena okolišu popravlja ponajprije na samom izvoru te na načelu da onečišćivač plaća;</w:t>
      </w:r>
    </w:p>
    <w:p w:rsidR="00F50B43" w:rsidRPr="005E54AE" w:rsidP="00F50B43" w14:paraId="294A73D9" w14:textId="77777777">
      <w:pPr>
        <w:pStyle w:val="NormalHanging12a"/>
      </w:pPr>
      <w:r w:rsidRPr="005E54AE">
        <w:t>B.</w:t>
      </w:r>
      <w:r w:rsidRPr="005E54AE">
        <w:tab/>
        <w:t>budući da je voda presudna za život i čovječanstvo; budući da EU mora učinkovito upravljati postojećim i budućim vodnim resursima i djelotvorno odgovoriti na trenutačne izazove povezane s vodom jer oni izravno utječu na zdravlje ljudi, okoliš i njegove ekosustave te na strateške socioekonomske aktivnosti;</w:t>
      </w:r>
    </w:p>
    <w:p w:rsidR="00F50B43" w:rsidRPr="005E54AE" w:rsidP="00F50B43" w14:paraId="284B0A19" w14:textId="77777777">
      <w:pPr>
        <w:pStyle w:val="NormalHanging12a"/>
      </w:pPr>
      <w:r w:rsidRPr="005E54AE">
        <w:t>C.</w:t>
      </w:r>
      <w:r w:rsidRPr="005E54AE">
        <w:tab/>
        <w:t xml:space="preserve">budući da </w:t>
      </w:r>
      <w:r w:rsidRPr="005E54AE">
        <w:t>mikroonečišćujuće</w:t>
      </w:r>
      <w:r w:rsidRPr="005E54AE">
        <w:t xml:space="preserve"> tvari, koje se nalaze u svim vrstama vodnih tijela i koje su otkrivene u svim vodama EU-a, imaju štetne učinke na zdravlje ljudi, uključujući karcinogene učinke i učinke endokrine </w:t>
      </w:r>
      <w:r w:rsidRPr="005E54AE">
        <w:t>disrupcije</w:t>
      </w:r>
      <w:r w:rsidRPr="005E54AE">
        <w:t xml:space="preserve">, te na vodeni okoliš, čak i u niskim koncentracijama, te doprinose širenju antimikrobne otpornosti; budući da je Svjetska zdravstvena organizacija proglasila antimikrobnu otpornost hitnom globalnom zdravstvenom krizom za koju se predviđa da će do 2050. diljem svijeta uzrokovati više smrtnih slučajeva nego rak; budući da mnoge </w:t>
      </w:r>
      <w:r w:rsidRPr="005E54AE">
        <w:t>mikroonečišćujuće</w:t>
      </w:r>
      <w:r w:rsidRPr="005E54AE">
        <w:t xml:space="preserve"> tvari iz lijekova završe u vodi prilikom uporabe lijekova, a ne prilikom njihove proizvodnje ili odlaganja;</w:t>
      </w:r>
    </w:p>
    <w:p w:rsidR="00F50B43" w:rsidRPr="005E54AE" w:rsidP="00F50B43" w14:paraId="61CF38BF" w14:textId="77777777">
      <w:pPr>
        <w:pStyle w:val="NormalHanging12a"/>
      </w:pPr>
      <w:r w:rsidRPr="005E54AE">
        <w:t>D.</w:t>
      </w:r>
      <w:r w:rsidRPr="005E54AE">
        <w:tab/>
        <w:t xml:space="preserve">budući da onečišćenje vode, uključujući </w:t>
      </w:r>
      <w:r w:rsidRPr="005E54AE">
        <w:t>mikroonečišćujućim</w:t>
      </w:r>
      <w:r w:rsidRPr="005E54AE">
        <w:t xml:space="preserve"> tvarima, predstavlja sve veću i ozbiljnu prijetnju za ekosustave, biološku raznolikost te zdravlje ljudi i životinja i da trenutačno Uniju košta više od 75 milijardi EUR godišnje; budući da su komunalne otpadne vode jedan od glavnih izvora onečišćenja vode ako se pravilno ne prikupljaju i ne pročišćavaju; budući da je potrebno ukloniti </w:t>
      </w:r>
      <w:r w:rsidRPr="005E54AE">
        <w:t>mikroonečišćujuće</w:t>
      </w:r>
      <w:r w:rsidRPr="005E54AE">
        <w:t xml:space="preserve"> tvari iz kontaminiranih otpadnih voda kako bi se izbjegli njihovi opasni učinci na zdravlje i okoliš;</w:t>
      </w:r>
    </w:p>
    <w:p w:rsidR="00F50B43" w:rsidRPr="005E54AE" w:rsidP="00F50B43" w14:paraId="65C0E528" w14:textId="77777777">
      <w:pPr>
        <w:pStyle w:val="NormalHanging12a"/>
      </w:pPr>
      <w:r w:rsidRPr="005E54AE">
        <w:t>E.</w:t>
      </w:r>
      <w:r w:rsidRPr="005E54AE">
        <w:tab/>
        <w:t xml:space="preserve">budući da se mnoge općine i zajednice u EU-u oslanjaju na filtriranje pitke vode na nasipu, zbog čega opskrba vodom postaje sve više onečišćena </w:t>
      </w:r>
      <w:r w:rsidRPr="005E54AE">
        <w:t>mikroonečišćujućim</w:t>
      </w:r>
      <w:r w:rsidRPr="005E54AE">
        <w:t xml:space="preserve"> tvarima;</w:t>
      </w:r>
    </w:p>
    <w:p w:rsidR="00F50B43" w:rsidRPr="005E54AE" w:rsidP="00F50B43" w14:paraId="34240D58" w14:textId="77777777">
      <w:pPr>
        <w:pStyle w:val="NormalHanging12a"/>
      </w:pPr>
      <w:r w:rsidRPr="005E54AE">
        <w:t>F.</w:t>
      </w:r>
      <w:r w:rsidRPr="005E54AE">
        <w:tab/>
        <w:t>budući da troškove primarnog, sekundarnog i tercijarnog pročišćavanja općenito snose javna tijela novcem poreznih obveznika ili putem naknada za vodu; budući da je primjena načela „onečišćivač plaća” iz članka 191. UFEU-a na pročišćavanje vode prvi put uvedena u revidiranoj Direktivi o pročišćavanju komunalnih otpadnih voda;</w:t>
      </w:r>
    </w:p>
    <w:p w:rsidR="00F50B43" w:rsidRPr="005E54AE" w:rsidP="00F50B43" w14:paraId="6620AC54" w14:textId="77777777">
      <w:pPr>
        <w:pStyle w:val="NormalHanging12a"/>
      </w:pPr>
      <w:r w:rsidRPr="005E54AE">
        <w:t>G.</w:t>
      </w:r>
      <w:r w:rsidRPr="005E54AE">
        <w:tab/>
        <w:t xml:space="preserve">budući da se Direktivom o pročišćavanju komunalnih otpadnih voda utvrđuje pravni okvir za prikupljanje, pročišćavanje i ispuštanje komunalnih otpadnih voda te ispuštanje biorazgradivih otpadnih voda iz određenih industrijskih sektora, budući da je cilj revidirane Direktive o pročišćavanju komunalnih otpadnih voda smanjiti onečišćenje vode, uključujući </w:t>
      </w:r>
      <w:r w:rsidRPr="005E54AE">
        <w:t>mikroonečišćujućim</w:t>
      </w:r>
      <w:r w:rsidRPr="005E54AE">
        <w:t xml:space="preserve"> tvarima, i zaštititi kvalitetu vode diljem EU-a; budući da se </w:t>
      </w:r>
      <w:r w:rsidRPr="005E54AE">
        <w:t>mikroonečišćujuće</w:t>
      </w:r>
      <w:r w:rsidRPr="005E54AE">
        <w:t xml:space="preserve"> tvari u otpadnim vodama učinkovito ne uklanjaju konvencionalnim pročišćavanjem otpadnih voda; budući da se revidiranom Direktivom uvodi obveza kvartarnog pročišćavanja otpadnih voda, čime se uklanjaju </w:t>
      </w:r>
      <w:r w:rsidRPr="005E54AE">
        <w:t>mikroonečišćujuće</w:t>
      </w:r>
      <w:r w:rsidRPr="005E54AE">
        <w:t xml:space="preserve"> tvari i tako osigurava visoka razina zaštite zdravlja i okoliša, u skladu s pristupom „Jedno zdravlje”; budući da se revidiranom Direktivom o pročišćavanju komunalnih otpadnih voda zahtijeva sustavna nadogradnja na kvartarno pročišćavanje u velikim postrojenjima za pročišćavanje koja opslužuju više od 150 000 osoba (tj. u velikim gradovima jer su to žarišne točke ispuštanja </w:t>
      </w:r>
      <w:r w:rsidRPr="005E54AE">
        <w:t>mikroonečišćujućih</w:t>
      </w:r>
      <w:r w:rsidRPr="005E54AE">
        <w:t xml:space="preserve"> tvari) te se zahtijeva nadogradnja manjih postrojenja za pročišćavanje samo ako se nalaze u rizičnim područjima;</w:t>
      </w:r>
    </w:p>
    <w:p w:rsidR="00F50B43" w:rsidRPr="005E54AE" w:rsidP="00F50B43" w14:paraId="0E7FF7AC" w14:textId="77777777">
      <w:pPr>
        <w:pStyle w:val="NormalHanging12a"/>
      </w:pPr>
      <w:r w:rsidRPr="005E54AE">
        <w:t>H.</w:t>
      </w:r>
      <w:r w:rsidRPr="005E54AE">
        <w:tab/>
        <w:t xml:space="preserve">budući da je provedba kvartarnog pročišćavanja postupna, počevši od prosinca 2033., kada će trebati nadograditi samo 20 % većih postrojenja i 10 % manjih postrojenja, a da će se potpuna provedba postići do prosinca 2045.; budući da je potrebno uvesti kvartarno pročišćavanje kao dodatno i napredno pročišćavanje komunalnih otpadnih voda radi uklanjanja najšireg mogućeg spektra </w:t>
      </w:r>
      <w:r w:rsidRPr="005E54AE">
        <w:t>mikroonečišćujućih</w:t>
      </w:r>
      <w:r w:rsidRPr="005E54AE">
        <w:t xml:space="preserve"> tvari kako bi se smanjile te onečišćujuće tvari i zaštitili javno zdravlje i okoliš; budući da uvođenje kvartarnog pročišćavanja predstavlja najskuplju komponentu Direktive;</w:t>
      </w:r>
    </w:p>
    <w:p w:rsidR="00F50B43" w:rsidRPr="005E54AE" w:rsidP="00F50B43" w14:paraId="5E4D3D33" w14:textId="77777777">
      <w:pPr>
        <w:pStyle w:val="NormalHanging12a"/>
      </w:pPr>
      <w:r w:rsidRPr="005E54AE">
        <w:t>I.</w:t>
      </w:r>
      <w:r w:rsidRPr="005E54AE">
        <w:tab/>
        <w:t>budući da je načelo „onečišćivač plaća” pravno obvezujuće načelo sadržano u članku 191. UFEU-a i da mu je cilj osigurati da oni koji su odgovorni za štetu u okolišu snose troškove sprečavanja, kontrole i otklanjanja tog onečišćenja, a ne porezni obveznici ili šire društvo;</w:t>
      </w:r>
    </w:p>
    <w:p w:rsidR="00F50B43" w:rsidRPr="005E54AE" w:rsidP="00F50B43" w14:paraId="5431C4D0" w14:textId="77777777">
      <w:pPr>
        <w:pStyle w:val="NormalHanging12a"/>
      </w:pPr>
      <w:r w:rsidRPr="005E54AE">
        <w:t>J.</w:t>
      </w:r>
      <w:r w:rsidRPr="005E54AE">
        <w:tab/>
      </w:r>
      <w:bookmarkStart w:id="7" w:name="_Hlk227220226"/>
      <w:r w:rsidRPr="005E54AE">
        <w:t>budući da je cilj proširene odgovornosti proizvođača internalizacija vanjskih učinaka na okoliš i da se njome potiče proizvođače da uzmu u obzir okolišne aspekte tijekom cijelog životnog ciklusa proizvoda, od faze osmišljavanja do kraja životnog vijeka, uz učinkovitu provedbu načela „onečišćivač plaća”; budući da je većina postojećih programa proširene odgovornosti proizvođača razvijena u kontekstu tokova otpada iz točkastih izvora koje je moguće identificirati, u kojima proizvođači mogu učinkovito organizirati, pratiti i kontrolirati sustave prikupljanja i obrade;</w:t>
      </w:r>
      <w:bookmarkEnd w:id="7"/>
    </w:p>
    <w:p w:rsidR="00F50B43" w:rsidRPr="005E54AE" w:rsidP="00F50B43" w14:paraId="14584000" w14:textId="77777777">
      <w:pPr>
        <w:pStyle w:val="NormalHanging12a"/>
      </w:pPr>
      <w:r w:rsidRPr="005E54AE">
        <w:t>K.</w:t>
      </w:r>
      <w:r w:rsidRPr="005E54AE">
        <w:tab/>
        <w:t>budući da se lijekovi razvijaju i odobravaju s ciljem liječenja pacijenata; budući da su procjene rizika za okoliš nužan kriterij za odobravanje lijekova, ali rizik za okoliš nije dio procjene omjera koristi i rizika pri odobravanju lijekova;</w:t>
      </w:r>
    </w:p>
    <w:p w:rsidR="00F50B43" w:rsidRPr="005E54AE" w:rsidP="00F50B43" w14:paraId="189BEAB6" w14:textId="77777777">
      <w:pPr>
        <w:pStyle w:val="NormalHanging12a"/>
      </w:pPr>
      <w:r w:rsidRPr="005E54AE">
        <w:t>L.</w:t>
      </w:r>
      <w:r w:rsidRPr="005E54AE">
        <w:tab/>
        <w:t>budući da podaci i analize Komisije i Zajedničkog istraživačkog centra pokazuju da su lijekovi i kozmetika izvor najvećeg udjela potencijalno štetnih i teško biorazgradivih tvari pronađenih u otpadnim vodama; budući da određeni nositelji odobrenja za stavljanje u promet izvješćuju da se toksična opterećenja koja se pripisuju određenim proizvodima u tim analizama razlikuju od podataka iz procjena rizika lijekova za okoliš;</w:t>
      </w:r>
    </w:p>
    <w:p w:rsidR="00F50B43" w:rsidP="00F50B43" w14:paraId="30881020" w14:textId="77777777">
      <w:pPr>
        <w:pStyle w:val="NormalHanging12a"/>
      </w:pPr>
      <w:r w:rsidRPr="005E54AE">
        <w:t>M.</w:t>
      </w:r>
      <w:r w:rsidRPr="005E54AE">
        <w:tab/>
        <w:t>budući da su revizijom Direktive o pročišćavanju komunalnih otpadnih voda uvedene odredbe o proširenoj odgovornosti proizvođača u skladu s načelom „onečišćivač plaća”, kojima se zahtijeva da najmanje 80 % troškova kvartarnog pročišćavanja pokriju glavni sektori za koje je utvrđeno da su odgovorni za ispuštanje onečišćujućih tvari, odnosno farmaceutska i kozmetička industrija;</w:t>
      </w:r>
    </w:p>
    <w:p w:rsidR="00015BAE" w:rsidRPr="00015BAE" w:rsidP="00F50B43" w14:paraId="4DB0A529" w14:textId="2B82397C">
      <w:pPr>
        <w:pStyle w:val="NormalHanging12a"/>
        <w:rPr>
          <w:bCs/>
          <w:iCs/>
        </w:rPr>
      </w:pPr>
      <w:r>
        <w:rPr>
          <w:bCs/>
          <w:iCs/>
        </w:rPr>
        <w:t>N</w:t>
      </w:r>
      <w:r w:rsidRPr="007F2975">
        <w:rPr>
          <w:bCs/>
          <w:iCs/>
        </w:rPr>
        <w:t>.</w:t>
      </w:r>
      <w:r w:rsidRPr="007F2975">
        <w:rPr>
          <w:bCs/>
          <w:iCs/>
        </w:rPr>
        <w:tab/>
        <w:t>budući da je uvođenje kvartarnog pročišćavanja najskuplja komponenta Direktive;</w:t>
      </w:r>
    </w:p>
    <w:p w:rsidR="00015BAE" w:rsidRPr="00015BAE" w:rsidP="00F50B43" w14:paraId="5E072B5D" w14:textId="367EB987">
      <w:pPr>
        <w:pStyle w:val="NormalHanging12a"/>
        <w:rPr>
          <w:bCs/>
          <w:iCs/>
        </w:rPr>
      </w:pPr>
      <w:r>
        <w:rPr>
          <w:bCs/>
          <w:iCs/>
        </w:rPr>
        <w:t>O</w:t>
      </w:r>
      <w:r w:rsidRPr="007F2975">
        <w:rPr>
          <w:bCs/>
          <w:iCs/>
        </w:rPr>
        <w:t>.</w:t>
      </w:r>
      <w:r w:rsidRPr="007F2975">
        <w:rPr>
          <w:bCs/>
          <w:iCs/>
        </w:rPr>
        <w:tab/>
        <w:t>budući da procjene troškova država članica znatno premašuju troškove koje je predvidjela Komisija u svojoj procjeni učinka (npr. Njemačka i Španjolska prijavile su troškove koji su nekoliko puta veći);</w:t>
      </w:r>
    </w:p>
    <w:p w:rsidR="00F50B43" w:rsidRPr="005E54AE" w:rsidP="00F50B43" w14:paraId="6EDF6474" w14:textId="5364B39D">
      <w:pPr>
        <w:pStyle w:val="NormalHanging12a"/>
      </w:pPr>
      <w:r>
        <w:t>P</w:t>
      </w:r>
      <w:r w:rsidRPr="005E54AE">
        <w:t>.</w:t>
      </w:r>
      <w:r w:rsidRPr="005E54AE">
        <w:tab/>
        <w:t xml:space="preserve">budući da je cilj proširene odgovornosti proizvođača financirati uklanjanje </w:t>
      </w:r>
      <w:r w:rsidRPr="005E54AE">
        <w:t>mikroonečišćujućih</w:t>
      </w:r>
      <w:r w:rsidRPr="005E54AE">
        <w:t xml:space="preserve"> tvari iz otpadnih voda i poticati razvoj manje toksičnih, </w:t>
      </w:r>
      <w:r w:rsidRPr="005E54AE">
        <w:t>biorazgradivijih</w:t>
      </w:r>
      <w:r w:rsidRPr="005E54AE">
        <w:t xml:space="preserve"> proizvoda koji su izuzeti iz prakse proširene odgovornosti proizvođača; budući da sustav proširene odgovornosti proizvođača potiče i nagrađuje inovacije u razvoju i upotrebi manje štetnih tvari u predmetnim sektorima;</w:t>
      </w:r>
    </w:p>
    <w:p w:rsidR="00F50B43" w:rsidRPr="005E54AE" w:rsidP="00F50B43" w14:paraId="0B1DA543" w14:textId="594B70DD">
      <w:pPr>
        <w:pStyle w:val="NormalHanging12a"/>
      </w:pPr>
      <w:r>
        <w:t>Q</w:t>
      </w:r>
      <w:r w:rsidRPr="005E54AE">
        <w:t>.</w:t>
      </w:r>
      <w:r w:rsidRPr="005E54AE">
        <w:tab/>
        <w:t>budući da je pristup sigurnim, učinkovitim i cjenovno pristupačnim lijekovima temelj sustava javnog zdravlja EU-a i da se sigurnost opskrbe lijekovima u EU-u mora zaštititi;</w:t>
      </w:r>
    </w:p>
    <w:p w:rsidR="00F50B43" w:rsidRPr="005E54AE" w:rsidP="00F50B43" w14:paraId="0B59BD35" w14:textId="3E35BE87">
      <w:pPr>
        <w:pStyle w:val="NormalHanging12a"/>
      </w:pPr>
      <w:r>
        <w:t>R</w:t>
      </w:r>
      <w:r w:rsidRPr="005E54AE">
        <w:t>.</w:t>
      </w:r>
      <w:r w:rsidRPr="005E54AE">
        <w:tab/>
        <w:t>budući da bi zbog primjene proširene odgovornosti proizvođača, prema procjeni učinka kojeg je provela Komisija i neovisnim podacima, potencijalno došlo do samo marginalnog povećanja troškova proizvoda ili smanjenja profitnih marži industrija koje stavljaju proizvode na tržište Unije i ne bi se ugrozila cjenovna pristupačnost, raspoloživost ili dostupnost tih proizvoda na tržištu EU-a;</w:t>
      </w:r>
    </w:p>
    <w:p w:rsidR="00F50B43" w:rsidP="00F50B43" w14:paraId="0CBC40C5" w14:textId="2EDB1EA1">
      <w:pPr>
        <w:pStyle w:val="NormalHanging12a"/>
      </w:pPr>
      <w:r>
        <w:t>S</w:t>
      </w:r>
      <w:r w:rsidRPr="005E54AE">
        <w:t>.</w:t>
      </w:r>
      <w:r w:rsidRPr="005E54AE">
        <w:tab/>
        <w:t>budući da procjene troškova nekih tijela država članica premašuju one navedene u procjeni učinka Komisije (npr. Njemačka i Španjolska prijavile su troškove koji su nekoliko puta veći); budući da su procjenu učinka Komisije osporili i određeni dionici, posebno u pogledu okolišnog doprinosa lijekova i kozmetike te izračuna učinaka na cijene lijekova; budući da je Zajednički istraživački centar Komisije proveo drugu studiju čija je svrha bila pojasniti i dodatno istražiti moguće troškove koje bi trebali pokriti industrijski sektori na koje se odnosi Direktiva; budući da su u toj novoj studiji u velikoj mjeri potvrđeni prethodni podaci i nalazi;</w:t>
      </w:r>
    </w:p>
    <w:p w:rsidR="00015BAE" w:rsidRPr="00015BAE" w:rsidP="00F50B43" w14:paraId="0BD49EB2" w14:textId="1620B6F5">
      <w:pPr>
        <w:pStyle w:val="NormalHanging12a"/>
        <w:rPr>
          <w:bCs/>
          <w:iCs/>
        </w:rPr>
      </w:pPr>
      <w:r>
        <w:rPr>
          <w:bCs/>
          <w:iCs/>
        </w:rPr>
        <w:t>T</w:t>
      </w:r>
      <w:r w:rsidRPr="007F2975">
        <w:rPr>
          <w:bCs/>
          <w:iCs/>
        </w:rPr>
        <w:t>.</w:t>
      </w:r>
      <w:r w:rsidRPr="007F2975">
        <w:rPr>
          <w:bCs/>
          <w:iCs/>
        </w:rPr>
        <w:tab/>
        <w:t xml:space="preserve">budući da je činjenica da je Komisija pripisala oko 92 % opterećenja </w:t>
      </w:r>
      <w:r w:rsidRPr="007F2975">
        <w:rPr>
          <w:bCs/>
          <w:iCs/>
        </w:rPr>
        <w:t>mikroonečišćujućim</w:t>
      </w:r>
      <w:r w:rsidRPr="007F2975">
        <w:rPr>
          <w:bCs/>
          <w:iCs/>
        </w:rPr>
        <w:t xml:space="preserve"> tvarima farmaceutskim i kozmetičkim proizvodima dovedena u pitanje na temelju metodoloških i znanstvenih razloga, posebno s obzirom na to da nije provedena temeljita analiza posljedica na pristup pacijenata i nacionalne proračune za zdravstvenu skrb; budući da taj propust posebno utječe na cijeli farmaceutski ekosustav, koji obuhvaća inovativne i generičke lijekove te lijekove koji nisu zaštićeni patentom, i koji je kao cjelina temelj za pristup pacijenata, sigurnost opskrbe i dugoročnu održivost europskih zdravstvenih sustava, a istodobno podupire ulaganje u istraživanje i razvoj te proizvodni otisak o kojem ovisi strateška autonomija Europe u području zdravlja;</w:t>
      </w:r>
    </w:p>
    <w:p w:rsidR="00F50B43" w:rsidRPr="005E54AE" w:rsidP="00F50B43" w14:paraId="2D0D86FB" w14:textId="2732DB4F">
      <w:pPr>
        <w:pStyle w:val="NormalHanging12a"/>
      </w:pPr>
      <w:r>
        <w:t>U</w:t>
      </w:r>
      <w:r w:rsidRPr="005E54AE">
        <w:t>.</w:t>
      </w:r>
      <w:r w:rsidRPr="005E54AE">
        <w:tab/>
        <w:t>budući da generički lijekovi čine gotovo 70 % lijekova koji se izdaju u EU-u</w:t>
      </w:r>
      <w:r>
        <w:rPr>
          <w:rStyle w:val="FootnoteReference"/>
          <w:color w:val="000000"/>
        </w:rPr>
        <w:footnoteReference w:id="8"/>
      </w:r>
      <w:r w:rsidRPr="005E54AE">
        <w:t xml:space="preserve"> i da su ključni za održivost zdravstvenog sustava; budući da proizvođači generičkih lijekova </w:t>
      </w:r>
      <w:r w:rsidRPr="005E54AE">
        <w:t>obično posluju prema strogim okvirima za određivanje cijena i prema gospodarskom modelu koji uključuje velike količine i niske marže, što ograničava njihovu sposobnost apsorpcije dodatnih regulatornih troškova, te stoga mogu biti osjetljiviji na povećanje troškova, što zahtijeva pomno praćenje provedbe Direktive;</w:t>
      </w:r>
    </w:p>
    <w:p w:rsidR="00F50B43" w:rsidRPr="005E54AE" w:rsidP="00F50B43" w14:paraId="7B00149C" w14:textId="41815BFB">
      <w:pPr>
        <w:pStyle w:val="NormalHanging12a"/>
      </w:pPr>
      <w:r>
        <w:t>V</w:t>
      </w:r>
      <w:r w:rsidRPr="005E54AE">
        <w:t>.</w:t>
      </w:r>
      <w:r w:rsidRPr="005E54AE">
        <w:tab/>
        <w:t>budući da se generički lijekovi temelje na istom aktivnom sastojku kao i referentni lijek, što proizvođačima generičkih lijekova otežava rješavanje problema onečišćenja na izvoru;</w:t>
      </w:r>
    </w:p>
    <w:p w:rsidR="00F50B43" w:rsidRPr="005E54AE" w:rsidP="00F50B43" w14:paraId="4D23A52C" w14:textId="1AB27A56">
      <w:pPr>
        <w:pStyle w:val="NormalHanging12a"/>
      </w:pPr>
      <w:r>
        <w:t>W</w:t>
      </w:r>
      <w:r w:rsidRPr="005E54AE">
        <w:t>.</w:t>
      </w:r>
      <w:r w:rsidRPr="005E54AE">
        <w:tab/>
        <w:t>budući da se posljednjih godina nestašica lijekova u EU-u pogoršala i da predstavlja rizik za skrb o pacijentima; budući da je EU i dalje u velikoj mjeri ovisan o trećim zemljama kad je riječ o aktivnim farmaceutskim sastojcima; budući da EU poduzima korake za rješavanje problema nestašice lijekova i sigurnosti opskrbe, među ostalim revidiranim općim zakonodavstvom o lijekovima i Aktom o kritičnim lijekovima;</w:t>
      </w:r>
    </w:p>
    <w:p w:rsidR="00F50B43" w:rsidRPr="005E54AE" w:rsidP="00F50B43" w14:paraId="6B84769A" w14:textId="4C0BFA07">
      <w:pPr>
        <w:pStyle w:val="NormalHanging12a"/>
      </w:pPr>
      <w:r>
        <w:t>X</w:t>
      </w:r>
      <w:r w:rsidRPr="005E54AE">
        <w:t>.</w:t>
      </w:r>
      <w:r w:rsidRPr="005E54AE">
        <w:tab/>
        <w:t>budući da se revidiranom Direktivom o pročišćavanju komunalnih otpadnih voda državama članicama omogućuje fleksibilnost u osmišljavanju programa proširene odgovornosti proizvođača i uspostavljanju metodologija za izračun doprinosa, čime im se omogućuje da osmisle programe proširene odgovornosti proizvođača na način kojim se osigurava proporcionalnost i izbjegavaju neželjene posljedice, uključujući rizike za opskrbu lijekovima, a time se postiže ravnoteža između ciljeva javnog zdravlja i odgovornosti za okoliš;</w:t>
      </w:r>
    </w:p>
    <w:p w:rsidR="00F50B43" w:rsidRPr="005E54AE" w:rsidP="00F50B43" w14:paraId="53C6E82E" w14:textId="0283AEA5">
      <w:pPr>
        <w:pStyle w:val="NormalHanging12a"/>
      </w:pPr>
      <w:r>
        <w:t>Y</w:t>
      </w:r>
      <w:r w:rsidRPr="005E54AE">
        <w:t>.</w:t>
      </w:r>
      <w:r w:rsidRPr="005E54AE">
        <w:tab/>
        <w:t xml:space="preserve">budući da su prema članku 10. revidirane Direktive o pročišćavanju komunalnih otpadnih voda okviri za praćenje i provedbu obvezni te moraju </w:t>
      </w:r>
      <w:bookmarkStart w:id="8" w:name="_Hlk226712466"/>
      <w:r w:rsidRPr="005E54AE">
        <w:t>zajamčiti da se propisno nadziru učinci Direktive, među ostalim na cijene lijekova</w:t>
      </w:r>
      <w:bookmarkEnd w:id="8"/>
      <w:r w:rsidRPr="005E54AE">
        <w:t>;</w:t>
      </w:r>
    </w:p>
    <w:p w:rsidR="00F50B43" w:rsidRPr="005E54AE" w:rsidP="00F50B43" w14:paraId="10C61ED4" w14:textId="10CFAA17">
      <w:pPr>
        <w:pStyle w:val="NormalHanging12a"/>
      </w:pPr>
      <w:r>
        <w:t>Z</w:t>
      </w:r>
      <w:r w:rsidRPr="005E54AE">
        <w:t>.</w:t>
      </w:r>
      <w:r w:rsidRPr="005E54AE">
        <w:tab/>
        <w:t xml:space="preserve">budući da se u uvodnoj izjavi 20. revidirane Direktive o pročišćavanju komunalnih otpadnih voda potvrđuje da se Direktivom već </w:t>
      </w:r>
      <w:bookmarkStart w:id="9" w:name="_Hlk226712417"/>
      <w:r w:rsidRPr="005E54AE">
        <w:t xml:space="preserve">predviđa redovita evaluacija na temelju podataka o praćenju i znanstvenih dokaza, </w:t>
      </w:r>
      <w:bookmarkEnd w:id="9"/>
      <w:r w:rsidRPr="005E54AE">
        <w:t>uključujući mogućnost ažuriranja područja primjene sustava prema potrebi, čime se pruža dostatna fleksibilnost unutar postojećeg pravnog okvira bez potrebe za ponovnim razmatranjem Direktive;</w:t>
      </w:r>
    </w:p>
    <w:p w:rsidR="00F50B43" w:rsidRPr="005E54AE" w:rsidP="00F50B43" w14:paraId="1B9976FF" w14:textId="09BCE60A">
      <w:pPr>
        <w:pStyle w:val="NormalHanging12a"/>
      </w:pPr>
      <w:r>
        <w:t>AA</w:t>
      </w:r>
      <w:r w:rsidRPr="005E54AE">
        <w:t>.</w:t>
      </w:r>
      <w:r w:rsidRPr="005E54AE">
        <w:tab/>
        <w:t>budući da se revidiranom Direktivom o pročišćavanju komunalnih otpadnih voda od Komisije zahtijeva da provede sveobuhvatnu evaluaciju do kraja 2033. i ponovno do kraja 2040., čime se pruža prilika za razmatranje učinaka Direktive i, prema potrebi, predlaganje prilagodbi;</w:t>
      </w:r>
    </w:p>
    <w:p w:rsidR="00F50B43" w:rsidRPr="005E54AE" w:rsidP="00F50B43" w14:paraId="6976CF27" w14:textId="2ED1C229">
      <w:pPr>
        <w:pStyle w:val="NormalHanging12a"/>
      </w:pPr>
      <w:r>
        <w:t>AB</w:t>
      </w:r>
      <w:r w:rsidRPr="005E54AE">
        <w:t>.</w:t>
      </w:r>
      <w:r w:rsidRPr="005E54AE">
        <w:tab/>
        <w:t xml:space="preserve">budući da Komisija procjenjuje da bi čak i u scenariju potpunog prijenosa troškova učinak na cijene lijekova do 2045. iznosio od 2,64 EUR do 3,20 EUR godišnje po osobi; tu je procjenu, u kojoj je uzet u obzir konačni tekst koji su donijeli </w:t>
      </w:r>
      <w:r w:rsidRPr="005E54AE">
        <w:t>suzakonodavci</w:t>
      </w:r>
      <w:r w:rsidRPr="005E54AE">
        <w:t>, potvrdio i Zajednički istraživački centar u prosincu 2025.;</w:t>
      </w:r>
    </w:p>
    <w:p w:rsidR="00F50B43" w:rsidRPr="005E54AE" w:rsidP="00F50B43" w14:paraId="0DF6060E" w14:textId="40125F09">
      <w:pPr>
        <w:pStyle w:val="NormalHanging12a"/>
      </w:pPr>
      <w:r>
        <w:t>AC</w:t>
      </w:r>
      <w:r w:rsidRPr="005E54AE">
        <w:t>.</w:t>
      </w:r>
      <w:r w:rsidRPr="005E54AE">
        <w:tab/>
        <w:t>budući da je Direktivom predviđen dugotrajan vremenski okvir za provedbu, pri čemu se određene odredbe ne primjenjuju u potpunosti do 2045., čime se omogućuje dovoljno vremena za postupnu i uravnoteženu provedbu Direktive i njezinih obveza kvartarnog pročišćavanja, odnosno pokrivenost od 20 % do 2033., 60 % do 2039. i potpunu pokrivenost do 2045.; budući da se Direktivom državama članicama daje dovoljno vremena za prilagodbu ugovornih cijena putem novih natječajnih postupaka za nabavu lijekova;</w:t>
      </w:r>
    </w:p>
    <w:p w:rsidR="00F50B43" w:rsidRPr="005E54AE" w:rsidP="00F50B43" w14:paraId="3252F65E" w14:textId="1BD4A254">
      <w:pPr>
        <w:pStyle w:val="NormalHanging12a"/>
      </w:pPr>
      <w:r w:rsidRPr="005E54AE">
        <w:t>A</w:t>
      </w:r>
      <w:r w:rsidR="00A5191B">
        <w:t>D</w:t>
      </w:r>
      <w:r w:rsidRPr="005E54AE">
        <w:t>.</w:t>
      </w:r>
      <w:r w:rsidRPr="005E54AE">
        <w:tab/>
        <w:t xml:space="preserve">budući da je, prema ocjeni učinka Komisije i studiji Zajedničkog istraživačkog centra, </w:t>
      </w:r>
      <w:r w:rsidRPr="005E54AE">
        <w:t xml:space="preserve">čak i u scenariju potpunog prijenosa troškova posljedično povećanje cijene lijekova i dalje neznatno u usporedbi s troškom nedjelovanja jer znatni dugoročni rashodi za zdravstvenu skrb zbog bolesti povezanih s izloženošću </w:t>
      </w:r>
      <w:r w:rsidRPr="005E54AE">
        <w:t>mikroonečišćujućim</w:t>
      </w:r>
      <w:r w:rsidRPr="005E54AE">
        <w:t xml:space="preserve"> tvarima, koje posebno uključuju rak, već u znatno većoj mjeri opterećuju sustave javnog zdravstva i očekuje se da će ti rashodi bitno porasti;</w:t>
      </w:r>
    </w:p>
    <w:p w:rsidR="00F50B43" w:rsidRPr="005E54AE" w:rsidP="00F50B43" w14:paraId="33C23F3A" w14:textId="476443FC">
      <w:pPr>
        <w:pStyle w:val="NormalHanging12a"/>
      </w:pPr>
      <w:r w:rsidRPr="005E54AE">
        <w:t>A</w:t>
      </w:r>
      <w:r w:rsidR="00A5191B">
        <w:t>E</w:t>
      </w:r>
      <w:r w:rsidRPr="005E54AE">
        <w:t>.</w:t>
      </w:r>
      <w:r w:rsidRPr="005E54AE">
        <w:tab/>
        <w:t>budući da se troškovi povezani s doprinosima za kvartarna pročišćavanja temelje na proizvodima koji su stavljeni na tržište, što uključuje sve proizvode, bez obzira na to jesu li proizvedeni unutar ili izvan EU-a, te da se obveza proširene odgovornosti proizvođača jednako primjenjuje na sva poduzeća koja stavljaju proizvode na tržište EU-a, čime se osiguravaju jednaki uvjeti i sprečavaju nepoštene konkurentske prednosti; budući da je stoga cilj Direktive da se njome ne stvaraju učinci narušavanja tržišta ni nepovoljni učinci za proizvođače iz EU-a i ukupnu konkurentnost sektora; budući da je vrlo važno osigurati da svi uvezeni proizvodi ispunjavaju obveze proširene odgovornosti proizvođača te da financiraju troškove tih obveza, uključujući sve male privatne pošiljke, poput internetskih narudžbi;</w:t>
      </w:r>
    </w:p>
    <w:p w:rsidR="00F50B43" w:rsidRPr="005E54AE" w:rsidP="00F50B43" w14:paraId="3E006E0F" w14:textId="6C9101B9">
      <w:pPr>
        <w:pStyle w:val="NormalHanging12a"/>
      </w:pPr>
      <w:r w:rsidRPr="005E54AE">
        <w:t>A</w:t>
      </w:r>
      <w:r w:rsidR="00A5191B">
        <w:t>F</w:t>
      </w:r>
      <w:r w:rsidRPr="005E54AE">
        <w:t>.</w:t>
      </w:r>
      <w:r w:rsidRPr="005E54AE">
        <w:tab/>
        <w:t>budući da procjena učinka Komisije pokazuje da bi se, u nedostatku proširene odgovornosti proizvođača, procijenjeni godišnji troškovi kvartarnog pročišćavanja od oko 1,186 milijardi EUR godišnje do 2040. morali pokriti prvenstveno višim naknadama za vodu i iz javnih proračuna, čime bi se troškovi onečišćenja preusmjerili s industrije na građane i porezne obveznike i nepravedno opteretila kućanstva, uključujući ona najosjetljivija;</w:t>
      </w:r>
    </w:p>
    <w:p w:rsidR="00F50B43" w:rsidRPr="005E54AE" w:rsidP="00F50B43" w14:paraId="318B150F" w14:textId="11FBF49F">
      <w:pPr>
        <w:pStyle w:val="NormalHanging12a"/>
      </w:pPr>
      <w:r w:rsidRPr="005E54AE">
        <w:t>A</w:t>
      </w:r>
      <w:r w:rsidR="00A5191B">
        <w:t>G</w:t>
      </w:r>
      <w:r w:rsidRPr="005E54AE">
        <w:t>.</w:t>
      </w:r>
      <w:r w:rsidRPr="005E54AE">
        <w:tab/>
        <w:t>budući da je provedba programa proširene odgovornosti proizvođača potrebna kako bi se osigurala pravna i financijska sigurnost, posebno za javna tijela, kako bi se osigurala potrebna ulaganja u infrastrukturu za otpadne vode radi ispunjavanja ciljeva u području okoliša i javnog zdravlja te kako bi se osiguralo da građani i potrošači vode ne snose financijske troškove onečišćenja za koje nisu odgovorni;</w:t>
      </w:r>
    </w:p>
    <w:p w:rsidR="00F50B43" w:rsidRPr="005E54AE" w:rsidP="00F50B43" w14:paraId="3FB3B199" w14:textId="09E42625">
      <w:pPr>
        <w:pStyle w:val="NormalHanging12a"/>
      </w:pPr>
      <w:r w:rsidRPr="005E54AE">
        <w:t>A</w:t>
      </w:r>
      <w:r w:rsidR="00A5191B">
        <w:t>H</w:t>
      </w:r>
      <w:r w:rsidRPr="005E54AE">
        <w:t>.</w:t>
      </w:r>
      <w:r w:rsidRPr="005E54AE">
        <w:tab/>
        <w:t>budući da se novi standardi kvalitete okoliša, posebno devet farmaceutskih standarda kvalitete okoliša u skladu s Okvirnom direktivom o vodama, ne mogu postići bez naprednog i dodatnog pročišćavanja vode;</w:t>
      </w:r>
    </w:p>
    <w:p w:rsidR="00F50B43" w:rsidRPr="005E54AE" w:rsidP="00F50B43" w14:paraId="6BB1098E" w14:textId="10981DA1">
      <w:pPr>
        <w:pStyle w:val="NormalHanging12a"/>
      </w:pPr>
      <w:r w:rsidRPr="005E54AE">
        <w:t>A</w:t>
      </w:r>
      <w:r w:rsidR="00A5191B">
        <w:t>I</w:t>
      </w:r>
      <w:r w:rsidRPr="005E54AE">
        <w:t>.</w:t>
      </w:r>
      <w:r w:rsidRPr="005E54AE">
        <w:tab/>
        <w:t>budući da se revidiranom Direktivom o pročišćavanju komunalnih otpadnih voda Komisiju obvezuje da na temelju rezultata praćenja komunalnih otpadnih voda i najnovijih znanstvenih podataka redovito ocjenjuje bi li u sustav proširene odgovornosti proizvođača trebalo uključiti druge proizvode; budući da bi Komisija trebala predstaviti prvu službenu reviziju najkasnije do 2033.;</w:t>
      </w:r>
    </w:p>
    <w:p w:rsidR="00F50B43" w:rsidRPr="005E54AE" w:rsidP="00F50B43" w14:paraId="01C877AA" w14:textId="77777777">
      <w:pPr>
        <w:pStyle w:val="NormalHanging12a"/>
      </w:pPr>
      <w:r w:rsidRPr="005E54AE">
        <w:t>1.</w:t>
      </w:r>
      <w:r w:rsidRPr="005E54AE">
        <w:tab/>
        <w:t xml:space="preserve">ponovno potvrđuje svoju snažnu potporu okolišnim ciljevima i provedbi revidirane Direktive o pročišćavanju komunalnih otpadnih voda u skladu s utvrđenim rokovima te naglašava potrebu za smanjenjem i rješavanjem problema onečišćenja vode, uključujući </w:t>
      </w:r>
      <w:r w:rsidRPr="005E54AE">
        <w:t>mikroonečišćujuće</w:t>
      </w:r>
      <w:r w:rsidRPr="005E54AE">
        <w:t xml:space="preserve"> tvari;</w:t>
      </w:r>
    </w:p>
    <w:p w:rsidR="00F50B43" w:rsidRPr="005E54AE" w:rsidP="00F50B43" w14:paraId="02A3579B" w14:textId="77777777">
      <w:pPr>
        <w:pStyle w:val="NormalHanging12a"/>
      </w:pPr>
      <w:r w:rsidRPr="005E54AE">
        <w:t>2.</w:t>
      </w:r>
      <w:r w:rsidRPr="005E54AE">
        <w:tab/>
        <w:t xml:space="preserve">ističe potrebu za boljom zaštitom zdravlja ljudi i okoliša u okviru ambicioznog pristupa rješavanju problema onečišćenja iz svih izvora, te za napretkom prema postizanju netoksičnog okoliša, uključujući posebno potrebu za rješavanjem problema onečišćenja opasnim </w:t>
      </w:r>
      <w:r w:rsidRPr="005E54AE">
        <w:t>mikroonečišćujućim</w:t>
      </w:r>
      <w:r w:rsidRPr="005E54AE">
        <w:t xml:space="preserve"> tvarima, koje predstavljaju znatnu i akutnu prijetnju zdravlju i okolišu;</w:t>
      </w:r>
    </w:p>
    <w:p w:rsidR="00F50B43" w:rsidRPr="005E54AE" w:rsidP="00F50B43" w14:paraId="4F64742E" w14:textId="77777777">
      <w:pPr>
        <w:pStyle w:val="NormalHanging12a"/>
      </w:pPr>
      <w:bookmarkStart w:id="10" w:name="_Hlk228944818"/>
      <w:bookmarkStart w:id="11" w:name="_Hlk228944896"/>
      <w:r w:rsidRPr="005E54AE">
        <w:t>3.</w:t>
      </w:r>
      <w:r w:rsidRPr="005E54AE">
        <w:tab/>
        <w:t xml:space="preserve">podsjeća da bi se politika zaštite okoliša trebala temeljiti na načelima opreznosti i </w:t>
      </w:r>
      <w:r w:rsidRPr="005E54AE">
        <w:t>preventivnog djelovanja, na načelu da bi se šteta nanesena okolišu trebala uklanjati u prvom redu na samom izvoru te na načelu da onečišćivač plaća;</w:t>
      </w:r>
      <w:bookmarkEnd w:id="10"/>
    </w:p>
    <w:p w:rsidR="00F50B43" w:rsidRPr="005E54AE" w:rsidP="00F50B43" w14:paraId="5BC9F341" w14:textId="77777777">
      <w:pPr>
        <w:pStyle w:val="NormalHanging12a"/>
      </w:pPr>
      <w:bookmarkStart w:id="12" w:name="_Hlk228944651"/>
      <w:bookmarkEnd w:id="11"/>
      <w:r w:rsidRPr="005E54AE">
        <w:t>4.</w:t>
      </w:r>
      <w:r w:rsidRPr="005E54AE">
        <w:tab/>
        <w:t>naglašava da je uvođenje kvartarnog pročišćavanja potrebno za zaštitu zdravlja i ekosustava te za borbu protiv novih rizika, kao što je antimikrobna otpornost; u tom pogledu ističe da je proširena odgovornost proizvođača najučinkovitiji alat za provedbu načela „onečišćivač plaća” kako je utvrđeno u članku 191. stavku 2. UFEU-a i za osiguravanje dostatnih sredstava za potrebno pročišćavanje komunalnih otpadnih voda;</w:t>
      </w:r>
      <w:bookmarkEnd w:id="12"/>
    </w:p>
    <w:p w:rsidR="00F50B43" w:rsidRPr="005E54AE" w:rsidP="00F50B43" w14:paraId="6D85E20C" w14:textId="77777777">
      <w:pPr>
        <w:pStyle w:val="NormalHanging12a"/>
      </w:pPr>
      <w:r w:rsidRPr="005E54AE">
        <w:t>5</w:t>
      </w:r>
      <w:r w:rsidRPr="005E54AE">
        <w:rPr>
          <w:i/>
        </w:rPr>
        <w:t>.</w:t>
      </w:r>
      <w:r w:rsidRPr="005E54AE">
        <w:rPr>
          <w:i/>
        </w:rPr>
        <w:tab/>
      </w:r>
      <w:bookmarkStart w:id="13" w:name="_Hlk227072613"/>
      <w:r w:rsidRPr="005E54AE">
        <w:t>prima na znanje razlike između procjena troškova iz procjene učinka Komisije i onih izrađenih u javnim procjenama nakon donošenja Direktive, posebno u Njemačkoj i Španjolskoj; nadalje, prima na znanje zabrinutost dionika u pogledu pouzdanosti metodologije koja se upotrebljava za pripisivanje toksičnih opterećenja i zabrinutost zbog razlika između podataka kojima se koristi Komisija i podataka o procjeni rizika za okoliš dostavljenih Europskoj agenciji za lijekove u postupku odobrenja za stavljanje u promet; smatra da bi ta pitanja trebalo temeljito riješiti kako bi se osigurala pouzdanost činjenica na kojima se temelje analize troškova kvartarnog pročišćavanja i programa proširene odgovornosti proizvođača; napominje, međutim, da različite metodologije koje se primjenjuju na studije mogu objasniti neke razlike te naglašava da je Zajednički istraživački centar nedavno ponovno potvrdio točnost procjene učinka;</w:t>
      </w:r>
      <w:bookmarkEnd w:id="13"/>
    </w:p>
    <w:p w:rsidR="00F50B43" w:rsidRPr="005E54AE" w:rsidP="00F50B43" w14:paraId="443DD39B" w14:textId="7C67F167">
      <w:pPr>
        <w:pStyle w:val="NormalHanging12a"/>
        <w:rPr>
          <w:rFonts w:eastAsia="Aptos"/>
        </w:rPr>
      </w:pPr>
      <w:bookmarkStart w:id="14" w:name="_Hlk228944475"/>
      <w:bookmarkStart w:id="15" w:name="_Hlk228944835"/>
      <w:r w:rsidRPr="005E54AE">
        <w:t>6.</w:t>
      </w:r>
      <w:r w:rsidRPr="005E54AE">
        <w:tab/>
      </w:r>
      <w:bookmarkEnd w:id="14"/>
      <w:r w:rsidRPr="005E54AE">
        <w:t xml:space="preserve">poziva Komisiju da do kraja 2026. provede novu </w:t>
      </w:r>
      <w:r w:rsidR="00831A3F">
        <w:t>procjenu učinka</w:t>
      </w:r>
      <w:r w:rsidRPr="005E54AE">
        <w:t xml:space="preserve"> u kojoj će se utvrditi popis tvari prisutnih u komunalnim otpadnim vodama, provjeriti troškovi kvartarnog pročišćavanja i pripisivanje odgovornosti relevantnim sektorima u skladu s načelom „onečišćivač plaća” te utvrditi mogući učinak na dostupnost, priuštivost i pristupačnost lijekova, posebno generičkih i kritičnih lijekova te njihovih aktivnih tvari; smatra da bi države članice preko Odbora za farmaceutiku za humanu primjenu, te Europska agencija za okoliš i Europska agencija za lijekove trebale biti na odgovarajući način uključene u studiju u okviru svojih područja nadležnosti; poziva Komisiju da ubrza, ako je to potrebno na temelju rezultata </w:t>
      </w:r>
      <w:r w:rsidR="00831A3F">
        <w:t>procjene učinka</w:t>
      </w:r>
      <w:r w:rsidRPr="005E54AE">
        <w:t xml:space="preserve">, evaluaciju raspodjele tvari te da po potrebi odmah preraspodijeli obveze proširene odgovornosti proizvođača na sektore koji su utvrđeni kao odgovorni; </w:t>
      </w:r>
      <w:r w:rsidRPr="007F2975" w:rsidR="00015BAE">
        <w:rPr>
          <w:bCs/>
          <w:iCs/>
        </w:rPr>
        <w:t xml:space="preserve">poziva Komisiju da do kraja srpnja 2026. objavi komunikaciju u kojoj će obavijestiti države članice o neovisnoj studiji i fleksibilnostima u okviru Direktive kako bi se osigurala dostupnost, raspoloživost i cjenovna pristupačnost lijekova te da poduzme potrebne mjere za praćenje sigurnosti opskrbe lijekovima i pripravnosti za krizu te kako bi se izbjegle neželjene posljedice za opskrbu lijekovima, uključujući posljedice koje proizlaze iz odredbi o proširenoj odgovornosti proizvođača; </w:t>
      </w:r>
      <w:r w:rsidRPr="005E54AE">
        <w:t xml:space="preserve">smatra da bi Komisija, ako rezultati </w:t>
      </w:r>
      <w:r w:rsidR="00831A3F">
        <w:t>procjene učinka</w:t>
      </w:r>
      <w:r w:rsidRPr="005E54AE">
        <w:t xml:space="preserve"> pokažu znatan rizik za priuštivost, dostupnost i pristupačnost lijekova, posebno kritičnih i generičkih lijekova, trebala brzo donijeti zaštitne mjere kako bi se zajamčila sigurnost opskrbe tim lijekovima</w:t>
      </w:r>
      <w:r w:rsidRPr="007F2975" w:rsidR="00015BAE">
        <w:rPr>
          <w:bCs/>
          <w:iCs/>
        </w:rPr>
        <w:t>, uključujući privremenu obustavu obveza proširene odgovornosti proizvođača</w:t>
      </w:r>
      <w:r w:rsidRPr="005E54AE">
        <w:t>;</w:t>
      </w:r>
      <w:bookmarkEnd w:id="15"/>
    </w:p>
    <w:p w:rsidR="00015BAE" w:rsidRPr="00015BAE" w:rsidP="00F50B43" w14:paraId="3FB09A1D" w14:textId="0496299E">
      <w:pPr>
        <w:pStyle w:val="NormalHanging12a"/>
        <w:rPr>
          <w:bCs/>
          <w:iCs/>
        </w:rPr>
      </w:pPr>
      <w:bookmarkStart w:id="16" w:name="_Hlk228945625"/>
      <w:r>
        <w:rPr>
          <w:bCs/>
          <w:iCs/>
        </w:rPr>
        <w:t>7</w:t>
      </w:r>
      <w:r w:rsidRPr="007F2975">
        <w:rPr>
          <w:bCs/>
          <w:iCs/>
        </w:rPr>
        <w:t>.</w:t>
      </w:r>
      <w:r w:rsidRPr="007F2975">
        <w:rPr>
          <w:bCs/>
          <w:iCs/>
        </w:rPr>
        <w:tab/>
        <w:t>poziva Komisiju da ostvari napredak u donošenju provedbenih akata o području primjene obveza povezanih s kvartarnim pročišćavanjem kako bi se državama članicama, operatorima sustava otpadnih voda i relevantnim dionicima pružila jasnoća u pogledu povezanih troškova;</w:t>
      </w:r>
    </w:p>
    <w:p w:rsidR="00F50B43" w:rsidRPr="005E54AE" w:rsidP="00F50B43" w14:paraId="12EBB4DB" w14:textId="4AA1B413">
      <w:pPr>
        <w:pStyle w:val="NormalHanging12a"/>
        <w:rPr>
          <w:rFonts w:eastAsia="Aptos"/>
        </w:rPr>
      </w:pPr>
      <w:r>
        <w:t>8</w:t>
      </w:r>
      <w:r w:rsidRPr="005E54AE">
        <w:t>.</w:t>
      </w:r>
      <w:r w:rsidRPr="005E54AE">
        <w:tab/>
        <w:t>naglašava da se troškovi povezani s naprednim pročišćavanjem otpadnih voda ne bi trebali preusmjeriti na porezne obveznike i potrošače vode, već bi ih trebali pravedno i razmjerno snositi sektori koji doprinose onečišćenju voda;</w:t>
      </w:r>
    </w:p>
    <w:bookmarkEnd w:id="16"/>
    <w:p w:rsidR="00F50B43" w:rsidRPr="005E54AE" w:rsidP="00F50B43" w14:paraId="7785FD56" w14:textId="243D3631">
      <w:pPr>
        <w:pStyle w:val="NormalHanging12a"/>
      </w:pPr>
      <w:r>
        <w:t>9</w:t>
      </w:r>
      <w:r w:rsidRPr="005E54AE">
        <w:t>.</w:t>
      </w:r>
      <w:r w:rsidRPr="005E54AE">
        <w:tab/>
      </w:r>
      <w:r w:rsidRPr="007F2975" w:rsidR="00831A3F">
        <w:rPr>
          <w:bCs/>
          <w:iCs/>
        </w:rPr>
        <w:t>poziva</w:t>
      </w:r>
      <w:r w:rsidRPr="00831A3F" w:rsidR="00831A3F">
        <w:rPr>
          <w:bCs/>
          <w:iCs/>
        </w:rPr>
        <w:t xml:space="preserve"> na </w:t>
      </w:r>
      <w:r w:rsidRPr="007F2975" w:rsidR="00831A3F">
        <w:rPr>
          <w:bCs/>
          <w:iCs/>
        </w:rPr>
        <w:t>privremenu obustavu („zaustavljanje sata”)</w:t>
      </w:r>
      <w:r w:rsidRPr="00831A3F" w:rsidR="00831A3F">
        <w:rPr>
          <w:bCs/>
          <w:iCs/>
        </w:rPr>
        <w:t xml:space="preserve"> odredbi o proširenoj odgovornosti proizvođača</w:t>
      </w:r>
      <w:r w:rsidRPr="007F2975" w:rsidR="00831A3F">
        <w:rPr>
          <w:bCs/>
          <w:iCs/>
        </w:rPr>
        <w:t>, obveza kvartarnog pročišćavanja</w:t>
      </w:r>
      <w:r w:rsidRPr="00831A3F" w:rsidR="00831A3F">
        <w:rPr>
          <w:bCs/>
          <w:iCs/>
        </w:rPr>
        <w:t xml:space="preserve"> i </w:t>
      </w:r>
      <w:r w:rsidRPr="007F2975" w:rsidR="00831A3F">
        <w:rPr>
          <w:bCs/>
          <w:iCs/>
        </w:rPr>
        <w:t>povezanih financijskih obveza dok Komisija ne dovrši studiju</w:t>
      </w:r>
      <w:r w:rsidRPr="00831A3F" w:rsidR="00831A3F">
        <w:rPr>
          <w:bCs/>
          <w:iCs/>
        </w:rPr>
        <w:t xml:space="preserve"> i </w:t>
      </w:r>
      <w:r w:rsidRPr="007F2975" w:rsidR="00831A3F">
        <w:rPr>
          <w:bCs/>
          <w:iCs/>
        </w:rPr>
        <w:t>ne ocijeni njezine zaključke</w:t>
      </w:r>
      <w:r w:rsidRPr="00AD3A1B" w:rsidR="00831A3F">
        <w:t>;</w:t>
      </w:r>
    </w:p>
    <w:p w:rsidR="00F50B43" w:rsidRPr="005E54AE" w:rsidP="00F50B43" w14:paraId="6A54CCE4" w14:textId="5B54CBBE">
      <w:pPr>
        <w:pStyle w:val="NormalHanging12a"/>
      </w:pPr>
      <w:r>
        <w:t>10</w:t>
      </w:r>
      <w:r w:rsidRPr="005E54AE">
        <w:t>.</w:t>
      </w:r>
      <w:r w:rsidRPr="005E54AE">
        <w:tab/>
        <w:t>ističe da se obveza proširene odgovornosti proizvođača jednako primjenjuje na sva poduzeća koja stavljaju proizvode na tržište EU-a, bez obzira na to jesu li proizvedeni unutar ili izvan EU-a, kako bi se osigurali jednaki uvjeti i spriječile nepoštene konkurentske prednosti; poziva Komisiju da pojasni kako će proizvođači izvan EU-a ispunjavati obveze proširene odgovornosti proizvođača da bi se izbjeglo narušavanje tržišnog natjecanja i zajamčili jednaki uvjeti;</w:t>
      </w:r>
    </w:p>
    <w:p w:rsidR="00F50B43" w:rsidRPr="005E54AE" w:rsidP="00F50B43" w14:paraId="52454262" w14:textId="09B91F43">
      <w:pPr>
        <w:pStyle w:val="NormalHanging12a"/>
      </w:pPr>
      <w:r>
        <w:t>11</w:t>
      </w:r>
      <w:r w:rsidRPr="005E54AE">
        <w:t>.</w:t>
      </w:r>
      <w:r w:rsidRPr="005E54AE">
        <w:tab/>
        <w:t>naglašava da nestašice lijekova već predstavljaju velik izazov u EU-u, koji i dalje raste; ističe potrebu za zaštitom kapaciteta EU-a za farmaceutsk</w:t>
      </w:r>
      <w:r w:rsidR="00015BAE">
        <w:t>o</w:t>
      </w:r>
      <w:r w:rsidRPr="005E54AE">
        <w:t xml:space="preserve"> </w:t>
      </w:r>
      <w:r w:rsidR="00015BAE">
        <w:t xml:space="preserve">istraživanje, razvoj i </w:t>
      </w:r>
      <w:r w:rsidRPr="005E54AE">
        <w:t xml:space="preserve">proizvodnju </w:t>
      </w:r>
      <w:r w:rsidR="00015BAE">
        <w:t>te</w:t>
      </w:r>
      <w:r w:rsidRPr="005E54AE">
        <w:t xml:space="preserve"> otpornosti lanca opskrbe;</w:t>
      </w:r>
    </w:p>
    <w:p w:rsidR="00F50B43" w:rsidRPr="005E54AE" w:rsidP="00F50B43" w14:paraId="46109799" w14:textId="1DF11067">
      <w:pPr>
        <w:pStyle w:val="NormalHanging12a"/>
      </w:pPr>
      <w:bookmarkStart w:id="17" w:name="_Hlk227220207"/>
      <w:r>
        <w:t>12</w:t>
      </w:r>
      <w:r w:rsidRPr="005E54AE">
        <w:t>.</w:t>
      </w:r>
      <w:r w:rsidRPr="005E54AE">
        <w:tab/>
        <w:t>prepoznaje poseban slučaj generičkih lijekova i pristupa liječenju općenito te poziva Komisiju i države članice da pažljivo i kontinuirano prate učinak Direktive na priuštivost, dostupnost i pristupačnost tih lijekova, kako je propisano revidiranom Direktivom o pročišćavanju komunalnih otpadnih voda, s ciljem izbjegavanja neželjenih poremećaja ili povećanja cijena;</w:t>
      </w:r>
      <w:bookmarkEnd w:id="17"/>
    </w:p>
    <w:p w:rsidR="00F50B43" w:rsidRPr="005E54AE" w:rsidP="00F50B43" w14:paraId="059494F0" w14:textId="55301B14">
      <w:pPr>
        <w:pStyle w:val="NormalHanging12a"/>
      </w:pPr>
      <w:r>
        <w:t>13</w:t>
      </w:r>
      <w:r w:rsidRPr="005E54AE">
        <w:t>.</w:t>
      </w:r>
      <w:r w:rsidRPr="005E54AE">
        <w:tab/>
      </w:r>
      <w:bookmarkStart w:id="18" w:name="_Hlk227048195"/>
      <w:bookmarkStart w:id="19" w:name="_Hlk227048150"/>
      <w:r w:rsidRPr="005E54AE">
        <w:t>podsjeća da se Direktivom predviđa fleksibilnost i mogućnost primjene razmjernih mjera kako bi se osiguralo da obveze proširene odgovornosti proizvođača ne ugrožavaju priuštivost, dostupnost ili pristupačnost lijekova; poziva države članice da pri osmišljanju i provedbi nacionalnih programa proširene odgovornosti proizvođača pažljivo procijene i riješe sve propisno obrazložene probleme potkrijepljene dokazima povezane s neželjenim posljedicama Direktive, s posebnim naglaskom na generičkim lijekovima; podsjeća na obvezu Komisije da prati učinke na priuštivost, dostupnost i pristupačnost lijekova i izvješćuje o njima te da osigura sveobuhvatnu evaluaciju do kraja 2033. i ponovno do kraja 2040.;</w:t>
      </w:r>
      <w:bookmarkEnd w:id="18"/>
      <w:bookmarkEnd w:id="19"/>
    </w:p>
    <w:p w:rsidR="00F50B43" w:rsidRPr="005E54AE" w:rsidP="00F50B43" w14:paraId="30227230" w14:textId="54D9CFB2">
      <w:pPr>
        <w:pStyle w:val="NormalHanging12a"/>
      </w:pPr>
      <w:r>
        <w:t>14</w:t>
      </w:r>
      <w:r w:rsidRPr="005E54AE">
        <w:t>.</w:t>
      </w:r>
      <w:r w:rsidRPr="005E54AE">
        <w:tab/>
        <w:t>konstatira izazove povezane s korištenjem poticaja zbog složenosti izmjena formulacija lijekova, koje mogu zahtijevati opsežna istraživanja ili nova odobrenja za stavljanje u promet, posebno za generičke lijekove;</w:t>
      </w:r>
    </w:p>
    <w:p w:rsidR="00F50B43" w:rsidRPr="005E54AE" w:rsidP="00F50B43" w14:paraId="34835B5A" w14:textId="4301CBB6">
      <w:pPr>
        <w:pStyle w:val="NormalHanging12a"/>
      </w:pPr>
      <w:r>
        <w:t>15</w:t>
      </w:r>
      <w:r w:rsidRPr="005E54AE">
        <w:t>.</w:t>
      </w:r>
      <w:r w:rsidRPr="005E54AE">
        <w:tab/>
        <w:t>u tom pogledu podsjeća da se od Komisije zahtijeva da redovito ocjenjuje treba li druge proizvode i sektore koji imaju znatan utjecaj na toksično opterećenje u otpadnim vodama uključiti u sustav proširene odgovornosti proizvođača kako bi se osiguralo da se povezani troškovi pravedno pripisuju i da ne padaju na teret građana i potrošača vode;</w:t>
      </w:r>
    </w:p>
    <w:p w:rsidR="00F50B43" w:rsidRPr="005E54AE" w:rsidP="00F50B43" w14:paraId="2E546337" w14:textId="36F0DC1C">
      <w:pPr>
        <w:pStyle w:val="NormalHanging12a"/>
      </w:pPr>
      <w:r>
        <w:t>16</w:t>
      </w:r>
      <w:r w:rsidRPr="005E54AE">
        <w:t>.</w:t>
      </w:r>
      <w:r w:rsidRPr="005E54AE">
        <w:tab/>
        <w:t>podržava istraživanje i inovacije u području okolišno održivih farmaceutskih proizvoda i naprednih tehnologija za pročišćavanje otpadnih voda;</w:t>
      </w:r>
    </w:p>
    <w:p w:rsidR="00F50B43" w:rsidRPr="005E54AE" w:rsidP="00F50B43" w14:paraId="766EEE73" w14:textId="5138F397">
      <w:pPr>
        <w:pStyle w:val="NormalHanging12a"/>
      </w:pPr>
      <w:r>
        <w:t>17</w:t>
      </w:r>
      <w:r w:rsidRPr="005E54AE">
        <w:t>.</w:t>
      </w:r>
      <w:r w:rsidRPr="005E54AE">
        <w:tab/>
        <w:t>podsjeća da je u skladu s pristupom „Jedno zdravlje” zaštita zdravlja ljudi, životinja i okoliša intrinzično povezana i isprepletena; ističe da se pristup lijekovima i zaštita okoliša moraju ostvarivati istodobno, a da se pritom ne dopusti da se jedno područje koristi kao izgovor za smanjenje ambicija u drugome;</w:t>
      </w:r>
    </w:p>
    <w:p w:rsidR="00E365E1" w:rsidRPr="005E54AE" w:rsidP="005E54AE" w14:paraId="13673DBE" w14:textId="10E5C465">
      <w:pPr>
        <w:ind w:left="567" w:hanging="567"/>
      </w:pPr>
      <w:r>
        <w:t>18</w:t>
      </w:r>
      <w:r w:rsidRPr="005E54AE" w:rsidR="00F50B43">
        <w:t>.</w:t>
      </w:r>
      <w:r w:rsidRPr="005E54AE" w:rsidR="00F50B43">
        <w:tab/>
        <w:t>nalaže svojoj predsjednici da ovu Rezoluciju proslijedi Vijeću, Komisiji te vladama i parlamentima država članica.</w:t>
      </w:r>
    </w:p>
    <w:sectPr w:rsidSect="00E71E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8525D" w:rsidRPr="00E71EE0" w14:paraId="66B7A852" w14:textId="77777777">
      <w:r w:rsidRPr="00E71EE0">
        <w:separator/>
      </w:r>
    </w:p>
  </w:footnote>
  <w:footnote w:type="continuationSeparator" w:id="1">
    <w:p w:rsidR="00C8525D" w:rsidRPr="00E71EE0" w14:paraId="483FBCC8" w14:textId="77777777">
      <w:r w:rsidRPr="00E71EE0">
        <w:continuationSeparator/>
      </w:r>
    </w:p>
  </w:footnote>
  <w:footnote w:id="2">
    <w:p w:rsidR="00F50B43" w:rsidRPr="00E71EE0" w:rsidP="00E71EE0" w14:paraId="62D38923" w14:textId="25E48460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SL L, 2024/3019, 12.12.2024., ELI: </w:t>
      </w:r>
      <w:hyperlink r:id="rId1" w:tooltip="ELI URI za pristup dokumentu." w:history="1">
        <w:r w:rsidRPr="00E71EE0">
          <w:rPr>
            <w:rStyle w:val="Hyperlink"/>
            <w:sz w:val="24"/>
            <w:lang w:val="hr-HR"/>
          </w:rPr>
          <w:t>http://data.europa.eu/eli/dir/2024/3019/oj</w:t>
        </w:r>
      </w:hyperlink>
      <w:r w:rsidRPr="00E71EE0">
        <w:rPr>
          <w:sz w:val="24"/>
          <w:lang w:val="hr-HR"/>
        </w:rPr>
        <w:t>.</w:t>
      </w:r>
    </w:p>
  </w:footnote>
  <w:footnote w:id="3">
    <w:p w:rsidR="00F50B43" w:rsidRPr="00E71EE0" w:rsidP="00E71EE0" w14:paraId="6840FDD9" w14:textId="61FE07AA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SL L 327, 22.12.2000</w:t>
      </w:r>
      <w:r w:rsidR="00C04F02">
        <w:rPr>
          <w:sz w:val="24"/>
          <w:lang w:val="hr-HR"/>
        </w:rPr>
        <w:t>.</w:t>
      </w:r>
      <w:r w:rsidRPr="00E71EE0">
        <w:rPr>
          <w:sz w:val="24"/>
          <w:lang w:val="hr-HR"/>
        </w:rPr>
        <w:t>, str. 1. ELI: </w:t>
      </w:r>
      <w:hyperlink r:id="rId2" w:tooltip="ELI URI za pristup dokumentu." w:history="1">
        <w:r w:rsidRPr="00E71EE0">
          <w:rPr>
            <w:rStyle w:val="Hyperlink"/>
            <w:sz w:val="24"/>
            <w:lang w:val="hr-HR"/>
          </w:rPr>
          <w:t>http://data.europa.eu/eli/dir/2000/60/oj</w:t>
        </w:r>
      </w:hyperlink>
      <w:r w:rsidRPr="00E71EE0">
        <w:rPr>
          <w:sz w:val="24"/>
          <w:lang w:val="hr-HR"/>
        </w:rPr>
        <w:t>.</w:t>
      </w:r>
    </w:p>
  </w:footnote>
  <w:footnote w:id="4">
    <w:p w:rsidR="00F50B43" w:rsidRPr="00E71EE0" w:rsidP="00E71EE0" w14:paraId="20574A85" w14:textId="6978F3E0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SL L 372, 27.12.2006</w:t>
      </w:r>
      <w:r w:rsidR="00C04F02">
        <w:rPr>
          <w:sz w:val="24"/>
          <w:lang w:val="hr-HR"/>
        </w:rPr>
        <w:t>.</w:t>
      </w:r>
      <w:r w:rsidRPr="00E71EE0">
        <w:rPr>
          <w:sz w:val="24"/>
          <w:lang w:val="hr-HR"/>
        </w:rPr>
        <w:t>, str. 19., ELI: </w:t>
      </w:r>
      <w:hyperlink r:id="rId3" w:tooltip="ELI URI za pristup dokumentu." w:history="1">
        <w:r w:rsidRPr="00E71EE0">
          <w:rPr>
            <w:rStyle w:val="Hyperlink"/>
            <w:sz w:val="24"/>
            <w:lang w:val="hr-HR"/>
          </w:rPr>
          <w:t>http://data.europa.eu/eli/dir/2006/118/oj</w:t>
        </w:r>
      </w:hyperlink>
      <w:r w:rsidRPr="00E71EE0">
        <w:rPr>
          <w:sz w:val="24"/>
          <w:lang w:val="hr-HR"/>
        </w:rPr>
        <w:t>.</w:t>
      </w:r>
    </w:p>
  </w:footnote>
  <w:footnote w:id="5">
    <w:p w:rsidR="00F50B43" w:rsidRPr="00E71EE0" w:rsidP="00E71EE0" w14:paraId="4FD29E3E" w14:textId="567C9523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 xml:space="preserve">SL L 348, </w:t>
      </w:r>
      <w:r w:rsidR="00586E9F">
        <w:rPr>
          <w:sz w:val="24"/>
          <w:lang w:val="hr-HR"/>
        </w:rPr>
        <w:t>24</w:t>
      </w:r>
      <w:r w:rsidRPr="00E71EE0">
        <w:rPr>
          <w:sz w:val="24"/>
          <w:lang w:val="hr-HR"/>
        </w:rPr>
        <w:t>.</w:t>
      </w:r>
      <w:r w:rsidR="00586E9F">
        <w:rPr>
          <w:sz w:val="24"/>
          <w:lang w:val="hr-HR"/>
        </w:rPr>
        <w:t>12</w:t>
      </w:r>
      <w:r w:rsidRPr="00E71EE0">
        <w:rPr>
          <w:sz w:val="24"/>
          <w:lang w:val="hr-HR"/>
        </w:rPr>
        <w:t>.2008., str. 84., ELI: </w:t>
      </w:r>
      <w:hyperlink r:id="rId4" w:tooltip="ELI URI za pristup dokumentu." w:history="1">
        <w:r w:rsidRPr="00E71EE0">
          <w:rPr>
            <w:rStyle w:val="Hyperlink"/>
            <w:sz w:val="24"/>
            <w:lang w:val="hr-HR"/>
          </w:rPr>
          <w:t>http://data.europa.eu/eli/dir/2008/105/oj</w:t>
        </w:r>
      </w:hyperlink>
      <w:r w:rsidRPr="00E71EE0">
        <w:rPr>
          <w:sz w:val="24"/>
          <w:lang w:val="hr-HR"/>
        </w:rPr>
        <w:t>.</w:t>
      </w:r>
    </w:p>
  </w:footnote>
  <w:footnote w:id="6">
    <w:p w:rsidR="00F50B43" w:rsidRPr="00E71EE0" w:rsidP="00E71EE0" w14:paraId="5E0D86C4" w14:textId="6030C086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SL L 114, 12.4.2022</w:t>
      </w:r>
      <w:r w:rsidR="00C04F02">
        <w:rPr>
          <w:sz w:val="24"/>
          <w:lang w:val="hr-HR"/>
        </w:rPr>
        <w:t>.</w:t>
      </w:r>
      <w:r w:rsidRPr="00E71EE0">
        <w:rPr>
          <w:sz w:val="24"/>
          <w:lang w:val="hr-HR"/>
        </w:rPr>
        <w:t xml:space="preserve">, str. 22., ELI: </w:t>
      </w:r>
      <w:hyperlink r:id="rId5" w:history="1">
        <w:r w:rsidRPr="00E71EE0">
          <w:rPr>
            <w:rStyle w:val="Hyperlink"/>
            <w:sz w:val="24"/>
            <w:lang w:val="hr-HR"/>
          </w:rPr>
          <w:t>http://data.europa.eu/eli/dec/2022/591/oj</w:t>
        </w:r>
      </w:hyperlink>
      <w:r w:rsidRPr="00E71EE0">
        <w:rPr>
          <w:sz w:val="24"/>
          <w:lang w:val="hr-HR"/>
        </w:rPr>
        <w:t>.</w:t>
      </w:r>
    </w:p>
  </w:footnote>
  <w:footnote w:id="7">
    <w:p w:rsidR="00F50B43" w:rsidRPr="00E71EE0" w:rsidP="00E71EE0" w14:paraId="47F7E9AA" w14:textId="432DF7CB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SL C 385, 22.9.2021., str. 83.</w:t>
      </w:r>
    </w:p>
  </w:footnote>
  <w:footnote w:id="8">
    <w:p w:rsidR="00F50B43" w:rsidRPr="00E71EE0" w:rsidP="00E71EE0" w14:paraId="0CCBFE25" w14:textId="5C353B8D">
      <w:pPr>
        <w:pStyle w:val="FootnoteText"/>
        <w:ind w:left="567" w:hanging="567"/>
        <w:rPr>
          <w:sz w:val="24"/>
          <w:lang w:val="hr-HR"/>
        </w:rPr>
      </w:pPr>
      <w:r w:rsidRPr="00E71EE0">
        <w:rPr>
          <w:rStyle w:val="FootnoteReference"/>
          <w:sz w:val="24"/>
          <w:szCs w:val="16"/>
          <w:lang w:val="hr-HR"/>
        </w:rPr>
        <w:footnoteRef/>
      </w:r>
      <w:r w:rsidRPr="00E71EE0" w:rsidR="00E71EE0">
        <w:rPr>
          <w:sz w:val="24"/>
          <w:lang w:val="hr-HR"/>
        </w:rPr>
        <w:t xml:space="preserve"> </w:t>
      </w:r>
      <w:r w:rsidRPr="00E71EE0" w:rsidR="00E71EE0">
        <w:rPr>
          <w:sz w:val="24"/>
          <w:lang w:val="hr-HR"/>
        </w:rPr>
        <w:tab/>
      </w:r>
      <w:r w:rsidRPr="00E71EE0">
        <w:rPr>
          <w:sz w:val="24"/>
          <w:lang w:val="hr-HR"/>
        </w:rPr>
        <w:t>Komunikacija Komisije od 24. listopada 2023. naslovljena „</w:t>
      </w:r>
      <w:r w:rsidRPr="00E71EE0">
        <w:rPr>
          <w:sz w:val="24"/>
          <w:lang w:val="hr-HR"/>
        </w:rPr>
        <w:t>Addressing</w:t>
      </w:r>
      <w:r w:rsidRPr="00E71EE0">
        <w:rPr>
          <w:sz w:val="24"/>
          <w:lang w:val="hr-HR"/>
        </w:rPr>
        <w:t xml:space="preserve"> medicine </w:t>
      </w:r>
      <w:r w:rsidRPr="00E71EE0">
        <w:rPr>
          <w:sz w:val="24"/>
          <w:lang w:val="hr-HR"/>
        </w:rPr>
        <w:t>shortages</w:t>
      </w:r>
      <w:r w:rsidRPr="00E71EE0">
        <w:rPr>
          <w:sz w:val="24"/>
          <w:lang w:val="hr-HR"/>
        </w:rPr>
        <w:t xml:space="preserve"> </w:t>
      </w:r>
      <w:r w:rsidRPr="00E71EE0">
        <w:rPr>
          <w:sz w:val="24"/>
          <w:lang w:val="hr-HR"/>
        </w:rPr>
        <w:t>in</w:t>
      </w:r>
      <w:r w:rsidRPr="00E71EE0">
        <w:rPr>
          <w:sz w:val="24"/>
          <w:lang w:val="hr-HR"/>
        </w:rPr>
        <w:t xml:space="preserve"> </w:t>
      </w:r>
      <w:r w:rsidRPr="00E71EE0">
        <w:rPr>
          <w:sz w:val="24"/>
          <w:lang w:val="hr-HR"/>
        </w:rPr>
        <w:t>the</w:t>
      </w:r>
      <w:r w:rsidRPr="00E71EE0">
        <w:rPr>
          <w:sz w:val="24"/>
          <w:lang w:val="hr-HR"/>
        </w:rPr>
        <w:t xml:space="preserve"> EU” („Rješavanje problema nestašice lijekova u EU-u”) (COM(2023)0672).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8062329">
    <w:abstractNumId w:val="9"/>
  </w:num>
  <w:num w:numId="2" w16cid:durableId="1483230455">
    <w:abstractNumId w:val="9"/>
  </w:num>
  <w:num w:numId="3" w16cid:durableId="1973974079">
    <w:abstractNumId w:val="7"/>
  </w:num>
  <w:num w:numId="4" w16cid:durableId="2070613593">
    <w:abstractNumId w:val="7"/>
  </w:num>
  <w:num w:numId="5" w16cid:durableId="1502237744">
    <w:abstractNumId w:val="6"/>
  </w:num>
  <w:num w:numId="6" w16cid:durableId="1951088428">
    <w:abstractNumId w:val="6"/>
  </w:num>
  <w:num w:numId="7" w16cid:durableId="742335353">
    <w:abstractNumId w:val="5"/>
  </w:num>
  <w:num w:numId="8" w16cid:durableId="1902010640">
    <w:abstractNumId w:val="5"/>
  </w:num>
  <w:num w:numId="9" w16cid:durableId="875116727">
    <w:abstractNumId w:val="4"/>
  </w:num>
  <w:num w:numId="10" w16cid:durableId="1917592004">
    <w:abstractNumId w:val="4"/>
  </w:num>
  <w:num w:numId="11" w16cid:durableId="1899436491">
    <w:abstractNumId w:val="8"/>
  </w:num>
  <w:num w:numId="12" w16cid:durableId="1894197639">
    <w:abstractNumId w:val="8"/>
  </w:num>
  <w:num w:numId="13" w16cid:durableId="768082934">
    <w:abstractNumId w:val="3"/>
  </w:num>
  <w:num w:numId="14" w16cid:durableId="652295446">
    <w:abstractNumId w:val="3"/>
  </w:num>
  <w:num w:numId="15" w16cid:durableId="338700780">
    <w:abstractNumId w:val="2"/>
  </w:num>
  <w:num w:numId="16" w16cid:durableId="1453017270">
    <w:abstractNumId w:val="2"/>
  </w:num>
  <w:num w:numId="17" w16cid:durableId="1682972064">
    <w:abstractNumId w:val="1"/>
  </w:num>
  <w:num w:numId="18" w16cid:durableId="1299263609">
    <w:abstractNumId w:val="1"/>
  </w:num>
  <w:num w:numId="19" w16cid:durableId="1115948997">
    <w:abstractNumId w:val="0"/>
  </w:num>
  <w:num w:numId="20" w16cid:durableId="1735397541">
    <w:abstractNumId w:val="0"/>
  </w:num>
  <w:num w:numId="21" w16cid:durableId="1646933063">
    <w:abstractNumId w:val="9"/>
  </w:num>
  <w:num w:numId="22" w16cid:durableId="2071534411">
    <w:abstractNumId w:val="7"/>
  </w:num>
  <w:num w:numId="23" w16cid:durableId="2062247705">
    <w:abstractNumId w:val="6"/>
  </w:num>
  <w:num w:numId="24" w16cid:durableId="382560254">
    <w:abstractNumId w:val="5"/>
  </w:num>
  <w:num w:numId="25" w16cid:durableId="1698919832">
    <w:abstractNumId w:val="4"/>
  </w:num>
  <w:num w:numId="26" w16cid:durableId="351685594">
    <w:abstractNumId w:val="8"/>
  </w:num>
  <w:num w:numId="27" w16cid:durableId="1544900372">
    <w:abstractNumId w:val="3"/>
  </w:num>
  <w:num w:numId="28" w16cid:durableId="849686489">
    <w:abstractNumId w:val="2"/>
  </w:num>
  <w:num w:numId="29" w16cid:durableId="1795172570">
    <w:abstractNumId w:val="1"/>
  </w:num>
  <w:num w:numId="30" w16cid:durableId="1082948235">
    <w:abstractNumId w:val="0"/>
  </w:num>
  <w:num w:numId="31" w16cid:durableId="1904830787">
    <w:abstractNumId w:val="9"/>
  </w:num>
  <w:num w:numId="32" w16cid:durableId="1939368167">
    <w:abstractNumId w:val="7"/>
  </w:num>
  <w:num w:numId="33" w16cid:durableId="582573075">
    <w:abstractNumId w:val="6"/>
  </w:num>
  <w:num w:numId="34" w16cid:durableId="1515991509">
    <w:abstractNumId w:val="5"/>
  </w:num>
  <w:num w:numId="35" w16cid:durableId="1422411618">
    <w:abstractNumId w:val="4"/>
  </w:num>
  <w:num w:numId="36" w16cid:durableId="2025354954">
    <w:abstractNumId w:val="8"/>
  </w:num>
  <w:num w:numId="37" w16cid:durableId="1522627747">
    <w:abstractNumId w:val="3"/>
  </w:num>
  <w:num w:numId="38" w16cid:durableId="531499459">
    <w:abstractNumId w:val="2"/>
  </w:num>
  <w:num w:numId="39" w16cid:durableId="1402017621">
    <w:abstractNumId w:val="1"/>
  </w:num>
  <w:num w:numId="40" w16cid:durableId="441921279">
    <w:abstractNumId w:val="0"/>
  </w:num>
  <w:num w:numId="41" w16cid:durableId="593588089">
    <w:abstractNumId w:val="10"/>
  </w:num>
  <w:num w:numId="42" w16cid:durableId="903688087">
    <w:abstractNumId w:val="10"/>
  </w:num>
  <w:num w:numId="43" w16cid:durableId="89274841">
    <w:abstractNumId w:val="10"/>
  </w:num>
  <w:num w:numId="44" w16cid:durableId="1456951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5D"/>
    <w:rsid w:val="00002272"/>
    <w:rsid w:val="00015B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9BE"/>
    <w:rsid w:val="0050519A"/>
    <w:rsid w:val="005072A1"/>
    <w:rsid w:val="00514517"/>
    <w:rsid w:val="00524E2E"/>
    <w:rsid w:val="00545827"/>
    <w:rsid w:val="00560270"/>
    <w:rsid w:val="00586E9F"/>
    <w:rsid w:val="005C2568"/>
    <w:rsid w:val="005E54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975"/>
    <w:rsid w:val="00817416"/>
    <w:rsid w:val="00831A3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91B"/>
    <w:rsid w:val="00A778C7"/>
    <w:rsid w:val="00AB441E"/>
    <w:rsid w:val="00AB6293"/>
    <w:rsid w:val="00AD3A1B"/>
    <w:rsid w:val="00AE0928"/>
    <w:rsid w:val="00AF3B82"/>
    <w:rsid w:val="00B12E95"/>
    <w:rsid w:val="00B22876"/>
    <w:rsid w:val="00B558F0"/>
    <w:rsid w:val="00BD48FE"/>
    <w:rsid w:val="00BD7BD8"/>
    <w:rsid w:val="00BE6ADC"/>
    <w:rsid w:val="00C04F02"/>
    <w:rsid w:val="00C05BFE"/>
    <w:rsid w:val="00C10D57"/>
    <w:rsid w:val="00C23CD4"/>
    <w:rsid w:val="00C61C0C"/>
    <w:rsid w:val="00C8525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EE0"/>
    <w:rsid w:val="00E820A4"/>
    <w:rsid w:val="00EB006A"/>
    <w:rsid w:val="00EB4772"/>
    <w:rsid w:val="00ED169E"/>
    <w:rsid w:val="00ED4235"/>
    <w:rsid w:val="00F04346"/>
    <w:rsid w:val="00F075DC"/>
    <w:rsid w:val="00F149E9"/>
    <w:rsid w:val="00F50B43"/>
    <w:rsid w:val="00F5134D"/>
    <w:rsid w:val="00F74202"/>
    <w:rsid w:val="00F87713"/>
    <w:rsid w:val="00FB4360"/>
    <w:rsid w:val="00FD0C70"/>
  </w:rsids>
  <w:docVars>
    <w:docVar w:name="dvdocse" w:val="B10-0238/2026"/>
    <w:docVar w:name="dvlangue" w:val="HR"/>
    <w:docVar w:name="dvnumam" w:val="0"/>
    <w:docVar w:name="dvpe" w:val="783.281"/>
    <w:docVar w:name="dvtitre" w:val="Rezolucija Europskog parlamenta od .... 2026. o provedbi Direktive o pročišćavanju komunalnih otpadnih voda i rizicima za sigurnost opskrbe lijekovima(2026/265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EC799A"/>
  <w15:chartTrackingRefBased/>
  <w15:docId w15:val="{5483B2AC-D05C-4F9A-A303-5E6E4CEA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50B4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50B4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50B43"/>
    <w:rPr>
      <w:sz w:val="24"/>
      <w:lang w:val="hr-HR"/>
    </w:rPr>
  </w:style>
  <w:style w:type="character" w:styleId="Hyperlink">
    <w:name w:val="Hyperlink"/>
    <w:basedOn w:val="DefaultParagraphFont"/>
    <w:rsid w:val="00F50B43"/>
    <w:rPr>
      <w:color w:val="0000FF"/>
      <w:u w:val="single"/>
    </w:rPr>
  </w:style>
  <w:style w:type="paragraph" w:styleId="Revision">
    <w:name w:val="Revision"/>
    <w:hidden/>
    <w:uiPriority w:val="99"/>
    <w:semiHidden/>
    <w:rsid w:val="00C10D5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3019/oj" TargetMode="External" /><Relationship Id="rId2" Type="http://schemas.openxmlformats.org/officeDocument/2006/relationships/hyperlink" Target="http://data.europa.eu/eli/dir/2000/60/oj" TargetMode="External" /><Relationship Id="rId3" Type="http://schemas.openxmlformats.org/officeDocument/2006/relationships/hyperlink" Target="http://data.europa.eu/eli/dir/2006/118/oj" TargetMode="External" /><Relationship Id="rId4" Type="http://schemas.openxmlformats.org/officeDocument/2006/relationships/hyperlink" Target="http://data.europa.eu/eli/dir/2008/105/oj" TargetMode="External" /><Relationship Id="rId5" Type="http://schemas.openxmlformats.org/officeDocument/2006/relationships/hyperlink" Target="http://data.europa.eu/eli/dec/2022/59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3494</Words>
  <Characters>21566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2026-07-14T09:31:00Z</dcterms:created>
  <dcterms:modified xsi:type="dcterms:W3CDTF">2026-07-14T09:31:00Z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B10-0238/2026</vt:lpwstr>
  </property>
  <property fmtid="{D5CDD505-2E9C-101B-9397-08002B2CF9AE}" pid="4" name="&lt;Type&gt;">
    <vt:lpwstr>RR</vt:lpwstr>
  </property>
</Properties>
</file>