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8E66A0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566D" w:rsidP="0010095E" w14:paraId="7AD5EB48" w14:textId="77777777">
            <w:pPr>
              <w:pStyle w:val="EPName"/>
            </w:pPr>
            <w:r w:rsidRPr="0042566D">
              <w:t>Európai Parlament</w:t>
            </w:r>
          </w:p>
          <w:p w:rsidR="00751A4A" w:rsidRPr="0042566D" w:rsidP="005F1B17" w14:paraId="7BB0305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566D">
              <w:t>2024</w:t>
            </w:r>
            <w:r w:rsidRPr="0042566D" w:rsidR="00817416">
              <w:t>-202</w:t>
            </w:r>
            <w:r w:rsidRPr="004256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2566D" w:rsidP="0010095E" w14:paraId="313AD411" w14:textId="77777777">
            <w:pPr>
              <w:pStyle w:val="EPLogo"/>
            </w:pPr>
            <w:r w:rsidRPr="0042566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566D" w:rsidP="004C5D52" w14:paraId="7A7DED1F" w14:textId="77777777">
      <w:pPr>
        <w:pStyle w:val="LineTop"/>
      </w:pPr>
    </w:p>
    <w:p w:rsidR="00680577" w:rsidRPr="0042566D" w:rsidP="00680577" w14:paraId="4BFEBE04" w14:textId="77777777">
      <w:pPr>
        <w:pStyle w:val="EPBodyTA1"/>
      </w:pPr>
      <w:r w:rsidRPr="0042566D">
        <w:t>ELFOGADOTT SZÖVEGEK</w:t>
      </w:r>
    </w:p>
    <w:p w:rsidR="00D058B8" w:rsidRPr="0042566D" w:rsidP="00D058B8" w14:paraId="06CC6DC2" w14:textId="77777777">
      <w:pPr>
        <w:pStyle w:val="LineBottom"/>
      </w:pPr>
    </w:p>
    <w:p w:rsidR="00F23831" w:rsidRPr="00283449" w:rsidP="00F23831" w14:paraId="6B9B57D5" w14:textId="7206AF1A">
      <w:pPr>
        <w:pStyle w:val="ATHeading1"/>
      </w:pPr>
      <w:bookmarkStart w:id="0" w:name="TANumber"/>
      <w:r w:rsidRPr="00283449">
        <w:t>P10_</w:t>
      </w:r>
      <w:r w:rsidRPr="00283449">
        <w:t>TA(</w:t>
      </w:r>
      <w:r w:rsidRPr="00283449">
        <w:t>2026)0</w:t>
      </w:r>
      <w:r w:rsidR="0042566D">
        <w:t>228</w:t>
      </w:r>
      <w:bookmarkEnd w:id="0"/>
    </w:p>
    <w:p w:rsidR="00F23831" w:rsidRPr="00283449" w:rsidP="00F23831" w14:paraId="41857499" w14:textId="77777777">
      <w:pPr>
        <w:pStyle w:val="ATHeading2"/>
      </w:pPr>
      <w:bookmarkStart w:id="1" w:name="title"/>
      <w:r w:rsidRPr="00283449">
        <w:t>A települési szennyvíz kezeléséről szóló irányelv végrehajtása és a gyógyszerellátás biztonságát fenyegető kockázatok</w:t>
      </w:r>
      <w:bookmarkEnd w:id="1"/>
    </w:p>
    <w:p w:rsidR="00F23831" w:rsidRPr="0042566D" w:rsidP="00F23831" w14:paraId="37D6F2EA" w14:textId="77777777">
      <w:pPr>
        <w:rPr>
          <w:i/>
          <w:vanish/>
        </w:rPr>
      </w:pPr>
      <w:r>
        <w:rPr>
          <w:i/>
        </w:rPr>
        <w:fldChar w:fldCharType="begin"/>
      </w:r>
      <w:r w:rsidRPr="0042566D">
        <w:rPr>
          <w:i/>
        </w:rPr>
        <w:instrText xml:space="preserve"> TC"(</w:instrText>
      </w:r>
      <w:bookmarkStart w:id="2" w:name="DocNumber"/>
      <w:r w:rsidRPr="0042566D">
        <w:rPr>
          <w:i/>
        </w:rPr>
        <w:instrText>B10-0238, 0240, 0241 és 0281/2026</w:instrText>
      </w:r>
      <w:bookmarkEnd w:id="2"/>
      <w:r w:rsidRPr="0042566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23831" w:rsidRPr="0042566D" w:rsidP="00F23831" w14:paraId="4C31D2F9" w14:textId="77777777">
      <w:pPr>
        <w:rPr>
          <w:vanish/>
        </w:rPr>
      </w:pPr>
      <w:bookmarkStart w:id="3" w:name="PE"/>
      <w:r w:rsidRPr="0042566D">
        <w:rPr>
          <w:vanish/>
        </w:rPr>
        <w:t>PE783.281</w:t>
      </w:r>
      <w:bookmarkEnd w:id="3"/>
    </w:p>
    <w:p w:rsidR="00F23831" w:rsidRPr="00283449" w:rsidP="00F23831" w14:paraId="2E777DBD" w14:textId="05786C10">
      <w:pPr>
        <w:pStyle w:val="ATHeading3"/>
      </w:pPr>
      <w:bookmarkStart w:id="4" w:name="Sujet"/>
      <w:r w:rsidRPr="00283449">
        <w:t xml:space="preserve">Az Európai Parlament 2026. </w:t>
      </w:r>
      <w:r w:rsidRPr="00283449" w:rsidR="002A33ED">
        <w:t>június 18</w:t>
      </w:r>
      <w:r w:rsidRPr="00283449">
        <w:t>-i állásfoglalása a települési szennyvíz kezeléséről szóló irányelv végrehajtásáról és a gyógyszerellátás biztonságát fenyegető kockázatokról</w:t>
      </w:r>
      <w:bookmarkEnd w:id="4"/>
      <w:r w:rsidRPr="00283449">
        <w:t xml:space="preserve"> </w:t>
      </w:r>
      <w:bookmarkStart w:id="5" w:name="References"/>
      <w:r w:rsidRPr="00283449">
        <w:t>(2026/2652(RSP))</w:t>
      </w:r>
      <w:bookmarkEnd w:id="5"/>
    </w:p>
    <w:p w:rsidR="00EA5964" w:rsidRPr="0042566D" w:rsidP="00EA5964" w14:paraId="1BFCC489" w14:textId="77777777">
      <w:pPr>
        <w:pStyle w:val="EPComma"/>
      </w:pPr>
      <w:bookmarkStart w:id="6" w:name="TextBodyBegin"/>
      <w:bookmarkEnd w:id="6"/>
      <w:r w:rsidRPr="0042566D">
        <w:rPr>
          <w:i/>
        </w:rPr>
        <w:t>Az Európai Parlament</w:t>
      </w:r>
      <w:r w:rsidRPr="0042566D">
        <w:t>,</w:t>
      </w:r>
    </w:p>
    <w:p w:rsidR="00EA5964" w:rsidRPr="0042566D" w:rsidP="002A33ED" w14:paraId="4B0C88DF" w14:textId="77777777">
      <w:pPr>
        <w:pStyle w:val="NormalHanging12a"/>
        <w:widowControl/>
      </w:pPr>
      <w:r w:rsidRPr="0042566D">
        <w:t>–</w:t>
      </w:r>
      <w:r w:rsidRPr="0042566D">
        <w:tab/>
        <w:t>tekintettel az Európai Unió működéséről szóló szerződésre (EUMSZ) és különösen annak 168. és 191. cikkére,</w:t>
      </w:r>
    </w:p>
    <w:p w:rsidR="00EA5964" w:rsidRPr="0042566D" w:rsidP="002A33ED" w14:paraId="3AEBA954" w14:textId="77777777">
      <w:pPr>
        <w:pStyle w:val="NormalHanging12a"/>
        <w:widowControl/>
      </w:pPr>
      <w:r w:rsidRPr="0042566D">
        <w:t>–</w:t>
      </w:r>
      <w:r w:rsidRPr="0042566D">
        <w:tab/>
        <w:t>tekintettel az Európai Unió Alapjogi Chartájának 35. cikkére,</w:t>
      </w:r>
    </w:p>
    <w:p w:rsidR="00EA5964" w:rsidRPr="0042566D" w:rsidP="002A33ED" w14:paraId="7DCBDEF1" w14:textId="77777777">
      <w:pPr>
        <w:pStyle w:val="NormalHanging12a"/>
        <w:widowControl/>
      </w:pPr>
      <w:r w:rsidRPr="0042566D">
        <w:t>–</w:t>
      </w:r>
      <w:r w:rsidRPr="0042566D">
        <w:tab/>
        <w:t>tekintettel a települési szennyvíz kezeléséről szóló, 2024. november 27-i (EU) 2024/3019 európai parlamenti és tanácsi irányelvre</w:t>
      </w:r>
      <w:r>
        <w:rPr>
          <w:rStyle w:val="FootnoteReference"/>
          <w:color w:val="000000"/>
        </w:rPr>
        <w:footnoteReference w:id="2"/>
      </w:r>
      <w:r w:rsidRPr="0042566D">
        <w:t xml:space="preserve"> (a települési szennyvíz kezeléséről szóló felülvizsgált irányelv), amely 2025. január 1-jén lépett hatályba,</w:t>
      </w:r>
    </w:p>
    <w:p w:rsidR="00EA5964" w:rsidRPr="0042566D" w:rsidP="002A33ED" w14:paraId="1134C52E" w14:textId="77777777">
      <w:pPr>
        <w:pStyle w:val="NormalHanging12a"/>
        <w:widowControl/>
      </w:pPr>
      <w:r w:rsidRPr="0042566D">
        <w:t>–</w:t>
      </w:r>
      <w:r w:rsidRPr="0042566D">
        <w:tab/>
        <w:t>tekintettel a vízpolitika terén a közösségi fellépés kereteinek meghatározásáról szóló, 2000. október 23-i 2000/60/EK európai parlamenti és tanácsi irányelvre</w:t>
      </w:r>
      <w:r>
        <w:rPr>
          <w:rStyle w:val="FootnoteReference"/>
          <w:color w:val="000000"/>
        </w:rPr>
        <w:footnoteReference w:id="3"/>
      </w:r>
      <w:r w:rsidRPr="0042566D">
        <w:t xml:space="preserve"> (vízügyi keretirányelv),</w:t>
      </w:r>
    </w:p>
    <w:p w:rsidR="00EA5964" w:rsidRPr="0042566D" w:rsidP="002A33ED" w14:paraId="307D327B" w14:textId="77777777">
      <w:pPr>
        <w:pStyle w:val="NormalHanging12a"/>
        <w:widowControl/>
      </w:pPr>
      <w:r w:rsidRPr="0042566D">
        <w:t>–</w:t>
      </w:r>
      <w:r w:rsidRPr="0042566D">
        <w:tab/>
        <w:t>tekintettel a felszín alatti vizek szennyezés és állapotromlás elleni védelméről szóló, 2006. december 12-i 2006/118/EK európai parlamenti és tanácsi irányelvre</w:t>
      </w:r>
      <w:r>
        <w:rPr>
          <w:rStyle w:val="FootnoteReference"/>
        </w:rPr>
        <w:footnoteReference w:id="4"/>
      </w:r>
      <w:r w:rsidRPr="0042566D">
        <w:t xml:space="preserve"> és a vízpolitika területén a környezetminőségi előírásokról, a 82/176/EGK, a 83/513/EGK, a 84/156/EGK, a 84/491/EGK és a 86/280/EGK tanácsi irányelv módosításáról és azt követő hatályon kívül helyezéséről, valamint a 2000/60/EK európai parlamenti és tanácsi irányelv módosításáról szóló, 2008. december 16-i 2008/105/EK európai parlamenti és tanácsi irányelvre</w:t>
      </w:r>
      <w:r>
        <w:rPr>
          <w:rStyle w:val="FootnoteReference"/>
        </w:rPr>
        <w:footnoteReference w:id="5"/>
      </w:r>
      <w:r w:rsidRPr="0042566D">
        <w:t>,</w:t>
      </w:r>
    </w:p>
    <w:p w:rsidR="00EA5964" w:rsidRPr="0042566D" w:rsidP="002A33ED" w14:paraId="4E065813" w14:textId="77777777">
      <w:pPr>
        <w:pStyle w:val="NormalHanging12a"/>
        <w:widowControl/>
      </w:pPr>
      <w:r w:rsidRPr="0042566D">
        <w:t>–</w:t>
      </w:r>
      <w:r w:rsidRPr="0042566D">
        <w:tab/>
        <w:t>tekintettel a 2030-ig tartó időszakra szóló általános uniós környezetvédelmi cselekvési programról szóló, 2022. április 6-i (EU) 2022/591 európai parlamenti és tanácsi határozatra</w:t>
      </w:r>
      <w:r>
        <w:rPr>
          <w:rStyle w:val="FootnoteReference"/>
        </w:rPr>
        <w:footnoteReference w:id="6"/>
      </w:r>
      <w:r w:rsidRPr="0042566D">
        <w:t>,</w:t>
      </w:r>
    </w:p>
    <w:p w:rsidR="00EA5964" w:rsidRPr="0042566D" w:rsidP="002A33ED" w14:paraId="646D9E00" w14:textId="77777777">
      <w:pPr>
        <w:pStyle w:val="NormalHanging12a"/>
        <w:widowControl/>
      </w:pPr>
      <w:r w:rsidRPr="0042566D">
        <w:t>–</w:t>
      </w:r>
      <w:r w:rsidRPr="0042566D">
        <w:tab/>
        <w:t>tekintettel „A gyógyszerhiányról – hogyan kezeljük az egyre növekvő problémát?” című, 2020. szeptember 17-i állásfoglalására</w:t>
      </w:r>
      <w:r>
        <w:rPr>
          <w:rStyle w:val="FootnoteReference"/>
          <w:color w:val="000000"/>
        </w:rPr>
        <w:footnoteReference w:id="7"/>
      </w:r>
      <w:r w:rsidRPr="0042566D">
        <w:t>,</w:t>
      </w:r>
    </w:p>
    <w:p w:rsidR="00EA5964" w:rsidRPr="0042566D" w:rsidP="002A33ED" w14:paraId="5C5362AE" w14:textId="77777777">
      <w:pPr>
        <w:pStyle w:val="NormalHanging12a"/>
        <w:widowControl/>
      </w:pPr>
      <w:r w:rsidRPr="0042566D">
        <w:t>–</w:t>
      </w:r>
      <w:r w:rsidRPr="0042566D">
        <w:tab/>
        <w:t>tekintettel a települési szennyvíz kezeléséről szóló európai parlamenti és tanácsi irányelvre irányuló javaslatot kísérő hatásvizsgálatról szóló, 2022. október 26-i bizottsági szolgálati munkadokumentumra (</w:t>
      </w:r>
      <w:r w:rsidRPr="0042566D">
        <w:t>SWD(</w:t>
      </w:r>
      <w:r w:rsidRPr="0042566D">
        <w:t>2022)0541),</w:t>
      </w:r>
    </w:p>
    <w:p w:rsidR="00EA5964" w:rsidRPr="0042566D" w:rsidP="002A33ED" w14:paraId="05FD90A5" w14:textId="77777777">
      <w:pPr>
        <w:pStyle w:val="NormalHanging12a"/>
        <w:widowControl/>
      </w:pPr>
      <w:r w:rsidRPr="0042566D">
        <w:t>–</w:t>
      </w:r>
      <w:r w:rsidRPr="0042566D">
        <w:tab/>
        <w:t>tekintettel a „Bolygónk egészségessé tétele mindenki számára – Uniós cselekvési terv: Út a szennyezőanyag-mentes levegő, víz és talaj felé” című, 2021. május 12-i bizottsági közleményre (</w:t>
      </w:r>
      <w:r w:rsidRPr="0042566D">
        <w:t>COM(</w:t>
      </w:r>
      <w:r w:rsidRPr="0042566D">
        <w:t>2021)0400),</w:t>
      </w:r>
    </w:p>
    <w:p w:rsidR="00EA5964" w:rsidRPr="0042566D" w:rsidP="002A33ED" w14:paraId="6BA2BED7" w14:textId="77777777">
      <w:pPr>
        <w:pStyle w:val="NormalHanging12a"/>
        <w:widowControl/>
      </w:pPr>
      <w:r w:rsidRPr="0042566D">
        <w:t>–</w:t>
      </w:r>
      <w:r w:rsidRPr="0042566D">
        <w:tab/>
        <w:t>tekintettel a Közös Kutatóközpont (JRC) „Updated estimation of the costs of quaternary wastewater treatment in the EU – A comparison of cost models” (A negyedleges szennyvízkezelés költségeinek aktualizált becslése az EU-ban – Költségmodellek összevetése) című, 2025. december 10-i jelentésére,</w:t>
      </w:r>
    </w:p>
    <w:p w:rsidR="00EA5964" w:rsidRPr="0042566D" w:rsidP="002A33ED" w14:paraId="5D802116" w14:textId="77777777">
      <w:pPr>
        <w:pStyle w:val="NormalHanging12a"/>
        <w:widowControl/>
      </w:pPr>
      <w:r w:rsidRPr="0042566D">
        <w:t>–</w:t>
      </w:r>
      <w:r w:rsidRPr="0042566D">
        <w:tab/>
        <w:t>tekintettel a kritikus fontosságú gyógyszerekről szóló jogszabállyal kapcsolatban folyamatban lévő munkára,</w:t>
      </w:r>
    </w:p>
    <w:p w:rsidR="00EA5964" w:rsidRPr="0042566D" w:rsidP="002A33ED" w14:paraId="178220E3" w14:textId="77777777">
      <w:pPr>
        <w:pStyle w:val="NormalHanging12a"/>
        <w:widowControl/>
      </w:pPr>
      <w:r w:rsidRPr="0042566D">
        <w:t>–</w:t>
      </w:r>
      <w:r w:rsidRPr="0042566D">
        <w:tab/>
        <w:t>tekintettel eljárási szabályzata 142. cikkének (5) bekezdésére és 136. cikkének (4) bekezdésére,</w:t>
      </w:r>
    </w:p>
    <w:p w:rsidR="00EA5964" w:rsidRPr="0042566D" w:rsidP="002A33ED" w14:paraId="76345A69" w14:textId="77777777">
      <w:pPr>
        <w:pStyle w:val="NormalHanging12a"/>
        <w:widowControl/>
      </w:pPr>
      <w:r w:rsidRPr="0042566D">
        <w:t>A.</w:t>
      </w:r>
      <w:r w:rsidRPr="0042566D">
        <w:tab/>
        <w:t>mivel az EUMSZ 191. cikke kimondja, hogy „az Unió környezetpolitikájának célja a magas szintű védelem, figyelembe véve ugyanakkor az Unió különböző régióinak helyzetében mutatkozó különbségeket”, és ez a politika „az elővigyázatosság és a megelőzés elvén, a környezeti károk elsődlegesen a forrásuknál történő elhárításának elvén, valamint a „szennyező fizet” elven alapul”;</w:t>
      </w:r>
    </w:p>
    <w:p w:rsidR="00EA5964" w:rsidRPr="0042566D" w:rsidP="002A33ED" w14:paraId="517D65F4" w14:textId="77777777">
      <w:pPr>
        <w:pStyle w:val="NormalHanging12a"/>
        <w:widowControl/>
      </w:pPr>
      <w:r w:rsidRPr="0042566D">
        <w:t>B.</w:t>
      </w:r>
      <w:r w:rsidRPr="0042566D">
        <w:tab/>
        <w:t>mivel a víz nélkülözhetetlen az élet és az emberiség számára; mivel az Uniónak hatékonyan kell kezelnie a meglévő és jövőbeli vízkészleteket, és hatékonyan kell reagálnia a vízzel kapcsolatos jelenlegi kihívásokra, azok ugyanis közvetlenül érintik az emberi egészséget, a környezetet és annak ökoszisztémáit, valamint a stratégiai társadalmi-gazdasági tevékenységeket;</w:t>
      </w:r>
    </w:p>
    <w:p w:rsidR="00EA5964" w:rsidRPr="0042566D" w:rsidP="002A33ED" w14:paraId="52BD2C90" w14:textId="77777777">
      <w:pPr>
        <w:pStyle w:val="NormalHanging12a"/>
        <w:widowControl/>
      </w:pPr>
      <w:r w:rsidRPr="0042566D">
        <w:t>C.</w:t>
      </w:r>
      <w:r w:rsidRPr="0042566D">
        <w:tab/>
        <w:t>mivel a víztestek valamennyi formájában megtalálható és az EU összes vizében kimutatható mikroszennyező anyagok káros hatással, többek között rákkeltő és endokrin károsító hatással vannak az emberi egészségre, valamint – még alacsony koncentrációban is – a vízi élővilágra, és hozzájárulnak az antimikrobiális rezisztencia terjedéséhez; mivel az Egészségügyi Világszervezet az antimikrobiális rezisztenciát sürgős globális egészségügyi válságnak nyilvánította, amely az előrejelzések szerint 2050-re világszerte több halálesetet fog okozni, mint a rák; mivel a gyógyszerekből származó számos mikroszennyező anyag a beteg általi felhasználás után kerül a vízbe, s nem pedig a gyártás vagy az ártalmatlanítás során;</w:t>
      </w:r>
    </w:p>
    <w:p w:rsidR="00EA5964" w:rsidRPr="0042566D" w:rsidP="002A33ED" w14:paraId="3E6371DF" w14:textId="77777777">
      <w:pPr>
        <w:pStyle w:val="NormalHanging12a"/>
        <w:widowControl/>
      </w:pPr>
      <w:r w:rsidRPr="0042566D">
        <w:t>D.</w:t>
      </w:r>
      <w:r w:rsidRPr="0042566D">
        <w:tab/>
        <w:t>mivel a vízszennyezés, beleértve a mikroszennyező anyagok okozta szennyezést is, növekvő és súlyos fenyegetést jelent az ökoszisztémákra, a biológiai sokféleségre, valamint az emberi és állati egészségre nézve, és jelenleg évente több mint 75 milliárd EUR-ba kerül az EU-nak; mivel a települési szennyvíz a vízszennyezés egyik fő forrása, ha nem gyűjtik és kezelik megfelelően; mivel az egészségre és a környezetre gyakorolt káros hatások elkerülése érdekében el kell távolítani a mikroszennyező anyagokat a szennyezett szennyvízből;</w:t>
      </w:r>
    </w:p>
    <w:p w:rsidR="00EA5964" w:rsidRPr="0042566D" w:rsidP="002A33ED" w14:paraId="08143E86" w14:textId="77777777">
      <w:pPr>
        <w:pStyle w:val="NormalHanging12a"/>
        <w:widowControl/>
      </w:pPr>
      <w:r w:rsidRPr="0042566D">
        <w:t>E.</w:t>
      </w:r>
      <w:r w:rsidRPr="0042566D">
        <w:tab/>
        <w:t>mivel számos uniós település és közösség az ivóvíz parti szűrésére támaszkodik, ami a mikroszennyező anyagokkal egyre jobban szennyezett vízellátást eredményez;</w:t>
      </w:r>
    </w:p>
    <w:p w:rsidR="00EA5964" w:rsidRPr="0042566D" w:rsidP="002A33ED" w14:paraId="0BAF4B3D" w14:textId="77777777">
      <w:pPr>
        <w:pStyle w:val="NormalHanging12a"/>
        <w:widowControl/>
      </w:pPr>
      <w:r w:rsidRPr="0042566D">
        <w:t>F.</w:t>
      </w:r>
      <w:r w:rsidRPr="0042566D">
        <w:tab/>
        <w:t>mivel az elsődleges, másodlagos és harmadlagos kezelés költségeit általában az állami szervek fedezik az adófizetők pénzéből vagy vízdíjakból; mivel az EUMSZ 191. cikkében foglalt „szennyező fizet” elv szennyvíztisztításra való alkalmazását először a települési szennyvíz kezeléséről szóló felülvizsgált irányelvben vezették be;</w:t>
      </w:r>
    </w:p>
    <w:p w:rsidR="00EA5964" w:rsidRPr="0042566D" w:rsidP="002A33ED" w14:paraId="5EE60B3F" w14:textId="77777777">
      <w:pPr>
        <w:pStyle w:val="NormalHanging12a"/>
        <w:widowControl/>
      </w:pPr>
      <w:r w:rsidRPr="0042566D">
        <w:t>G.</w:t>
      </w:r>
      <w:r w:rsidRPr="0042566D">
        <w:tab/>
        <w:t>mivel a települési szennyvíz kezeléséről szóló irányelv meghatározza a települési szennyvíz összegyűjtésének, kezelésének és kibocsátásának, valamint az egyes ipari ágazatokból származó, biológiailag lebomló szennyvíz kibocsátásának jogi keretét, mivel a települési szennyvíz kezeléséről szóló felülvizsgált irányelv célja a vízszennyezés – többek között a mikroszennyező anyagok – csökkentése és a vízminőség védelme az egész EU-ban; mivel a szennyvízben található mikroszennyező anyagokat a hagyományos szennyvíztisztítás nem távolítja el hatékonyan; mivel a felülvizsgált irányelv bevezeti a szennyvíz negyedleges kezelésének kötelezettségét, amely eltávolítja a mikroszennyező anyagokat, ezáltal biztosítva az egészség és a környezet magas szintű védelmét, összhangban az „egy egészség” megközelítéssel; mivel a felülvizsgált irányelv előírja a negyedleges kezelés szisztematikus korszerűsítését a több mint 150 000 embert kiszolgáló nagy szennyvíztisztító telepeken (azaz a nagyvárosokban, mivel ezek a mikroszennyező anyagok kibocsátásának gócpontjai), és a kisebb szennyvíztisztító telepek esetében pedig csak akkor írja elő a korszerűsítést, ha azok veszélyeztetett területeken találhatók;</w:t>
      </w:r>
    </w:p>
    <w:p w:rsidR="00EA5964" w:rsidRPr="0042566D" w:rsidP="002A33ED" w14:paraId="3A4A508B" w14:textId="77777777">
      <w:pPr>
        <w:pStyle w:val="NormalHanging12a"/>
        <w:widowControl/>
      </w:pPr>
      <w:r w:rsidRPr="0042566D">
        <w:t>H.</w:t>
      </w:r>
      <w:r w:rsidRPr="0042566D">
        <w:tab/>
        <w:t>mivel a negyedleges kezelés végrehajtása fokozatosan történik, 2033 decemberében kezdődően, amikor is a nagyobb telepek csak 20%-át, illetve a kisebb telepek csak 10%-át kell korszerűsíteni, a teljes körű végrehajtás pedig 2045 decemberére valósul meg; mivel a települési szennyvíz további és fejlett kezeléseként be kell vezetni a negyedleges kezelést a mikroszennyező anyagok lehető legszélesebb spektrumának kiküszöbölése érdekében, ahhoz, hogy ezeket a szennyező anyagokat drasztikusan csökkentsék, és megvédjék a közegészséget és a környezetet; mivel a negyedleges kezelés bevezetése az irányelv legköltségesebb eleme;</w:t>
      </w:r>
    </w:p>
    <w:p w:rsidR="00EA5964" w:rsidRPr="0042566D" w:rsidP="002A33ED" w14:paraId="5000CA79" w14:textId="77777777">
      <w:pPr>
        <w:pStyle w:val="NormalHanging12a"/>
        <w:widowControl/>
      </w:pPr>
      <w:r w:rsidRPr="0042566D">
        <w:t>I.</w:t>
      </w:r>
      <w:r w:rsidRPr="0042566D">
        <w:tab/>
        <w:t>mivel a „szennyező fizet” elv az EUMSZ 191. cikkében rögzített, jogilag kötelező erejű elv, amelynek célja annak biztosítása, hogy a környezeti károk okozóinak, ne pedig az adófizetőknek vagy a szélesebb társadalomnak kelljen viselniük a szennyezés megelőzésének, ellenőrzésének és orvoslásának a költségeit;</w:t>
      </w:r>
    </w:p>
    <w:p w:rsidR="00EA5964" w:rsidRPr="0042566D" w:rsidP="002A33ED" w14:paraId="496465F7" w14:textId="77777777">
      <w:pPr>
        <w:pStyle w:val="NormalHanging12a"/>
        <w:widowControl/>
      </w:pPr>
      <w:r w:rsidRPr="0042566D">
        <w:t>J.</w:t>
      </w:r>
      <w:r w:rsidRPr="0042566D">
        <w:tab/>
      </w:r>
      <w:bookmarkStart w:id="7" w:name="_Hlk227220226"/>
      <w:r w:rsidRPr="0042566D">
        <w:t xml:space="preserve">mivel a kiterjesztett gyártói felelősség célja a környezeti externáliák internalizálása, és arra kell ösztönöznie a gyártókat, hogy a termékek teljes életciklusa során – a tervezéstől az életciklus végéig – figyelembe vegyék a környezetvédelmi megfontolásokat, hatékonyan végrehajtva a „szennyező fizet” elvet; mivel a legtöbb meglévő kiterjesztett gyártói felelősségi rendszert azonosítható pontforrásokból </w:t>
      </w:r>
      <w:r w:rsidRPr="0042566D">
        <w:t>származó hulladékáramok keretében dolgozták ki, ahol a gyártók hatékonyan tudják megszervezni, nyomon követni és ellenőrizni a begyűjtési és kezelési rendszereket;</w:t>
      </w:r>
      <w:bookmarkEnd w:id="7"/>
    </w:p>
    <w:p w:rsidR="00EA5964" w:rsidRPr="0042566D" w:rsidP="002A33ED" w14:paraId="2BA87EB0" w14:textId="77777777">
      <w:pPr>
        <w:pStyle w:val="NormalHanging12a"/>
        <w:widowControl/>
      </w:pPr>
      <w:r w:rsidRPr="0042566D">
        <w:t>K.</w:t>
      </w:r>
      <w:r w:rsidRPr="0042566D">
        <w:tab/>
        <w:t>mivel a gyógyszereket a betegek kezelése céljából fejlesztik ki és engedélyezik; mivel a környezeti kockázatértékelés a gyógyszerek engedélyezésének szükséges kritériuma, de a környezeti kockázat nem képezi részét a gyógyszerek engedélyezése során végzett előny/kockázat értékelésnek;</w:t>
      </w:r>
    </w:p>
    <w:p w:rsidR="00EA5964" w:rsidRPr="0042566D" w:rsidP="002A33ED" w14:paraId="7A10E420" w14:textId="77777777">
      <w:pPr>
        <w:pStyle w:val="NormalHanging12a"/>
        <w:widowControl/>
      </w:pPr>
      <w:r w:rsidRPr="0042566D">
        <w:t>L.</w:t>
      </w:r>
      <w:r w:rsidRPr="0042566D">
        <w:tab/>
        <w:t>mivel a Bizottság és a Közös Kutatóközpont adatai és elemzései azt mutatják, hogy a szennyvízben található potenciálisan káros és biológiailag nehezen lebomló anyagok legnagyobb része a gyógyszerekből és a kozmetikumokból származik; mivel egyes forgalombahozataliengedély-jogosultak arról számolnak be, hogy ezekben az elemzésekben az egyes termékeknek tulajdonított mérgező terhelések eltérnek a gyógyszerek környezeti kockázatértékeléséből származó adatoktól;</w:t>
      </w:r>
    </w:p>
    <w:p w:rsidR="00EA5964" w:rsidRPr="0042566D" w:rsidP="002A33ED" w14:paraId="750C96AF" w14:textId="77777777">
      <w:pPr>
        <w:pStyle w:val="NormalHanging12a"/>
        <w:widowControl/>
      </w:pPr>
      <w:r w:rsidRPr="0042566D">
        <w:t>M.</w:t>
      </w:r>
      <w:r w:rsidRPr="0042566D">
        <w:tab/>
        <w:t>mivel a települési szennyvíz kezeléséről szóló felülvizsgált irányelv a kiterjesztett gyártói felelősségre vonatkozó rendelkezéseket vezetett be a „szennyező fizet” elvvel összhangban, amely előírja, hogy a negyedleges kezelés költségeinek legalább 80%-át a szennyező anyagok kibocsátásáért felelősként azonosított fő ágazatoknak, nevezetesen a gyógyszer- és kozmetikai iparnak kell fedeznie;</w:t>
      </w:r>
    </w:p>
    <w:p w:rsidR="00D61366" w:rsidRPr="0042566D" w:rsidP="002A33ED" w14:paraId="5510E2E2" w14:textId="0DA5D862">
      <w:pPr>
        <w:pStyle w:val="NormalHanging12a"/>
        <w:widowControl/>
      </w:pPr>
      <w:r>
        <w:t>N</w:t>
      </w:r>
      <w:r w:rsidRPr="0042566D">
        <w:t>.</w:t>
      </w:r>
      <w:r w:rsidRPr="0042566D">
        <w:tab/>
        <w:t>mivel a negyedleges szennyvíztisztítás bevezetése az irányelv legköltségesebb eleme;</w:t>
      </w:r>
    </w:p>
    <w:p w:rsidR="00D61366" w:rsidRPr="0042566D" w:rsidP="002A33ED" w14:paraId="3E797441" w14:textId="2E6AF022">
      <w:pPr>
        <w:pStyle w:val="NormalHanging12a"/>
        <w:widowControl/>
      </w:pPr>
      <w:r>
        <w:t>O</w:t>
      </w:r>
      <w:r w:rsidRPr="0042566D">
        <w:t>.</w:t>
      </w:r>
      <w:r w:rsidRPr="0042566D">
        <w:tab/>
        <w:t>mivel a tagállamok költségbecslései jelentősen meghaladják a Bizottság hatásvizsgálatában foglaltakat (pl. Németország és Spanyolország sokszorosan magasabb költségekről számolt be);</w:t>
      </w:r>
    </w:p>
    <w:p w:rsidR="00EA5964" w:rsidRPr="0042566D" w:rsidP="002A33ED" w14:paraId="7EFDA989" w14:textId="578B1B99">
      <w:pPr>
        <w:pStyle w:val="NormalHanging12a"/>
        <w:widowControl/>
      </w:pPr>
      <w:r>
        <w:t>P</w:t>
      </w:r>
      <w:r w:rsidRPr="0042566D">
        <w:t>.</w:t>
      </w:r>
      <w:r w:rsidRPr="0042566D">
        <w:tab/>
        <w:t>mivel a kiterjesztett gyártói felelősség célja, hogy finanszírozza a mikroszennyező anyagok szennyvízből való eltávolítását, és ösztönözze a kevésbé mérgező, biológiailag jobban lebomló termékek fejlesztését, amelyek mentesülnek a kiterjesztett gyártói felelősség alól; mivel a kiterjesztett gyártói felelősségi rendszer ösztönzi és jutalmazza az innovációt a kevésbé káros anyagok fejlesztése és használata terén az érintett ágazatokban;</w:t>
      </w:r>
    </w:p>
    <w:p w:rsidR="00EA5964" w:rsidRPr="0042566D" w:rsidP="002A33ED" w14:paraId="645DF79C" w14:textId="0EAE8EDB">
      <w:pPr>
        <w:pStyle w:val="NormalHanging12a"/>
        <w:widowControl/>
      </w:pPr>
      <w:r>
        <w:t>Q</w:t>
      </w:r>
      <w:r w:rsidRPr="0042566D">
        <w:t>.</w:t>
      </w:r>
      <w:r w:rsidRPr="0042566D">
        <w:tab/>
        <w:t>mivel a biztonságos, hatékony és megfizethető gyógyszerekhez való hozzáférés az európai uniós közegészségügyi rendszerek sarokköve, és biztosítani kell a gyógyszerellátás biztonságát az EU-ban;</w:t>
      </w:r>
    </w:p>
    <w:p w:rsidR="00EA5964" w:rsidRPr="0042566D" w:rsidP="002A33ED" w14:paraId="03F10BD8" w14:textId="59AB2BF8">
      <w:pPr>
        <w:pStyle w:val="NormalHanging12a"/>
        <w:widowControl/>
      </w:pPr>
      <w:r>
        <w:t>R</w:t>
      </w:r>
      <w:r w:rsidRPr="0042566D">
        <w:t>.</w:t>
      </w:r>
      <w:r w:rsidRPr="0042566D">
        <w:tab/>
        <w:t>mivel a Bizottság hatásvizsgálata és független adatok szerint a kiterjesztett gyártói felelősség alkalmazása csak elenyésző mértékben eredményezné a termékek bekerülési költségének esetleges emelkedését vagy az uniós piacon termékeket forgalomba hozó ágazatok haszonkulcsának esetleges csökkenését, és nem veszélyeztetné az uniós piacon az említett termékek megfizethetőségét, rendelkezésre állását vagy hozzáférhetőségét;</w:t>
      </w:r>
    </w:p>
    <w:p w:rsidR="00EA5964" w:rsidRPr="0042566D" w:rsidP="002A33ED" w14:paraId="51600DB9" w14:textId="16C29CB7">
      <w:pPr>
        <w:pStyle w:val="NormalHanging12a"/>
        <w:widowControl/>
      </w:pPr>
      <w:r>
        <w:t>S</w:t>
      </w:r>
      <w:r w:rsidRPr="0042566D">
        <w:t>.</w:t>
      </w:r>
      <w:r w:rsidRPr="0042566D">
        <w:tab/>
        <w:t xml:space="preserve">mivel egyes tagállami hatóságok költségbecslései meghaladják a Bizottság hatásvizsgálatában foglaltakat (pl. Németország és Spanyolország sokszorosan magasabb költségekről számolt be); mivel a Bizottság hatásvizsgálatát egyes érdekelt felek is vitatták, különösen a gyógyszerek és kozmetikumok környezeti hozzájárulása és a gyógyszerárakra gyakorolt hatások kiszámítása tekintetében; mivel a Közös Kutatóközpont egy második tanulmányt is készített azzal a céllal, hogy tisztázza és tovább vizsgálja az irányelv által érintett ipari ágazatok által fedezendő lehetséges </w:t>
      </w:r>
      <w:r w:rsidRPr="0042566D">
        <w:t>költségeket; mivel ez az új tanulmány nagyrészt megerősítette a korábbi adatokat és megállapításokat;</w:t>
      </w:r>
    </w:p>
    <w:p w:rsidR="00283449" w:rsidP="002A33ED" w14:paraId="1DAFE995" w14:textId="4302E73B">
      <w:pPr>
        <w:pStyle w:val="NormalHanging12a"/>
        <w:widowControl/>
      </w:pPr>
      <w:r>
        <w:t>T</w:t>
      </w:r>
      <w:r w:rsidRPr="0042566D" w:rsidR="00D61366">
        <w:t>.</w:t>
      </w:r>
      <w:r w:rsidRPr="0042566D" w:rsidR="00D61366">
        <w:tab/>
        <w:t>mivel módszertani és tudományos okokból kifogásolt az, hogy a Bizottság a mikroszennyező anyagok mintegy 92%-át a gyógyszereknek és a kozmetikumoknak tulajdonítja, különös tekintettel arra, hogy nem készült alapos elemzés a betegek hozzáférésére és a nemzeti egészségügyi költségvetésekre gyakorolt következményekről; mivel ez a mulasztás különösen kritikus fontosságú az innovatív, generikus és lejárt szabadalmú gyógyszereket is magában foglaló teljes gyógyszeripari ökoszisztéma szempontjából, amelynek összessége a betegek hozzáférését, az ellátás biztonságát és az európai egészségügyi rendszerek hosszú távú fenntarthatóságát támasztja alá, miközben fenntartja a kutatásba és fejlesztésbe történő beruházásokat és a gyártási lábnyomot, amelytől Európa egészségügyi stratégiai autonómiája függ;</w:t>
      </w:r>
    </w:p>
    <w:p w:rsidR="00EA5964" w:rsidRPr="0042566D" w:rsidP="002A33ED" w14:paraId="6CFB4B25" w14:textId="616D9899">
      <w:pPr>
        <w:pStyle w:val="NormalHanging12a"/>
        <w:widowControl/>
      </w:pPr>
      <w:r>
        <w:t>U</w:t>
      </w:r>
      <w:r w:rsidRPr="0042566D">
        <w:t>.</w:t>
      </w:r>
      <w:r w:rsidRPr="0042566D">
        <w:tab/>
        <w:t>mivel a generikus gyógyszerek az EU-ban kiadott gyógyszerek közel 70%-át teszik ki</w:t>
      </w:r>
      <w:r>
        <w:rPr>
          <w:rStyle w:val="FootnoteReference"/>
          <w:color w:val="000000"/>
        </w:rPr>
        <w:footnoteReference w:id="8"/>
      </w:r>
      <w:r w:rsidRPr="0042566D">
        <w:t>, és alapvető fontosságúak az egészségügyi rendszer fenntarthatósága szempontjából; mivel a generikus gyógyszerek gyártói jellemzően szigorú árképzési keretek között, továbbá nagy volumenre és alacsonyabb árrésre épülő gazdasági modell alapján működnek, ami korlátozza a további szabályozási költségek elnyelésére való képességüket, és ezért érzékenyebbek lehetnek a költségnövekedésre, ami szükségessé teszi az irányelv végrehajtásának gondos nyomon követését;</w:t>
      </w:r>
    </w:p>
    <w:p w:rsidR="00EA5964" w:rsidRPr="0042566D" w:rsidP="002A33ED" w14:paraId="7F7EBB94" w14:textId="44842170">
      <w:pPr>
        <w:pStyle w:val="NormalHanging12a"/>
        <w:widowControl/>
      </w:pPr>
      <w:r>
        <w:t>V</w:t>
      </w:r>
      <w:r w:rsidRPr="0042566D">
        <w:t>.</w:t>
      </w:r>
      <w:r w:rsidRPr="0042566D">
        <w:tab/>
        <w:t>mivel a generikus gyógyszerek ugyanazon a hatóanyagon alapulnak, mint a referencia-gyógyszer, ami megnehezíti a generikus gyógyszerek gyártói számára, hogy a szennyezést annak forrásánál kezeljék;</w:t>
      </w:r>
    </w:p>
    <w:p w:rsidR="00EA5964" w:rsidRPr="0042566D" w:rsidP="002A33ED" w14:paraId="3BEF27C2" w14:textId="1C03A932">
      <w:pPr>
        <w:pStyle w:val="NormalHanging12a"/>
        <w:widowControl/>
      </w:pPr>
      <w:r>
        <w:t>W</w:t>
      </w:r>
      <w:r w:rsidRPr="0042566D">
        <w:t>.</w:t>
      </w:r>
      <w:r w:rsidRPr="0042566D">
        <w:tab/>
        <w:t>mivel az elmúlt években súlyosbodott a gyógyszerhiány az EU-ban, és kockázatot jelent a betegellátásra nézve; mivel az EU a gyógyszerhatóanyagok tekintetében továbbra is nagymértékben függ a nem uniós országoktól; mivel az EU lépéseket tesz a gyógyszerhiány és az ellátásbiztonság kezelése érdekében, többek között a gyógyszerek felülvizsgált általános szabályozása és a kritikus fontosságú gyógyszerekről szóló jogszabály révén;</w:t>
      </w:r>
    </w:p>
    <w:p w:rsidR="00EA5964" w:rsidRPr="0042566D" w:rsidP="002A33ED" w14:paraId="60D51537" w14:textId="537E9F08">
      <w:pPr>
        <w:pStyle w:val="NormalHanging12a"/>
        <w:widowControl/>
      </w:pPr>
      <w:r>
        <w:t>X</w:t>
      </w:r>
      <w:r w:rsidRPr="0042566D">
        <w:t>.</w:t>
      </w:r>
      <w:r w:rsidRPr="0042566D">
        <w:tab/>
        <w:t>mivel a felülvizsgált UWWT-irányelv rugalmasságot biztosít a tagállamok számára a kiterjesztett gyártói felelősségi rendszerek kialakítása és a hozzájárulások kiszámítására szolgáló módszerek kidolgozása terén, lehetővé téve számukra, hogy a kiterjesztett gyártói felelősségi rendszereket úgy alakítsák ki, hogy biztosítsák az arányosságot és elkerüljék a nem kívánt következményeket, beleértve a gyógyszerellátás veszélyeztetését is, ezáltal egyensúlyt teremtve a közegészségügyi célkitűzések és a környezeti felelősség között;</w:t>
      </w:r>
    </w:p>
    <w:p w:rsidR="00EA5964" w:rsidRPr="0042566D" w:rsidP="002A33ED" w14:paraId="699BD3B7" w14:textId="3BA7D4C4">
      <w:pPr>
        <w:pStyle w:val="NormalHanging12a"/>
        <w:widowControl/>
      </w:pPr>
      <w:r>
        <w:t>Y</w:t>
      </w:r>
      <w:r w:rsidRPr="0042566D">
        <w:t>.</w:t>
      </w:r>
      <w:r w:rsidRPr="0042566D">
        <w:tab/>
        <w:t xml:space="preserve">mivel a felülvizsgált UWWT-irányelv 10. cikke kötelezővé teszi a nyomonkövetési és végrehajtási kereteket, beleértve annak </w:t>
      </w:r>
      <w:bookmarkStart w:id="8" w:name="_Hlk226712466"/>
      <w:r w:rsidRPr="0042566D">
        <w:t xml:space="preserve">biztosítását, hogy az irányelv – többek között a gyógyszerárakra gyakorolt – hatásait megfelelően </w:t>
      </w:r>
      <w:bookmarkEnd w:id="8"/>
      <w:r w:rsidRPr="0042566D">
        <w:t>nyomon kövessék;</w:t>
      </w:r>
    </w:p>
    <w:p w:rsidR="00EA5964" w:rsidRPr="0042566D" w:rsidP="002A33ED" w14:paraId="1A161389" w14:textId="309A3B65">
      <w:pPr>
        <w:pStyle w:val="NormalHanging12a"/>
        <w:widowControl/>
      </w:pPr>
      <w:r>
        <w:t>Z</w:t>
      </w:r>
      <w:r w:rsidRPr="0042566D">
        <w:t>.</w:t>
      </w:r>
      <w:r w:rsidRPr="0042566D">
        <w:tab/>
        <w:t xml:space="preserve">mivel az UWWT-irányelv (20) preambulumbekezdése megerősíti, hogy az irányelv már </w:t>
      </w:r>
      <w:bookmarkStart w:id="9" w:name="_Hlk226712417"/>
      <w:r w:rsidRPr="0042566D">
        <w:t>rendelkezik a nyomonkövetési adatokon és tudományos bizonyítékokon alapuló rendszeres értékelésről</w:t>
      </w:r>
      <w:bookmarkEnd w:id="9"/>
      <w:r w:rsidRPr="0042566D">
        <w:t xml:space="preserve">, beleértve szükség esetén a rendszer hatálya aktualizálásának </w:t>
      </w:r>
      <w:r w:rsidRPr="0042566D">
        <w:t>lehetőségét is, ezáltal elegendő rugalmasságot biztosítva a meglévő jogi kereten belül anélkül, hogy szükség lenne az irányelv újbóli felülvizsgálatára;</w:t>
      </w:r>
    </w:p>
    <w:p w:rsidR="00EA5964" w:rsidRPr="0042566D" w:rsidP="002A33ED" w14:paraId="5BF83281" w14:textId="28E826A0">
      <w:pPr>
        <w:pStyle w:val="NormalHanging12a"/>
        <w:widowControl/>
      </w:pPr>
      <w:r>
        <w:t>AA</w:t>
      </w:r>
      <w:r w:rsidRPr="0042566D">
        <w:t>.</w:t>
      </w:r>
      <w:r w:rsidRPr="0042566D">
        <w:tab/>
        <w:t>mivel a felülvizsgált UWWT-irányelv előírja a Bizottság számára, hogy 2033 végéig, majd 2040 végéig végezzen átfogó értékelést, lehetőséget biztosítva az irányelv hatásainak vizsgálatára, és szükség esetén kiigazításokat javasoljon;</w:t>
      </w:r>
    </w:p>
    <w:p w:rsidR="00EA5964" w:rsidRPr="0042566D" w:rsidP="002A33ED" w14:paraId="5BB6607E" w14:textId="26277FEB">
      <w:pPr>
        <w:pStyle w:val="NormalHanging12a"/>
        <w:widowControl/>
      </w:pPr>
      <w:r>
        <w:t>A</w:t>
      </w:r>
      <w:r w:rsidR="00283449">
        <w:t>B</w:t>
      </w:r>
      <w:r w:rsidRPr="0042566D">
        <w:t>.</w:t>
      </w:r>
      <w:r w:rsidRPr="0042566D">
        <w:tab/>
        <w:t>mivel a Bizottság becslése szerint a gyógyszerárakra gyakorolt hatás 2045-re még a költségek teljes áthárítása esetén is fejenként évi 2,64–3,20 EUR-t tenne ki; ezt a becslést a Közös Kutatóközpont 2025 decemberében újból megerősítette, figyelembe véve a társjogalkotók által elfogadott végleges szöveget;</w:t>
      </w:r>
    </w:p>
    <w:p w:rsidR="00EA5964" w:rsidRPr="0042566D" w:rsidP="002A33ED" w14:paraId="7EA0B59C" w14:textId="5463205A">
      <w:pPr>
        <w:pStyle w:val="NormalHanging12a"/>
        <w:widowControl/>
      </w:pPr>
      <w:r>
        <w:t>A</w:t>
      </w:r>
      <w:r w:rsidR="00283449">
        <w:t>C</w:t>
      </w:r>
      <w:r w:rsidRPr="0042566D">
        <w:t>.</w:t>
      </w:r>
      <w:r w:rsidRPr="0042566D">
        <w:tab/>
        <w:t>mivel az irányelv hosszú végrehajtási ütemtervet ír elő, egyes rendelkezések teljes körű alkalmazását 2045-ig késleltetve, lehetővé téve az irányelv és az általa előírt negyedleges kezelési kötelezettségek fokozatos és kiegyensúlyozott végrehajtását, 2033-ra 20%-os, 2039-re 60%-os, 2045-re pedig a teljes lefedettség elérését irányozva elő; mivel az irányelv időt biztosít a tagállamoknak arra, hogy a gyógyszerekre vonatkozó új pályázati eljárások révén kiigazítsák a szerződések árképzését;</w:t>
      </w:r>
    </w:p>
    <w:p w:rsidR="00EA5964" w:rsidRPr="0042566D" w:rsidP="002A33ED" w14:paraId="76641AD4" w14:textId="79DD0F8F">
      <w:pPr>
        <w:pStyle w:val="NormalHanging12a"/>
        <w:widowControl/>
      </w:pPr>
      <w:r w:rsidRPr="0042566D">
        <w:t>A</w:t>
      </w:r>
      <w:r w:rsidR="00283449">
        <w:t>D</w:t>
      </w:r>
      <w:r w:rsidRPr="0042566D">
        <w:t>.</w:t>
      </w:r>
      <w:r w:rsidRPr="0042566D">
        <w:tab/>
        <w:t>mivel a Bizottság hatásvizsgálata és a Közös Kutatóközpont tanulmánya szerint a gyógyszerek árának ebből eredő emelkedése még a költségek teljes áthárítása esetén is elhanyagolható marad a fellépés elmaradásának költségeihez képest, mivel a mikroszennyező anyagoknak való kitettséghez kapcsolódó betegségekhez, különösen a rákhoz kapcsolódó jelentős hosszú távú egészségügyi kiadások már most is jelentősen nagyobb terhet rónak a közegészségügyi rendszerekre, és ez várhatóan jelentősen növekedni fog;</w:t>
      </w:r>
    </w:p>
    <w:p w:rsidR="00EA5964" w:rsidRPr="0042566D" w:rsidP="002A33ED" w14:paraId="79662C46" w14:textId="30AACC3F">
      <w:pPr>
        <w:pStyle w:val="NormalHanging12a"/>
        <w:widowControl/>
      </w:pPr>
      <w:r w:rsidRPr="0042566D">
        <w:t>A</w:t>
      </w:r>
      <w:r w:rsidR="00283449">
        <w:t>E</w:t>
      </w:r>
      <w:r w:rsidRPr="0042566D">
        <w:t>.</w:t>
      </w:r>
      <w:r w:rsidRPr="0042566D">
        <w:tab/>
        <w:t>mivel a negyedleges kezelésekhez való hozzájárulással kapcsolatos költségek a forgalomba hozott termékeken alapulnak, és ezért minden terméket magukban foglalnak, függetlenül attól, hogy azokat az EU-ban vagy azon kívül állították-e elő, és a kiterjesztett gyártói felelősségi kötelezettség egységesen alkalmazandó az uniós piacon termékeket forgalomba hozó valamennyi vállalatra, biztosítva az egyenlő versenyfeltételeket és megelőzve a tisztességtelen versenyelőnyöket; mivel az irányelv célja ezért az, hogy ne gyakoroljon torzító hatást a piacra, és ne okozzon hátrányt az uniós termelők és az ágazat általános versenyképessége számára; mivel nagyon fontos annak biztosítása, hogy valamennyi importált termék megfeleljen a kiterjesztett gyártói felelősségi kötelezettségeknek, és finanszírozza azokat, beleértve az összes kis magánszállítmányt, például az online megrendeléseket is;</w:t>
      </w:r>
    </w:p>
    <w:p w:rsidR="00EA5964" w:rsidRPr="0042566D" w:rsidP="002A33ED" w14:paraId="5FBD83F8" w14:textId="236A6AEC">
      <w:pPr>
        <w:pStyle w:val="NormalHanging12a"/>
        <w:widowControl/>
      </w:pPr>
      <w:r w:rsidRPr="0042566D">
        <w:t>A</w:t>
      </w:r>
      <w:r w:rsidR="00283449">
        <w:t>F</w:t>
      </w:r>
      <w:r w:rsidRPr="0042566D">
        <w:t>.</w:t>
      </w:r>
      <w:r w:rsidRPr="0042566D">
        <w:tab/>
        <w:t>mivel a Bizottság hatásvizsgálata azt mutatja, hogy kiterjesztett gyártói felelősség hiányában a negyedleges szennyvízkezelés 2040-ig évente mintegy 1,186 milliárd EUR-ra becsült éves költségét egyébként elsősorban magasabb vízdíjakból és az állami költségvetésekből kellene fedezni, ezáltal a szennyezés költségeit az iparról a polgárokra és az adófizetőkre hárítva át; és méltánytalan terhet róva a háztartásokra, köztük a legkiszolgáltatottabbakra is, és méltánytalan terhet róva a háztartásokra, köztük a legkiszolgáltatottabbakra is;</w:t>
      </w:r>
    </w:p>
    <w:p w:rsidR="00EA5964" w:rsidRPr="0042566D" w:rsidP="002A33ED" w14:paraId="047CBBC1" w14:textId="4494B800">
      <w:pPr>
        <w:pStyle w:val="NormalHanging12a"/>
        <w:widowControl/>
      </w:pPr>
      <w:r w:rsidRPr="0042566D">
        <w:t>A</w:t>
      </w:r>
      <w:r w:rsidR="00283449">
        <w:t>G</w:t>
      </w:r>
      <w:r w:rsidRPr="0042566D">
        <w:t>.</w:t>
      </w:r>
      <w:r w:rsidRPr="0042566D">
        <w:tab/>
        <w:t xml:space="preserve">mivel a kiterjesztett gyártói felelősségi rendszer végrehajtása szükséges a jogbiztonság és a pénzügyi biztonság biztosításához, különösen a közintézmények számára, valamint a szennyvíz-infrastruktúrába történő szükséges beruházások biztosításához a környezetvédelmi és közegészségügyi célkitűzések elérése, valamint annak biztosítása </w:t>
      </w:r>
      <w:r w:rsidRPr="0042566D">
        <w:t>érdekében, hogy a polgárok és a vízfogyasztók ne viseljék a szennyezés azon pénzügyi költségeit, amelyekért nem felelősek;</w:t>
      </w:r>
    </w:p>
    <w:p w:rsidR="00EA5964" w:rsidRPr="0042566D" w:rsidP="002A33ED" w14:paraId="403B9BDA" w14:textId="1863B0CB">
      <w:pPr>
        <w:pStyle w:val="NormalHanging12a"/>
        <w:widowControl/>
      </w:pPr>
      <w:r w:rsidRPr="0042566D">
        <w:t>A</w:t>
      </w:r>
      <w:r w:rsidR="00283449">
        <w:t>H</w:t>
      </w:r>
      <w:r w:rsidRPr="0042566D">
        <w:t>.</w:t>
      </w:r>
      <w:r w:rsidRPr="0042566D">
        <w:tab/>
        <w:t>mivel az új környezetminőségi előírások, különösen a víz-keretirányelv szerinti kilenc gyógyszerészeti környezetminőségi előírás, nem teljesíthetők fejlett és további szennyvíztisztítás nélkül;</w:t>
      </w:r>
    </w:p>
    <w:p w:rsidR="00EA5964" w:rsidRPr="0042566D" w:rsidP="002A33ED" w14:paraId="49D6D1A3" w14:textId="43821897">
      <w:pPr>
        <w:pStyle w:val="NormalHanging12a"/>
        <w:widowControl/>
      </w:pPr>
      <w:r w:rsidRPr="0042566D">
        <w:t>A</w:t>
      </w:r>
      <w:r w:rsidR="00283449">
        <w:t>I</w:t>
      </w:r>
      <w:r w:rsidRPr="0042566D">
        <w:t>.</w:t>
      </w:r>
      <w:r w:rsidRPr="0042566D">
        <w:tab/>
        <w:t>mivel a települési szennyvíz kezeléséről szóló átdolgozott irányelv arra kötelezi a Bizottságot, hogy a települési szennyvíz nyomon követésének eredményei és a legfrissebb tudományos adatok alapján rendszeresen értékelje, hogy más termékeket is be kell-e vonni a kiterjesztett gyártói felelősségi rendszerbe; mivel a Bizottságnak legkésőbb 2033-ig be kell nyújtania az első hivatalos felülvizsgálatot;</w:t>
      </w:r>
    </w:p>
    <w:p w:rsidR="00EA5964" w:rsidRPr="0042566D" w:rsidP="002A33ED" w14:paraId="51353314" w14:textId="77777777">
      <w:pPr>
        <w:pStyle w:val="NormalHanging12a"/>
        <w:widowControl/>
      </w:pPr>
      <w:r w:rsidRPr="0042566D">
        <w:t>1.</w:t>
      </w:r>
      <w:r w:rsidRPr="0042566D">
        <w:tab/>
        <w:t>megerősíti, hogy határozottan támogatja a környezetvédelmi célkitűzéseket és a települési szennyvíz kezeléséről szóló felülvizsgált irányelvnek a megállapított határidőkkel összhangban történő végrehajtását, és hangsúlyozza, hogy csökkenteni és kezelni kell a vízszennyezést, beleértve a mikroszennyező anyagokat is;</w:t>
      </w:r>
    </w:p>
    <w:p w:rsidR="00EA5964" w:rsidRPr="0042566D" w:rsidP="002A33ED" w14:paraId="00F57071" w14:textId="77777777">
      <w:pPr>
        <w:pStyle w:val="NormalHanging12a"/>
        <w:widowControl/>
      </w:pPr>
      <w:r w:rsidRPr="0042566D">
        <w:t>2.</w:t>
      </w:r>
      <w:r w:rsidRPr="0042566D">
        <w:tab/>
        <w:t>hangsúlyozza, hogy a valamennyi forrásból származó szennyezés kezelésére irányuló ambiciózus megközelítés részeként jobban kell védeni az emberi egészséget és a környezetet, és el kell mozdulni a toxikus anyagoktól mentes környezet felé, beleértve különösen a veszélyes mikroszennyező anyagok kezelésének szükségességét, amelyek jelentős és akut veszélyt jelentenek az egészségre és a környezetre;</w:t>
      </w:r>
    </w:p>
    <w:p w:rsidR="00EA5964" w:rsidRPr="0042566D" w:rsidP="002A33ED" w14:paraId="62E76149" w14:textId="77777777">
      <w:pPr>
        <w:pStyle w:val="NormalHanging12a"/>
        <w:widowControl/>
      </w:pPr>
      <w:bookmarkStart w:id="10" w:name="_Hlk228944818"/>
      <w:bookmarkStart w:id="11" w:name="_Hlk228944896"/>
      <w:r w:rsidRPr="0042566D">
        <w:t>3.</w:t>
      </w:r>
      <w:r w:rsidRPr="0042566D">
        <w:tab/>
        <w:t>emlékeztet arra, hogy a környezetvédelmi politikának az elővigyázatosság és a megelőzés elvén, a környezeti károk elsődlegesen a forrásuknál történő elhárításának elvén, valamint a „szennyező fizet” elven kell alapulnia;</w:t>
      </w:r>
      <w:bookmarkEnd w:id="10"/>
    </w:p>
    <w:p w:rsidR="00EA5964" w:rsidRPr="0042566D" w:rsidP="002A33ED" w14:paraId="618C1D3D" w14:textId="77777777">
      <w:pPr>
        <w:pStyle w:val="NormalHanging12a"/>
        <w:widowControl/>
      </w:pPr>
      <w:bookmarkStart w:id="12" w:name="_Hlk228944651"/>
      <w:bookmarkEnd w:id="11"/>
      <w:r w:rsidRPr="0042566D">
        <w:t>4.</w:t>
      </w:r>
      <w:r w:rsidRPr="0042566D">
        <w:tab/>
        <w:t>hangsúlyozza, hogy a negyedleges szennyvízkezelés bevezetése elengedhetetlen az egészség védelméhez, az ökoszisztémák védelméhez és az újonnan felmerülő kockázatok, például az antimikrobiális rezisztencia elleni küzdelemhez; e tekintetben hangsúlyozza, hogy a kiterjesztett gyártói felelősség a leghatékonyabb eszköz az EUMSZ 191. cikkének (2) bekezdésében meghatározott „szennyező fizet” elv érvényesítésére és a települési szennyvíz szükséges kezeléséhez elegendő forrás biztosítására;</w:t>
      </w:r>
      <w:bookmarkEnd w:id="12"/>
    </w:p>
    <w:p w:rsidR="00EA5964" w:rsidRPr="0042566D" w:rsidP="002A33ED" w14:paraId="574A8BCB" w14:textId="77777777">
      <w:pPr>
        <w:pStyle w:val="NormalHanging12a"/>
        <w:widowControl/>
      </w:pPr>
      <w:r w:rsidRPr="0042566D">
        <w:t>5</w:t>
      </w:r>
      <w:r w:rsidRPr="0042566D">
        <w:rPr>
          <w:i/>
        </w:rPr>
        <w:t>.</w:t>
      </w:r>
      <w:r w:rsidRPr="0042566D">
        <w:rPr>
          <w:i/>
        </w:rPr>
        <w:tab/>
      </w:r>
      <w:bookmarkStart w:id="13" w:name="_Hlk227072613"/>
      <w:r w:rsidRPr="0042566D">
        <w:t>tudomásul veszi a Bizottság hatásvizsgálatának költségbecslései és az irányelv elfogadását követő nyilvános értékelések során például Németországban és Spanyolországban készített költségbecslések közötti eltérést; tudomásul veszi továbbá az érdekelt felek aggályait a mérgező terhelések hozzárendelésére használt módszertan megalapozottságával kapcsolatban, és tudomásul veszi a Bizottság által használt adatok és az Európai Gyógyszerügynökséghez a forgalombahozatali engedélyezési eljárás során benyújtott környezeti kockázatértékelési adatok közötti különbségekkel kapcsolatos aggályokat; úgy véli, hogy ezekkel az aggályokkal alaposan foglalkozni kell a negyedleges kezelés és a kiterjesztett gyártói felelősségi rendszer költségelemzéseit alátámasztó tények megalapozottságának biztosítása érdekében; megjegyzi azonban, hogy a tanulmányokra alkalmazott különböző módszerek magyarázatot adhatnak néhány eltérésre, és hangsúlyozza, hogy a hatásvizsgálat becsléseit a JRC a közelmúltban újra megerősítette;</w:t>
      </w:r>
      <w:bookmarkEnd w:id="13"/>
    </w:p>
    <w:p w:rsidR="00EA5964" w:rsidRPr="0042566D" w:rsidP="002A33ED" w14:paraId="61E1D465" w14:textId="77B72234">
      <w:pPr>
        <w:pStyle w:val="NormalHanging12a"/>
        <w:widowControl/>
        <w:rPr>
          <w:rFonts w:eastAsia="Aptos"/>
        </w:rPr>
      </w:pPr>
      <w:bookmarkStart w:id="14" w:name="_Hlk228944475"/>
      <w:bookmarkStart w:id="15" w:name="_Hlk228944835"/>
      <w:r w:rsidRPr="0042566D">
        <w:t>6.</w:t>
      </w:r>
      <w:r w:rsidRPr="0042566D">
        <w:tab/>
      </w:r>
      <w:bookmarkEnd w:id="14"/>
      <w:r w:rsidRPr="0042566D" w:rsidR="00D61366">
        <w:t>felhívja a Bizottságot, hogy 2026 végéig készítsen új hatásvizsgálatot, amely azonosítja a települési szennyvízben jelen lévő anyagok jegyzékét, ellenőrzi a negyedleges kezelés költségeit és a felelős ágazat megállapítását a „szennyező fizet” elv alapján, valamint azonosítja a gyógyszerek, különösen a generikus és kritikus gyógyszerek és hatóanyagaik rendelkezésre állására, megfizethetőségére és hozzáférhetőségére gyakorolt lehetséges hatást; úgy véli, hogy a tagállamokat – az Emberi Gyógyszerészeti Bizottságon, az Európai Környezetvédelmi Ügynökségen és az Európai Gyógyszerügynökségen keresztül – saját hatáskörükön belül megfelelően be kell vonni a tanulmányba; felhívja a Bizottságot, hogy szükség esetén a hatásvizsgálat eredményei alapján gyorsítsa fel az anyagok elosztásának értékelését, és szükség esetén haladéktalanul rendelje hozzá a kiterjesztett gyártói felelősségi kötelezettségeket a felelősként azonosított ágazatokhoz; felhívja a Bizottságot, hogy 2026. július végéig adjon ki közleményt, amelyben tájékoztatja a tagállamokat a független tanulmányról és az irányelv szerinti rugalmassági mechanizmusokról a gyógyszerek hozzáférhetőségének, rendelkezésre állásának és megfizethetőségének biztosítása érdekében, és tegye meg a szükséges intézkedéseket a gyógyszerellátás biztonságának és a válsághelyzetekre való felkészültségnek a nyomon követése, valamint a gyógyszerellátásra gyakorolt nem kívánt következmények elkerülése érdekében, beleértve a kiterjesztett gyártói felelősségre vonatkozó rendelkezésekből eredő következményeket is; úgy véli, hogy amennyiben a hatásvizsgálat eredményei jelentős kockázatot mutatnak a gyógyszerek, különösen a kritikus és generikus gyógyszerek megfizethetőségére, rendelkezésre állására és hozzáférhetőségére nézve, a Bizottságnak mielőbb biztosítékokat kell elfogadnia e gyógyszerek ellátásbiztonságának garantálása érdekében, ideértve a kiterjesztett gyártói felelősségi kötelezettségek ideiglenes felfüggesztését is</w:t>
      </w:r>
      <w:r w:rsidRPr="0042566D">
        <w:t>;</w:t>
      </w:r>
      <w:bookmarkEnd w:id="15"/>
    </w:p>
    <w:p w:rsidR="00D61366" w:rsidRPr="0042566D" w:rsidP="002A33ED" w14:paraId="7E8A90C9" w14:textId="55FABBFF">
      <w:pPr>
        <w:pStyle w:val="NormalHanging12a"/>
        <w:widowControl/>
      </w:pPr>
      <w:bookmarkStart w:id="16" w:name="_Hlk228945625"/>
      <w:r>
        <w:t>7</w:t>
      </w:r>
      <w:r w:rsidRPr="0042566D">
        <w:t>.</w:t>
      </w:r>
      <w:r w:rsidRPr="0042566D">
        <w:tab/>
        <w:t>felhívja a Bizottságot, hogy tegyen előrelépést a negyedleges kezeléssel kapcsolatos kötelezettségek hatályára vonatkozó végrehajtási jogi aktusok elfogadása terén, hogy egyértelművé tegye a tagállamok, a szennyvízkezelők üzemeltetői és az érintett érdekelt felek számára a kapcsolódó költségeket;</w:t>
      </w:r>
    </w:p>
    <w:p w:rsidR="00EA5964" w:rsidRPr="0042566D" w:rsidP="002A33ED" w14:paraId="2F9E04E1" w14:textId="0F0B0B8B">
      <w:pPr>
        <w:pStyle w:val="NormalHanging12a"/>
        <w:widowControl/>
        <w:rPr>
          <w:rFonts w:eastAsia="Aptos"/>
        </w:rPr>
      </w:pPr>
      <w:r>
        <w:t>8</w:t>
      </w:r>
      <w:r w:rsidRPr="0042566D">
        <w:t>.</w:t>
      </w:r>
      <w:r w:rsidRPr="0042566D">
        <w:tab/>
        <w:t>hangsúlyozza, hogy a fejlett szennyvízkezeléssel kapcsolatos költségeket nem szabad az adófizetőkre és a vízfogyasztókra hárítani, hanem azokat méltányos és arányos módon a vízszennyezéshez hozzájáruló ágazatoknak kell viselniük;</w:t>
      </w:r>
    </w:p>
    <w:bookmarkEnd w:id="16"/>
    <w:p w:rsidR="00EA5964" w:rsidRPr="0042566D" w:rsidP="002A33ED" w14:paraId="5C2DEB93" w14:textId="24DD42C1">
      <w:pPr>
        <w:pStyle w:val="NormalHanging12a"/>
        <w:widowControl/>
      </w:pPr>
      <w:r>
        <w:t>9</w:t>
      </w:r>
      <w:r w:rsidRPr="0042566D">
        <w:t>.</w:t>
      </w:r>
      <w:r w:rsidRPr="0042566D">
        <w:tab/>
      </w:r>
      <w:r w:rsidRPr="0042566D" w:rsidR="00D61366">
        <w:t>felszólít a kiterjesztett gyártói felelősségre vonatkozó rendelkezések, a negyedleges kezelésre vonatkozó kötelezettségek és a kapcsolódó pénzügyi kötelezettségek ideiglenes felfüggesztésére („stop-the-clock”) a tanulmány befejezéséig és megállapításainak Bizottság általi értékeléséig</w:t>
      </w:r>
      <w:r w:rsidRPr="0042566D">
        <w:t>;</w:t>
      </w:r>
    </w:p>
    <w:p w:rsidR="00EA5964" w:rsidRPr="0042566D" w:rsidP="002A33ED" w14:paraId="68B35D50" w14:textId="5756B53D">
      <w:pPr>
        <w:pStyle w:val="NormalHanging12a"/>
        <w:widowControl/>
      </w:pPr>
      <w:r>
        <w:t>10</w:t>
      </w:r>
      <w:r w:rsidRPr="0042566D">
        <w:t>.</w:t>
      </w:r>
      <w:r w:rsidRPr="0042566D">
        <w:tab/>
        <w:t>hangsúlyozza, hogy a kiterjesztett gyártói felelősségi kötelezettség egységesen alkalmazandó az uniós piacon termékeket forgalomba hozó valamennyi vállalatra, függetlenül attól, hogy azokat az EU-ban vagy azon kívül gyártották-e, azzal a céllal, hogy egyenlő versenyfeltételeket biztosítsanak és megelőzzék a tisztességtelen versenyelőnyöket; felhívja a Bizottságot, hogy a versenytorzulások elkerülése és az egyenlő versenyfeltételek biztosítása érdekében tisztázza, hogy a nem uniós gyártók hogyan fognak megfelelni a kiterjesztett gyártói felelősségi kötelezettségeknek;</w:t>
      </w:r>
    </w:p>
    <w:p w:rsidR="00EA5964" w:rsidRPr="0042566D" w:rsidP="002A33ED" w14:paraId="440FAA04" w14:textId="565F4116">
      <w:pPr>
        <w:pStyle w:val="NormalHanging12a"/>
        <w:widowControl/>
      </w:pPr>
      <w:r>
        <w:t>11</w:t>
      </w:r>
      <w:r w:rsidRPr="0042566D">
        <w:t>.</w:t>
      </w:r>
      <w:r w:rsidRPr="0042566D">
        <w:tab/>
      </w:r>
      <w:r w:rsidRPr="0042566D" w:rsidR="00D61366">
        <w:t>hangsúlyozza, hogy a gyógyszerhiány már most is jelentős és egyre növekvő kihívást jelent az EU-ban; hangsúlyozza, hogy védeni kell az európai uniós gyógyszeripari kutatási, fejlesztési és gyártási kapacitást és az ellátási lánc rezilienciáját</w:t>
      </w:r>
      <w:r w:rsidRPr="0042566D">
        <w:t>;</w:t>
      </w:r>
    </w:p>
    <w:p w:rsidR="00EA5964" w:rsidRPr="0042566D" w:rsidP="002A33ED" w14:paraId="27FA4122" w14:textId="1F50CE5F">
      <w:pPr>
        <w:pStyle w:val="NormalHanging12a"/>
        <w:widowControl/>
      </w:pPr>
      <w:bookmarkStart w:id="17" w:name="_Hlk227220207"/>
      <w:r>
        <w:t>12</w:t>
      </w:r>
      <w:r w:rsidRPr="0042566D">
        <w:t>.</w:t>
      </w:r>
      <w:r w:rsidRPr="0042566D">
        <w:tab/>
        <w:t>elismeri a generikus gyógyszerek és általában a kezelésekhez való hozzáférés sajátos esetét, és felhívja a Bizottságot és a tagállamokat, hogy gondosan és folyamatosan kövessék nyomon az irányelv e gyógyszerek megfizethetőségére, rendelkezésre állására és hozzáférhetőségére gyakorolt hatását, amint azt a települési szennyvíz kezeléséről szóló felülvizsgált irányelv előírja, a nem szándékos zavarok vagy áremelkedések elkerülése érdekében;</w:t>
      </w:r>
      <w:bookmarkEnd w:id="17"/>
    </w:p>
    <w:p w:rsidR="00EA5964" w:rsidRPr="0042566D" w:rsidP="002A33ED" w14:paraId="46A17B7C" w14:textId="4C2177EB">
      <w:pPr>
        <w:pStyle w:val="NormalHanging12a"/>
        <w:widowControl/>
      </w:pPr>
      <w:r>
        <w:t>13</w:t>
      </w:r>
      <w:r w:rsidRPr="0042566D">
        <w:t>.</w:t>
      </w:r>
      <w:r w:rsidRPr="0042566D">
        <w:tab/>
      </w:r>
      <w:bookmarkStart w:id="18" w:name="_Hlk227048195"/>
      <w:bookmarkStart w:id="19" w:name="_Hlk227048150"/>
      <w:r w:rsidRPr="0042566D">
        <w:t>emlékeztet arra, hogy az irányelv garantálja a rugalmasságot és az arányos intézkedések alkalmazásának lehetőségét annak biztosítása érdekében, hogy a kiterjesztett gyártói felelősségi kötelezettségek ne veszélyeztessék a gyógyszerek megfizethetőségét, rendelkezésre állását vagy hozzáférhetőségét; felhívja a tagállamokat, hogy a kiterjesztett gyártói felelősségi rendszerek kialakítása és végrehajtása során gondosan értékeljék és kezeljék az irányelv nem kívánt következményeivel kapcsolatos, kellően indokolt és bizonyítékokkal alátámasztott aggályokat, különös tekintettel a generikus gyógyszerekre; emlékeztet a Bizottság azon kötelezettségére, hogy nyomon kövesse a gyógyszerek megfizethetőségére, rendelkezésre állására és hozzáférhetőségére gyakorolt hatásokat, és azokról jelentést tegyen, valamint 2033 végéig, majd 2040 végéig biztosítsa az átfogó értékelést;</w:t>
      </w:r>
      <w:bookmarkEnd w:id="18"/>
      <w:bookmarkEnd w:id="19"/>
    </w:p>
    <w:p w:rsidR="00EA5964" w:rsidRPr="0042566D" w:rsidP="002A33ED" w14:paraId="3C0B1E7C" w14:textId="78510141">
      <w:pPr>
        <w:pStyle w:val="NormalHanging12a"/>
        <w:widowControl/>
      </w:pPr>
      <w:r>
        <w:t>14</w:t>
      </w:r>
      <w:r w:rsidRPr="0042566D">
        <w:t>.</w:t>
      </w:r>
      <w:r w:rsidRPr="0042566D">
        <w:tab/>
      </w:r>
      <w:r w:rsidRPr="0042566D" w:rsidR="00D61366">
        <w:t>megjegyzi, hogy az ösztönző igénybevétele kihívást jelent a gyógyszerkészítmények módosításainak összetettsége miatt, ami kiterjedt kutatást vagy új forgalombahozatali engedélyeket tehet szükségessé, különösen a generikus gyógyszerek esetében</w:t>
      </w:r>
      <w:r w:rsidRPr="0042566D">
        <w:t>;</w:t>
      </w:r>
    </w:p>
    <w:p w:rsidR="00EA5964" w:rsidRPr="0042566D" w:rsidP="002A33ED" w14:paraId="119D5E1B" w14:textId="56AA23CE">
      <w:pPr>
        <w:pStyle w:val="NormalHanging12a"/>
        <w:widowControl/>
      </w:pPr>
      <w:r>
        <w:t>15</w:t>
      </w:r>
      <w:r w:rsidRPr="0042566D">
        <w:t>.</w:t>
      </w:r>
      <w:r w:rsidRPr="0042566D">
        <w:tab/>
        <w:t>e tekintetben emlékeztet arra, hogy a Bizottságnak rendszeresen értékelnie kell, hogy a szennyvíz mérgező terhelésére jelentős hatást gyakorló egyéb termékeket és ágazatokat be kell-e vonni a kiterjesztett gyártói felelősségi rendszerbe annak biztosítása érdekében, hogy a kapcsolódó költségek méltányosan legyenek elosztva, és azok ne a polgárokra és a vízfogyasztókra háruljanak;</w:t>
      </w:r>
    </w:p>
    <w:p w:rsidR="00EA5964" w:rsidRPr="0042566D" w:rsidP="002A33ED" w14:paraId="5D2FEA3A" w14:textId="582C8627">
      <w:pPr>
        <w:pStyle w:val="NormalHanging12a"/>
        <w:widowControl/>
      </w:pPr>
      <w:r>
        <w:t>16</w:t>
      </w:r>
      <w:r w:rsidRPr="0042566D">
        <w:t>.</w:t>
      </w:r>
      <w:r w:rsidRPr="0042566D">
        <w:tab/>
        <w:t>támogatja a környezeti szempontból fenntartható gyógyszerekre és a fejlett szennyvíztisztítási technológiákra irányuló kutatást és innovációt;</w:t>
      </w:r>
    </w:p>
    <w:p w:rsidR="00EA5964" w:rsidRPr="0042566D" w:rsidP="002A33ED" w14:paraId="1239AAA9" w14:textId="3F236AB9">
      <w:pPr>
        <w:pStyle w:val="NormalHanging12a"/>
        <w:widowControl/>
      </w:pPr>
      <w:r>
        <w:t>17</w:t>
      </w:r>
      <w:r w:rsidRPr="0042566D">
        <w:t>.</w:t>
      </w:r>
      <w:r w:rsidRPr="0042566D">
        <w:tab/>
        <w:t>emlékeztet arra, hogy az „Egy az egészség” koncepcióval összhangban az emberi, állati és környezeti egészség védelme szorosan összefügg és összefonódik; hangsúlyozza, hogy a gyógyszerekhez való hozzáférést és a környezetvédelmet egyidejűleg kell megvalósítani, anélkül, hogy az egyiket ürügyként lehetne felhasználni a másik ambícióinak csökkentésére;</w:t>
      </w:r>
    </w:p>
    <w:p w:rsidR="00E86F5A" w:rsidRPr="00E86F5A" w:rsidP="002A33ED" w14:paraId="4954C4F9" w14:textId="4CC20BE8">
      <w:pPr>
        <w:pStyle w:val="NormalHanging12a"/>
        <w:widowControl/>
      </w:pPr>
      <w:r>
        <w:t>18</w:t>
      </w:r>
      <w:r w:rsidRPr="0042566D" w:rsidR="00EA5964">
        <w:t>.</w:t>
      </w:r>
      <w:r w:rsidRPr="0042566D" w:rsidR="00EA5964">
        <w:tab/>
        <w:t>utasítja elnökét, hogy továbbítsa ezt az állásfoglalást a Tanácsnak, a Bizottságnak, valamint a tagállamok kormányainak és parlamentjeinek.</w:t>
      </w:r>
    </w:p>
    <w:sectPr w:rsidSect="00E86F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6F5A" w14:paraId="444FCE2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6F5A" w14:paraId="544A964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6F5A" w14:paraId="3DCB3C2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23831" w:rsidRPr="00E86F5A" w14:paraId="67D6D85D" w14:textId="77777777">
      <w:r w:rsidRPr="00E86F5A">
        <w:separator/>
      </w:r>
    </w:p>
  </w:footnote>
  <w:footnote w:type="continuationSeparator" w:id="1">
    <w:p w:rsidR="00F23831" w:rsidRPr="00E86F5A" w14:paraId="3F0D988F" w14:textId="77777777">
      <w:r w:rsidRPr="00E86F5A">
        <w:continuationSeparator/>
      </w:r>
    </w:p>
  </w:footnote>
  <w:footnote w:id="2">
    <w:p w:rsidR="00EA5964" w:rsidRPr="00E86F5A" w:rsidP="00E86F5A" w14:paraId="5A101569" w14:textId="36F4980D">
      <w:pPr>
        <w:pStyle w:val="FootnoteText"/>
        <w:ind w:left="567" w:hanging="567"/>
        <w:rPr>
          <w:sz w:val="24"/>
          <w:lang w:val="hu-HU"/>
        </w:rPr>
      </w:pPr>
      <w:r w:rsidRPr="00E86F5A">
        <w:rPr>
          <w:rStyle w:val="FootnoteReference"/>
          <w:sz w:val="24"/>
          <w:lang w:val="hu-HU"/>
        </w:rPr>
        <w:footnoteRef/>
      </w:r>
      <w:r w:rsidRPr="00E86F5A" w:rsidR="00E86F5A">
        <w:rPr>
          <w:sz w:val="24"/>
          <w:lang w:val="hu-HU"/>
        </w:rPr>
        <w:t xml:space="preserve"> </w:t>
      </w:r>
      <w:r w:rsidRPr="00E86F5A" w:rsidR="00E86F5A">
        <w:rPr>
          <w:sz w:val="24"/>
          <w:lang w:val="hu-HU"/>
        </w:rPr>
        <w:tab/>
      </w:r>
      <w:r w:rsidRPr="00E86F5A">
        <w:rPr>
          <w:sz w:val="24"/>
          <w:lang w:val="hu-HU"/>
        </w:rPr>
        <w:t>HL L, 2024/3019, 2024.12.12., ELI: </w:t>
      </w:r>
      <w:hyperlink r:id="rId1" w:tooltip="Az ELI (európai jogszabály-azonosító) URI-hivatkozása révén biztosít hozzáférést a dokumentumhoz." w:history="1">
        <w:r w:rsidRPr="00E86F5A">
          <w:rPr>
            <w:rStyle w:val="Hyperlink"/>
            <w:sz w:val="24"/>
            <w:lang w:val="hu-HU"/>
          </w:rPr>
          <w:t>http://data.europa.eu/eli/dir/2024/3019/oj</w:t>
        </w:r>
      </w:hyperlink>
      <w:r w:rsidRPr="00E86F5A">
        <w:rPr>
          <w:sz w:val="24"/>
          <w:lang w:val="hu-HU"/>
        </w:rPr>
        <w:t>.</w:t>
      </w:r>
    </w:p>
  </w:footnote>
  <w:footnote w:id="3">
    <w:p w:rsidR="00EA5964" w:rsidRPr="00E86F5A" w:rsidP="00E86F5A" w14:paraId="36124692" w14:textId="43DCFC2F">
      <w:pPr>
        <w:pStyle w:val="FootnoteText"/>
        <w:ind w:left="567" w:hanging="567"/>
        <w:rPr>
          <w:sz w:val="24"/>
          <w:lang w:val="hu-HU"/>
        </w:rPr>
      </w:pPr>
      <w:r w:rsidRPr="00E86F5A">
        <w:rPr>
          <w:rStyle w:val="FootnoteReference"/>
          <w:sz w:val="24"/>
          <w:lang w:val="hu-HU"/>
        </w:rPr>
        <w:footnoteRef/>
      </w:r>
      <w:r w:rsidRPr="00E86F5A" w:rsidR="00E86F5A">
        <w:rPr>
          <w:sz w:val="24"/>
          <w:lang w:val="hu-HU"/>
        </w:rPr>
        <w:t xml:space="preserve"> </w:t>
      </w:r>
      <w:r w:rsidRPr="00E86F5A" w:rsidR="00E86F5A">
        <w:rPr>
          <w:sz w:val="24"/>
          <w:lang w:val="hu-HU"/>
        </w:rPr>
        <w:tab/>
      </w:r>
      <w:r w:rsidRPr="00E86F5A">
        <w:rPr>
          <w:sz w:val="24"/>
          <w:lang w:val="hu-HU"/>
        </w:rPr>
        <w:t>HL L 327., 2000.12.22., 1. o. ELI: </w:t>
      </w:r>
      <w:hyperlink r:id="rId2" w:tooltip="Az ELI (európai jogszabály-azonosító) URI-hivatkozása révén biztosít hozzáférést a dokumentumhoz." w:history="1">
        <w:r w:rsidRPr="00E86F5A">
          <w:rPr>
            <w:rStyle w:val="Hyperlink"/>
            <w:sz w:val="24"/>
            <w:lang w:val="hu-HU"/>
          </w:rPr>
          <w:t>http://data.europa.eu/eli/dir/2000/60/oj</w:t>
        </w:r>
      </w:hyperlink>
      <w:r w:rsidRPr="00E86F5A">
        <w:rPr>
          <w:sz w:val="24"/>
          <w:lang w:val="hu-HU"/>
        </w:rPr>
        <w:t>.</w:t>
      </w:r>
    </w:p>
  </w:footnote>
  <w:footnote w:id="4">
    <w:p w:rsidR="00EA5964" w:rsidRPr="00E86F5A" w:rsidP="00E86F5A" w14:paraId="762A1851" w14:textId="56BE7EF7">
      <w:pPr>
        <w:pStyle w:val="FootnoteText"/>
        <w:ind w:left="567" w:hanging="567"/>
        <w:rPr>
          <w:sz w:val="24"/>
          <w:lang w:val="hu-HU"/>
        </w:rPr>
      </w:pPr>
      <w:r w:rsidRPr="00E86F5A">
        <w:rPr>
          <w:rStyle w:val="FootnoteReference"/>
          <w:sz w:val="24"/>
          <w:lang w:val="hu-HU"/>
        </w:rPr>
        <w:footnoteRef/>
      </w:r>
      <w:r w:rsidRPr="00E86F5A" w:rsidR="00E86F5A">
        <w:rPr>
          <w:sz w:val="24"/>
          <w:lang w:val="hu-HU"/>
        </w:rPr>
        <w:t xml:space="preserve"> </w:t>
      </w:r>
      <w:r w:rsidRPr="00E86F5A" w:rsidR="00E86F5A">
        <w:rPr>
          <w:sz w:val="24"/>
          <w:lang w:val="hu-HU"/>
        </w:rPr>
        <w:tab/>
      </w:r>
      <w:r w:rsidRPr="00E86F5A">
        <w:rPr>
          <w:sz w:val="24"/>
          <w:lang w:val="hu-HU"/>
        </w:rPr>
        <w:t>HL L 372., 2006.12.27., 19. o., ELI: </w:t>
      </w:r>
      <w:hyperlink r:id="rId3" w:tooltip="Az ELI (európai jogszabály-azonosító) URI-hivatkozása révén biztosít hozzáférést a dokumentumhoz." w:history="1">
        <w:r w:rsidRPr="00E86F5A">
          <w:rPr>
            <w:rStyle w:val="Hyperlink"/>
            <w:sz w:val="24"/>
            <w:lang w:val="hu-HU"/>
          </w:rPr>
          <w:t>http://data.europa.eu/eli/dir/2006/118/oj</w:t>
        </w:r>
      </w:hyperlink>
      <w:r w:rsidRPr="00E86F5A">
        <w:rPr>
          <w:sz w:val="24"/>
          <w:lang w:val="hu-HU"/>
        </w:rPr>
        <w:t>.</w:t>
      </w:r>
    </w:p>
  </w:footnote>
  <w:footnote w:id="5">
    <w:p w:rsidR="00EA5964" w:rsidRPr="00E86F5A" w:rsidP="00E86F5A" w14:paraId="47F3CDFE" w14:textId="24C17CE9">
      <w:pPr>
        <w:pStyle w:val="FootnoteText"/>
        <w:ind w:left="567" w:hanging="567"/>
        <w:rPr>
          <w:sz w:val="24"/>
          <w:lang w:val="hu-HU"/>
        </w:rPr>
      </w:pPr>
      <w:r w:rsidRPr="00E86F5A">
        <w:rPr>
          <w:rStyle w:val="FootnoteReference"/>
          <w:sz w:val="24"/>
          <w:lang w:val="hu-HU"/>
        </w:rPr>
        <w:footnoteRef/>
      </w:r>
      <w:r w:rsidRPr="00E86F5A" w:rsidR="00E86F5A">
        <w:rPr>
          <w:sz w:val="24"/>
          <w:lang w:val="hu-HU"/>
        </w:rPr>
        <w:t xml:space="preserve"> </w:t>
      </w:r>
      <w:r w:rsidRPr="00E86F5A" w:rsidR="00E86F5A">
        <w:rPr>
          <w:sz w:val="24"/>
          <w:lang w:val="hu-HU"/>
        </w:rPr>
        <w:tab/>
      </w:r>
      <w:r w:rsidRPr="00E86F5A">
        <w:rPr>
          <w:sz w:val="24"/>
          <w:lang w:val="hu-HU"/>
        </w:rPr>
        <w:t>HL L 348., 2008.12.24., 84. o., ELI: </w:t>
      </w:r>
      <w:hyperlink r:id="rId4" w:tooltip="Az ELI (európai jogszabály-azonosító) URI-hivatkozása révén biztosít hozzáférést a dokumentumhoz." w:history="1">
        <w:r w:rsidRPr="00E86F5A">
          <w:rPr>
            <w:rStyle w:val="Hyperlink"/>
            <w:sz w:val="24"/>
            <w:lang w:val="hu-HU"/>
          </w:rPr>
          <w:t>http://data.europa.eu/eli/dir/2008/105/oj</w:t>
        </w:r>
      </w:hyperlink>
      <w:r w:rsidRPr="00E86F5A">
        <w:rPr>
          <w:sz w:val="24"/>
          <w:lang w:val="hu-HU"/>
        </w:rPr>
        <w:t>.</w:t>
      </w:r>
    </w:p>
  </w:footnote>
  <w:footnote w:id="6">
    <w:p w:rsidR="00EA5964" w:rsidRPr="00E86F5A" w:rsidP="00E86F5A" w14:paraId="6F3258C5" w14:textId="47508187">
      <w:pPr>
        <w:pStyle w:val="FootnoteText"/>
        <w:ind w:left="567" w:hanging="567"/>
        <w:rPr>
          <w:sz w:val="24"/>
          <w:lang w:val="hu-HU"/>
        </w:rPr>
      </w:pPr>
      <w:r w:rsidRPr="00E86F5A">
        <w:rPr>
          <w:rStyle w:val="FootnoteReference"/>
          <w:sz w:val="24"/>
          <w:lang w:val="hu-HU"/>
        </w:rPr>
        <w:footnoteRef/>
      </w:r>
      <w:r w:rsidRPr="00E86F5A" w:rsidR="00E86F5A">
        <w:rPr>
          <w:sz w:val="24"/>
          <w:lang w:val="hu-HU"/>
        </w:rPr>
        <w:t xml:space="preserve"> </w:t>
      </w:r>
      <w:r w:rsidRPr="00E86F5A" w:rsidR="00E86F5A">
        <w:rPr>
          <w:sz w:val="24"/>
          <w:lang w:val="hu-HU"/>
        </w:rPr>
        <w:tab/>
      </w:r>
      <w:r w:rsidRPr="00E86F5A">
        <w:rPr>
          <w:sz w:val="24"/>
          <w:lang w:val="hu-HU"/>
        </w:rPr>
        <w:t xml:space="preserve">HL L 114., 2022.4.12., 22. o., ELI: </w:t>
      </w:r>
      <w:hyperlink r:id="rId5" w:history="1">
        <w:r w:rsidRPr="00E86F5A">
          <w:rPr>
            <w:rStyle w:val="Hyperlink"/>
            <w:sz w:val="24"/>
            <w:lang w:val="hu-HU"/>
          </w:rPr>
          <w:t>http://data.europa.eu/eli/dec/2022/591/oj</w:t>
        </w:r>
      </w:hyperlink>
      <w:r w:rsidRPr="00E86F5A">
        <w:rPr>
          <w:sz w:val="24"/>
          <w:lang w:val="hu-HU"/>
        </w:rPr>
        <w:t>.</w:t>
      </w:r>
    </w:p>
  </w:footnote>
  <w:footnote w:id="7">
    <w:p w:rsidR="00EA5964" w:rsidRPr="00E86F5A" w:rsidP="00E86F5A" w14:paraId="7984730D" w14:textId="7DFE8959">
      <w:pPr>
        <w:pStyle w:val="FootnoteText"/>
        <w:ind w:left="567" w:hanging="567"/>
        <w:rPr>
          <w:sz w:val="24"/>
          <w:lang w:val="hu-HU"/>
        </w:rPr>
      </w:pPr>
      <w:r w:rsidRPr="00E86F5A">
        <w:rPr>
          <w:rStyle w:val="FootnoteReference"/>
          <w:sz w:val="24"/>
          <w:lang w:val="hu-HU"/>
        </w:rPr>
        <w:footnoteRef/>
      </w:r>
      <w:r w:rsidRPr="00E86F5A" w:rsidR="00E86F5A">
        <w:rPr>
          <w:sz w:val="24"/>
          <w:lang w:val="hu-HU"/>
        </w:rPr>
        <w:t xml:space="preserve"> </w:t>
      </w:r>
      <w:r w:rsidRPr="00E86F5A" w:rsidR="00E86F5A">
        <w:rPr>
          <w:sz w:val="24"/>
          <w:lang w:val="hu-HU"/>
        </w:rPr>
        <w:tab/>
      </w:r>
      <w:r w:rsidRPr="00E86F5A">
        <w:rPr>
          <w:sz w:val="24"/>
          <w:lang w:val="hu-HU"/>
        </w:rPr>
        <w:t>HL C 385., 2021.9.22., 83. o.</w:t>
      </w:r>
    </w:p>
  </w:footnote>
  <w:footnote w:id="8">
    <w:p w:rsidR="00EA5964" w:rsidRPr="00E86F5A" w:rsidP="00E86F5A" w14:paraId="693EB2BB" w14:textId="409765A4">
      <w:pPr>
        <w:pStyle w:val="FootnoteText"/>
        <w:ind w:left="567" w:hanging="567"/>
        <w:rPr>
          <w:sz w:val="24"/>
          <w:lang w:val="hu-HU"/>
        </w:rPr>
      </w:pPr>
      <w:r w:rsidRPr="00E86F5A">
        <w:rPr>
          <w:rStyle w:val="FootnoteReference"/>
          <w:sz w:val="24"/>
          <w:szCs w:val="16"/>
          <w:lang w:val="hu-HU"/>
        </w:rPr>
        <w:footnoteRef/>
      </w:r>
      <w:r w:rsidRPr="00E86F5A" w:rsidR="00E86F5A">
        <w:rPr>
          <w:sz w:val="24"/>
          <w:lang w:val="hu-HU"/>
        </w:rPr>
        <w:t xml:space="preserve"> </w:t>
      </w:r>
      <w:r w:rsidRPr="00E86F5A" w:rsidR="00E86F5A">
        <w:rPr>
          <w:sz w:val="24"/>
          <w:lang w:val="hu-HU"/>
        </w:rPr>
        <w:tab/>
      </w:r>
      <w:r w:rsidRPr="00E86F5A">
        <w:rPr>
          <w:sz w:val="24"/>
          <w:lang w:val="hu-HU"/>
        </w:rPr>
        <w:t>A Bizottság „A gyógyszerhiány kezelése az EU-ban” című, 2023. október 24-i közleménye (</w:t>
      </w:r>
      <w:r w:rsidRPr="00E86F5A">
        <w:rPr>
          <w:sz w:val="24"/>
          <w:lang w:val="hu-HU"/>
        </w:rPr>
        <w:t>COM(</w:t>
      </w:r>
      <w:r w:rsidRPr="00E86F5A">
        <w:rPr>
          <w:sz w:val="24"/>
          <w:lang w:val="hu-HU"/>
        </w:rPr>
        <w:t>2023)0672).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6F5A" w14:paraId="5192C3B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6F5A" w14:paraId="5C835D1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6F5A" w14:paraId="1392C0B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1081734">
    <w:abstractNumId w:val="9"/>
  </w:num>
  <w:num w:numId="2" w16cid:durableId="1610745381">
    <w:abstractNumId w:val="9"/>
  </w:num>
  <w:num w:numId="3" w16cid:durableId="700130849">
    <w:abstractNumId w:val="7"/>
  </w:num>
  <w:num w:numId="4" w16cid:durableId="352731006">
    <w:abstractNumId w:val="7"/>
  </w:num>
  <w:num w:numId="5" w16cid:durableId="391924193">
    <w:abstractNumId w:val="6"/>
  </w:num>
  <w:num w:numId="6" w16cid:durableId="1244215688">
    <w:abstractNumId w:val="6"/>
  </w:num>
  <w:num w:numId="7" w16cid:durableId="1646279979">
    <w:abstractNumId w:val="5"/>
  </w:num>
  <w:num w:numId="8" w16cid:durableId="607083597">
    <w:abstractNumId w:val="5"/>
  </w:num>
  <w:num w:numId="9" w16cid:durableId="1960598546">
    <w:abstractNumId w:val="4"/>
  </w:num>
  <w:num w:numId="10" w16cid:durableId="199829843">
    <w:abstractNumId w:val="4"/>
  </w:num>
  <w:num w:numId="11" w16cid:durableId="134569646">
    <w:abstractNumId w:val="8"/>
  </w:num>
  <w:num w:numId="12" w16cid:durableId="1290622987">
    <w:abstractNumId w:val="8"/>
  </w:num>
  <w:num w:numId="13" w16cid:durableId="722751848">
    <w:abstractNumId w:val="3"/>
  </w:num>
  <w:num w:numId="14" w16cid:durableId="829757539">
    <w:abstractNumId w:val="3"/>
  </w:num>
  <w:num w:numId="15" w16cid:durableId="1070423688">
    <w:abstractNumId w:val="2"/>
  </w:num>
  <w:num w:numId="16" w16cid:durableId="847594285">
    <w:abstractNumId w:val="2"/>
  </w:num>
  <w:num w:numId="17" w16cid:durableId="1152020788">
    <w:abstractNumId w:val="1"/>
  </w:num>
  <w:num w:numId="18" w16cid:durableId="2082171000">
    <w:abstractNumId w:val="1"/>
  </w:num>
  <w:num w:numId="19" w16cid:durableId="1468432019">
    <w:abstractNumId w:val="0"/>
  </w:num>
  <w:num w:numId="20" w16cid:durableId="2042245418">
    <w:abstractNumId w:val="0"/>
  </w:num>
  <w:num w:numId="21" w16cid:durableId="603920104">
    <w:abstractNumId w:val="9"/>
  </w:num>
  <w:num w:numId="22" w16cid:durableId="1997688328">
    <w:abstractNumId w:val="7"/>
  </w:num>
  <w:num w:numId="23" w16cid:durableId="1848472437">
    <w:abstractNumId w:val="6"/>
  </w:num>
  <w:num w:numId="24" w16cid:durableId="1781100231">
    <w:abstractNumId w:val="5"/>
  </w:num>
  <w:num w:numId="25" w16cid:durableId="797646855">
    <w:abstractNumId w:val="4"/>
  </w:num>
  <w:num w:numId="26" w16cid:durableId="771778377">
    <w:abstractNumId w:val="8"/>
  </w:num>
  <w:num w:numId="27" w16cid:durableId="1108234372">
    <w:abstractNumId w:val="3"/>
  </w:num>
  <w:num w:numId="28" w16cid:durableId="920718380">
    <w:abstractNumId w:val="2"/>
  </w:num>
  <w:num w:numId="29" w16cid:durableId="878666711">
    <w:abstractNumId w:val="1"/>
  </w:num>
  <w:num w:numId="30" w16cid:durableId="1110704659">
    <w:abstractNumId w:val="0"/>
  </w:num>
  <w:num w:numId="31" w16cid:durableId="866719200">
    <w:abstractNumId w:val="9"/>
  </w:num>
  <w:num w:numId="32" w16cid:durableId="1488399537">
    <w:abstractNumId w:val="7"/>
  </w:num>
  <w:num w:numId="33" w16cid:durableId="2024435380">
    <w:abstractNumId w:val="6"/>
  </w:num>
  <w:num w:numId="34" w16cid:durableId="2094275594">
    <w:abstractNumId w:val="5"/>
  </w:num>
  <w:num w:numId="35" w16cid:durableId="1364591796">
    <w:abstractNumId w:val="4"/>
  </w:num>
  <w:num w:numId="36" w16cid:durableId="1445465438">
    <w:abstractNumId w:val="8"/>
  </w:num>
  <w:num w:numId="37" w16cid:durableId="151217395">
    <w:abstractNumId w:val="3"/>
  </w:num>
  <w:num w:numId="38" w16cid:durableId="1040671369">
    <w:abstractNumId w:val="2"/>
  </w:num>
  <w:num w:numId="39" w16cid:durableId="1411927522">
    <w:abstractNumId w:val="1"/>
  </w:num>
  <w:num w:numId="40" w16cid:durableId="1187329430">
    <w:abstractNumId w:val="0"/>
  </w:num>
  <w:num w:numId="41" w16cid:durableId="815993846">
    <w:abstractNumId w:val="10"/>
  </w:num>
  <w:num w:numId="42" w16cid:durableId="356590380">
    <w:abstractNumId w:val="10"/>
  </w:num>
  <w:num w:numId="43" w16cid:durableId="573204353">
    <w:abstractNumId w:val="10"/>
  </w:num>
  <w:num w:numId="44" w16cid:durableId="9448472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449"/>
    <w:rsid w:val="002A33E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66D"/>
    <w:rsid w:val="00467F43"/>
    <w:rsid w:val="00471C19"/>
    <w:rsid w:val="004867E3"/>
    <w:rsid w:val="00494A28"/>
    <w:rsid w:val="004A495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F7B"/>
    <w:rsid w:val="00731ADD"/>
    <w:rsid w:val="00734777"/>
    <w:rsid w:val="00747932"/>
    <w:rsid w:val="00751A4A"/>
    <w:rsid w:val="00756632"/>
    <w:rsid w:val="00762C74"/>
    <w:rsid w:val="00786EC0"/>
    <w:rsid w:val="007B7259"/>
    <w:rsid w:val="007D1690"/>
    <w:rsid w:val="007E22AD"/>
    <w:rsid w:val="00817416"/>
    <w:rsid w:val="00842779"/>
    <w:rsid w:val="00863B0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30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F30"/>
    <w:rsid w:val="00C05BFE"/>
    <w:rsid w:val="00C23CD4"/>
    <w:rsid w:val="00C61C0C"/>
    <w:rsid w:val="00C941CB"/>
    <w:rsid w:val="00CC2357"/>
    <w:rsid w:val="00CF071A"/>
    <w:rsid w:val="00D058B8"/>
    <w:rsid w:val="00D56C11"/>
    <w:rsid w:val="00D61366"/>
    <w:rsid w:val="00D834A0"/>
    <w:rsid w:val="00D872DF"/>
    <w:rsid w:val="00D91E21"/>
    <w:rsid w:val="00DA7FCD"/>
    <w:rsid w:val="00E365E1"/>
    <w:rsid w:val="00E820A4"/>
    <w:rsid w:val="00E86F5A"/>
    <w:rsid w:val="00EA5964"/>
    <w:rsid w:val="00EB006A"/>
    <w:rsid w:val="00EB4772"/>
    <w:rsid w:val="00ED169E"/>
    <w:rsid w:val="00ED4235"/>
    <w:rsid w:val="00F04346"/>
    <w:rsid w:val="00F075DC"/>
    <w:rsid w:val="00F149E9"/>
    <w:rsid w:val="00F23831"/>
    <w:rsid w:val="00F5134D"/>
    <w:rsid w:val="00F74202"/>
    <w:rsid w:val="00F87713"/>
    <w:rsid w:val="00FA52E2"/>
    <w:rsid w:val="00FB4360"/>
    <w:rsid w:val="00FD0C70"/>
  </w:rsids>
  <w:docVars>
    <w:docVar w:name="dvdocse" w:val="B10-0238, 0240, 0241 és 0281/2026"/>
    <w:docVar w:name="dvlangue" w:val="HU"/>
    <w:docVar w:name="dvnumam" w:val="0"/>
    <w:docVar w:name="dvpe" w:val="783.281"/>
    <w:docVar w:name="dvtitre" w:val="Az Európai Parlament 2026.  ...-i állásfoglalása a települési szennyvíz kezeléséről szóló irányelv végrehajtásáról és a gyógyszerellátás biztonságát fenyegető kockázatokról(2026/265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7E8146"/>
  <w15:chartTrackingRefBased/>
  <w15:docId w15:val="{1A44D47B-75A2-4CEB-8069-F90C393E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A596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A596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A5964"/>
    <w:rPr>
      <w:sz w:val="24"/>
      <w:lang w:val="hu-HU"/>
    </w:rPr>
  </w:style>
  <w:style w:type="character" w:styleId="Hyperlink">
    <w:name w:val="Hyperlink"/>
    <w:basedOn w:val="DefaultParagraphFont"/>
    <w:rsid w:val="00EA5964"/>
    <w:rPr>
      <w:color w:val="0000FF"/>
      <w:u w:val="single"/>
    </w:rPr>
  </w:style>
  <w:style w:type="paragraph" w:styleId="Revision">
    <w:name w:val="Revision"/>
    <w:hidden/>
    <w:uiPriority w:val="99"/>
    <w:semiHidden/>
    <w:rsid w:val="002A33E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3019/oj" TargetMode="External" /><Relationship Id="rId2" Type="http://schemas.openxmlformats.org/officeDocument/2006/relationships/hyperlink" Target="http://data.europa.eu/eli/dir/2000/60/oj" TargetMode="External" /><Relationship Id="rId3" Type="http://schemas.openxmlformats.org/officeDocument/2006/relationships/hyperlink" Target="http://data.europa.eu/eli/dir/2006/118/oj" TargetMode="External" /><Relationship Id="rId4" Type="http://schemas.openxmlformats.org/officeDocument/2006/relationships/hyperlink" Target="http://data.europa.eu/eli/dir/2008/105/oj" TargetMode="External" /><Relationship Id="rId5" Type="http://schemas.openxmlformats.org/officeDocument/2006/relationships/hyperlink" Target="http://data.europa.eu/eli/dec/2022/59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3261</Words>
  <Characters>23863</Characters>
  <Application>Microsoft Office Word</Application>
  <DocSecurity>0</DocSecurity>
  <Lines>497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2026-07-15T13:55:00Z</dcterms:created>
  <dcterms:modified xsi:type="dcterms:W3CDTF">2026-07-15T13:55:00Z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P10_TA(2026)0228_</vt:lpwstr>
  </property>
  <property fmtid="{D5CDD505-2E9C-101B-9397-08002B2CF9AE}" pid="4" name="&lt;Type&gt;">
    <vt:lpwstr>RR</vt:lpwstr>
  </property>
</Properties>
</file>