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591467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60F23" w:rsidP="0010095E" w14:paraId="7802E91D" w14:textId="77777777">
            <w:pPr>
              <w:pStyle w:val="EPName"/>
            </w:pPr>
            <w:r w:rsidRPr="00E60F23">
              <w:t>Európsky parlament</w:t>
            </w:r>
          </w:p>
          <w:p w:rsidR="00751A4A" w:rsidRPr="00E60F23" w:rsidP="005F1B17" w14:paraId="22B5F34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0F23">
              <w:t>2024</w:t>
            </w:r>
            <w:r w:rsidRPr="00E60F23" w:rsidR="00817416">
              <w:t>-202</w:t>
            </w:r>
            <w:r w:rsidRPr="00E60F2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60F23" w:rsidP="0010095E" w14:paraId="39419F83" w14:textId="77777777">
            <w:pPr>
              <w:pStyle w:val="EPLogo"/>
            </w:pPr>
            <w:r w:rsidRPr="00E60F2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60F23" w:rsidP="004C5D52" w14:paraId="514865CB" w14:textId="77777777">
      <w:pPr>
        <w:pStyle w:val="LineTop"/>
      </w:pPr>
    </w:p>
    <w:p w:rsidR="00680577" w:rsidRPr="00E60F23" w:rsidP="00680577" w14:paraId="6176098A" w14:textId="77777777">
      <w:pPr>
        <w:pStyle w:val="EPBodyTA1"/>
      </w:pPr>
      <w:r w:rsidRPr="00E60F23">
        <w:t>PRIJATÉ TEXTY</w:t>
      </w:r>
    </w:p>
    <w:p w:rsidR="00D058B8" w:rsidRPr="00E60F23" w:rsidP="00D058B8" w14:paraId="0858E973" w14:textId="77777777">
      <w:pPr>
        <w:pStyle w:val="LineBottom"/>
      </w:pPr>
    </w:p>
    <w:p w:rsidR="00947854" w:rsidRPr="00E60F23" w:rsidP="00947854" w14:paraId="56008CFC" w14:textId="30F5FB14">
      <w:pPr>
        <w:pStyle w:val="ATHeading1"/>
      </w:pPr>
      <w:bookmarkStart w:id="0" w:name="TANumber"/>
      <w:r w:rsidRPr="00E60F23">
        <w:t>P10_TA(2026)0</w:t>
      </w:r>
      <w:r w:rsidRPr="00E60F23" w:rsidR="00E60F23">
        <w:t>228</w:t>
      </w:r>
      <w:bookmarkEnd w:id="0"/>
    </w:p>
    <w:p w:rsidR="00947854" w:rsidRPr="00E60F23" w:rsidP="00947854" w14:paraId="6E2D7FD4" w14:textId="77777777">
      <w:pPr>
        <w:pStyle w:val="ATHeading2"/>
      </w:pPr>
      <w:bookmarkStart w:id="1" w:name="title"/>
      <w:r w:rsidRPr="00E60F23">
        <w:t>Vykonávanie smernice o čistení komunálnych odpadových vôd a riziká pre bezpečnosť dodávok liekov</w:t>
      </w:r>
      <w:bookmarkEnd w:id="1"/>
    </w:p>
    <w:p w:rsidR="00947854" w:rsidRPr="00E60F23" w:rsidP="00947854" w14:paraId="628DD183" w14:textId="77777777">
      <w:pPr>
        <w:rPr>
          <w:i/>
          <w:vanish/>
        </w:rPr>
      </w:pPr>
      <w:r>
        <w:rPr>
          <w:i/>
        </w:rPr>
        <w:fldChar w:fldCharType="begin"/>
      </w:r>
      <w:r w:rsidRPr="00E60F23">
        <w:rPr>
          <w:i/>
        </w:rPr>
        <w:instrText xml:space="preserve"> TC"(</w:instrText>
      </w:r>
      <w:bookmarkStart w:id="2" w:name="DocNumber"/>
      <w:r w:rsidRPr="00E60F23">
        <w:rPr>
          <w:i/>
        </w:rPr>
        <w:instrText>B10-0238, 0240, 0241 a 0281/2026</w:instrText>
      </w:r>
      <w:bookmarkEnd w:id="2"/>
      <w:r w:rsidRPr="00E60F2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947854" w:rsidRPr="00E60F23" w:rsidP="00947854" w14:paraId="75AB8533" w14:textId="77777777">
      <w:pPr>
        <w:rPr>
          <w:vanish/>
        </w:rPr>
      </w:pPr>
      <w:bookmarkStart w:id="3" w:name="PE"/>
      <w:r w:rsidRPr="00E60F23">
        <w:rPr>
          <w:vanish/>
        </w:rPr>
        <w:t>PE783.281</w:t>
      </w:r>
      <w:bookmarkEnd w:id="3"/>
    </w:p>
    <w:p w:rsidR="00947854" w:rsidRPr="00E60F23" w:rsidP="00947854" w14:paraId="5021E3F9" w14:textId="57F60396">
      <w:pPr>
        <w:pStyle w:val="ATHeading3"/>
      </w:pPr>
      <w:bookmarkStart w:id="4" w:name="Sujet"/>
      <w:r w:rsidRPr="00E60F23">
        <w:t xml:space="preserve">Uznesenie Európskeho parlamentu z </w:t>
      </w:r>
      <w:r w:rsidRPr="00E60F23" w:rsidR="00F77587">
        <w:t>18</w:t>
      </w:r>
      <w:r w:rsidRPr="00E60F23">
        <w:t xml:space="preserve">. </w:t>
      </w:r>
      <w:r w:rsidRPr="00E60F23" w:rsidR="00F77587">
        <w:t xml:space="preserve">júna </w:t>
      </w:r>
      <w:r w:rsidRPr="00E60F23">
        <w:t>2026 o vykonávaní smernice o čistení komunálnych odpadových vôd a rizikách pre bezpečnosť dodávok liekov</w:t>
      </w:r>
      <w:bookmarkEnd w:id="4"/>
      <w:r w:rsidRPr="00E60F23">
        <w:t xml:space="preserve"> </w:t>
      </w:r>
      <w:bookmarkStart w:id="5" w:name="References"/>
      <w:r w:rsidRPr="00E60F23">
        <w:t>(2026/2652(RSP))</w:t>
      </w:r>
      <w:bookmarkEnd w:id="5"/>
    </w:p>
    <w:p w:rsidR="007B5920" w:rsidRPr="00E60F23" w:rsidP="007B5920" w14:paraId="684309A9" w14:textId="77777777">
      <w:pPr>
        <w:pStyle w:val="EPComma"/>
      </w:pPr>
      <w:bookmarkStart w:id="6" w:name="TextBodyBegin"/>
      <w:bookmarkEnd w:id="6"/>
      <w:r w:rsidRPr="00E60F23">
        <w:rPr>
          <w:i/>
          <w:iCs/>
        </w:rPr>
        <w:t>Európsky parlament</w:t>
      </w:r>
      <w:r w:rsidRPr="00E60F23">
        <w:t>,</w:t>
      </w:r>
    </w:p>
    <w:p w:rsidR="007B5920" w:rsidRPr="00E60F23" w:rsidP="007B5920" w14:paraId="6ED682CA" w14:textId="77777777">
      <w:pPr>
        <w:pStyle w:val="NormalHanging12a"/>
      </w:pPr>
      <w:r w:rsidRPr="00E60F23">
        <w:t>–</w:t>
      </w:r>
      <w:r w:rsidRPr="00E60F23">
        <w:tab/>
        <w:t>so zreteľom na Zmluvu o fungovaní Európskej únie (ďalej len „ZFEÚ“), a najmä na jej články 168 a 191,</w:t>
      </w:r>
    </w:p>
    <w:p w:rsidR="007B5920" w:rsidRPr="00E60F23" w:rsidP="007B5920" w14:paraId="36647CE3" w14:textId="77777777">
      <w:pPr>
        <w:pStyle w:val="NormalHanging12a"/>
      </w:pPr>
      <w:r w:rsidRPr="00E60F23">
        <w:t>–</w:t>
      </w:r>
      <w:r w:rsidRPr="00E60F23">
        <w:tab/>
        <w:t>so zreteľom na článok 35 Charty základných práv Európskej únie,</w:t>
      </w:r>
    </w:p>
    <w:p w:rsidR="007B5920" w:rsidRPr="00E60F23" w:rsidP="007B5920" w14:paraId="4817F3E5" w14:textId="77777777">
      <w:pPr>
        <w:pStyle w:val="NormalHanging12a"/>
      </w:pPr>
      <w:r w:rsidRPr="00E60F23">
        <w:t>–</w:t>
      </w:r>
      <w:r w:rsidRPr="00E60F23">
        <w:tab/>
        <w:t>so zreteľom na smernicu Európskeho parlamentu a Rady (EÚ) 2024/3019 z 27. novembra 2024 o čistení komunálnych odpadových vôd</w:t>
      </w:r>
      <w:r>
        <w:rPr>
          <w:rStyle w:val="FootnoteReference"/>
          <w:color w:val="000000"/>
        </w:rPr>
        <w:footnoteReference w:id="2"/>
      </w:r>
      <w:r w:rsidRPr="00E60F23">
        <w:t xml:space="preserve"> (ďalej len „prepracovaná smernica o čistení komunálnych odpadových vôd“), ktorá nadobudla účinnosť 1. januára 2025,</w:t>
      </w:r>
    </w:p>
    <w:p w:rsidR="007B5920" w:rsidRPr="00E60F23" w:rsidP="007B5920" w14:paraId="59F47374" w14:textId="77777777">
      <w:pPr>
        <w:pStyle w:val="NormalHanging12a"/>
      </w:pPr>
      <w:r w:rsidRPr="00E60F23">
        <w:t>–</w:t>
      </w:r>
      <w:r w:rsidRPr="00E60F23">
        <w:tab/>
        <w:t>so zreteľom na smernicu Európskeho parlamentu a Rady 2000/60/ES z 23. októbra 2000, ktorou sa stanovuje rámec pôsobnosti pre opatrenia Spoločenstva v oblasti vodného hospodárstva</w:t>
      </w:r>
      <w:r>
        <w:rPr>
          <w:rStyle w:val="FootnoteReference"/>
          <w:color w:val="000000"/>
        </w:rPr>
        <w:footnoteReference w:id="3"/>
      </w:r>
      <w:r w:rsidRPr="00E60F23">
        <w:t xml:space="preserve"> (ďalej len „rámcová smernica o vode“),</w:t>
      </w:r>
    </w:p>
    <w:p w:rsidR="007B5920" w:rsidRPr="00E60F23" w:rsidP="007B5920" w14:paraId="11FE0C20" w14:textId="77777777">
      <w:pPr>
        <w:pStyle w:val="NormalHanging12a"/>
      </w:pPr>
      <w:r w:rsidRPr="00E60F23">
        <w:t>–</w:t>
      </w:r>
      <w:r w:rsidRPr="00E60F23">
        <w:tab/>
        <w:t>so zreteľom na smernicu Európskeho parlamentu a Rady 2006/118/ES z 12. decembra 2006 o ochrane podzemných vôd pred znečistením a zhoršením kvality</w:t>
      </w:r>
      <w:r>
        <w:rPr>
          <w:rStyle w:val="FootnoteReference"/>
        </w:rPr>
        <w:footnoteReference w:id="4"/>
      </w:r>
      <w:r w:rsidRPr="00E60F23">
        <w:t xml:space="preserve"> a smernicu Európskeho parlamentu a Rady 2008/105/ES zo 16. decembra 2008 o environmentálnych normách kvality v oblasti vodnej politiky, o zmene a doplnení a následnom zrušení smerníc Rady 82/176/EHS, 83/513/EHS, 84/156/EHS, 84/491/EHS a 86/280/EHS a o zmene a doplnení smernice Európskeho parlamentu a Rady 2000/60/ES</w:t>
      </w:r>
      <w:r>
        <w:rPr>
          <w:rStyle w:val="FootnoteReference"/>
        </w:rPr>
        <w:footnoteReference w:id="5"/>
      </w:r>
      <w:r w:rsidRPr="00E60F23">
        <w:t>,</w:t>
      </w:r>
    </w:p>
    <w:p w:rsidR="007B5920" w:rsidRPr="00E60F23" w:rsidP="007B5920" w14:paraId="5A23D914" w14:textId="77777777">
      <w:pPr>
        <w:pStyle w:val="NormalHanging12a"/>
      </w:pPr>
      <w:r w:rsidRPr="00E60F23">
        <w:t>–</w:t>
      </w:r>
      <w:r w:rsidRPr="00E60F23">
        <w:tab/>
        <w:t xml:space="preserve">so zreteľom na rozhodnutie Európskeho parlamentu a Rady (EÚ) 2022/591 zo 6. apríla </w:t>
      </w:r>
      <w:r w:rsidRPr="00E60F23">
        <w:t>2022 o všeobecnom environmentálnom akčnom programe Únie do roku 2030</w:t>
      </w:r>
      <w:r>
        <w:rPr>
          <w:rStyle w:val="FootnoteReference"/>
        </w:rPr>
        <w:footnoteReference w:id="6"/>
      </w:r>
      <w:r w:rsidRPr="00E60F23">
        <w:t>,</w:t>
      </w:r>
    </w:p>
    <w:p w:rsidR="007B5920" w:rsidRPr="00E60F23" w:rsidP="007B5920" w14:paraId="2C4BA99C" w14:textId="77777777">
      <w:pPr>
        <w:pStyle w:val="NormalHanging12a"/>
      </w:pPr>
      <w:r w:rsidRPr="00E60F23">
        <w:t>–</w:t>
      </w:r>
      <w:r w:rsidRPr="00E60F23">
        <w:tab/>
        <w:t xml:space="preserve">so zreteľom na svoje uznesenie zo 17. septembra 2020 o nedostatku liekov – </w:t>
      </w:r>
      <w:r w:rsidRPr="00E60F23">
        <w:tab/>
        <w:t>ako riešiť vznikajúci problém</w:t>
      </w:r>
      <w:r>
        <w:rPr>
          <w:rStyle w:val="FootnoteReference"/>
          <w:color w:val="000000"/>
        </w:rPr>
        <w:footnoteReference w:id="7"/>
      </w:r>
      <w:r w:rsidRPr="00E60F23">
        <w:t>,</w:t>
      </w:r>
    </w:p>
    <w:p w:rsidR="007B5920" w:rsidRPr="00E60F23" w:rsidP="007B5920" w14:paraId="6DB69B3D" w14:textId="77777777">
      <w:pPr>
        <w:pStyle w:val="NormalHanging12a"/>
      </w:pPr>
      <w:r w:rsidRPr="00E60F23">
        <w:t>–</w:t>
      </w:r>
      <w:r w:rsidRPr="00E60F23">
        <w:tab/>
        <w:t>so zreteľom na pracovný dokument útvarov Komisie z 26. októbra 2022 s názvom Posúdenie vplyvu sprevádzajúce návrh smernice Európskeho parlamentu a Rady o čistení komunálnych odpadových vôd (SWD(2022)0541),</w:t>
      </w:r>
    </w:p>
    <w:p w:rsidR="007B5920" w:rsidRPr="00E60F23" w:rsidP="007B5920" w14:paraId="116E5DA3" w14:textId="77777777">
      <w:pPr>
        <w:pStyle w:val="NormalHanging12a"/>
      </w:pPr>
      <w:r w:rsidRPr="00E60F23">
        <w:t>–</w:t>
      </w:r>
      <w:r w:rsidRPr="00E60F23">
        <w:tab/>
        <w:t>so zreteľom na oznámenie Komisie z 12. mája 2021 s názvom Cesta k zdravej planéte pre všetkých Akčný plán EÚ: „Dosahovanie nulového znečisťovania ovzdušia, vody a pôdy“ (COM(2021)0400),</w:t>
      </w:r>
    </w:p>
    <w:p w:rsidR="007B5920" w:rsidRPr="00E60F23" w:rsidP="007B5920" w14:paraId="520AEE09" w14:textId="77777777">
      <w:pPr>
        <w:pStyle w:val="NormalHanging12a"/>
      </w:pPr>
      <w:r w:rsidRPr="00E60F23">
        <w:t>–</w:t>
      </w:r>
      <w:r w:rsidRPr="00E60F23">
        <w:tab/>
        <w:t>so zreteľom na správu Spoločného výskumného centra z 10. decembra 2025 s názvom Aktualizovaný odhad nákladov na kvartérne čistenie odpadových vôd v EÚ – porovnanie nákladových modelov,</w:t>
      </w:r>
    </w:p>
    <w:p w:rsidR="007B5920" w:rsidRPr="00E60F23" w:rsidP="007B5920" w14:paraId="085AB57A" w14:textId="77777777">
      <w:pPr>
        <w:pStyle w:val="NormalHanging12a"/>
      </w:pPr>
      <w:r w:rsidRPr="00E60F23">
        <w:t>–</w:t>
      </w:r>
      <w:r w:rsidRPr="00E60F23">
        <w:tab/>
        <w:t>so zreteľom na prebiehajúcu prácu na akte o kritických liekoch,</w:t>
      </w:r>
    </w:p>
    <w:p w:rsidR="007B5920" w:rsidRPr="00E60F23" w:rsidP="007B5920" w14:paraId="1AF0B382" w14:textId="77777777">
      <w:pPr>
        <w:pStyle w:val="NormalHanging12a"/>
      </w:pPr>
      <w:r w:rsidRPr="00E60F23">
        <w:t>–</w:t>
      </w:r>
      <w:r w:rsidRPr="00E60F23">
        <w:tab/>
        <w:t>so zreteľom na článok 142 ods. 5 a článok 136 ods. 4 rokovacieho poriadku,</w:t>
      </w:r>
    </w:p>
    <w:p w:rsidR="007B5920" w:rsidRPr="00E60F23" w:rsidP="007B5920" w14:paraId="1F233FD2" w14:textId="77777777">
      <w:pPr>
        <w:pStyle w:val="NormalHanging12a"/>
      </w:pPr>
      <w:r w:rsidRPr="00E60F23">
        <w:t>A.</w:t>
      </w:r>
      <w:r w:rsidRPr="00E60F23">
        <w:tab/>
        <w:t>keďže v článku 191 ZFEÚ sa stanovuje, že politika životného prostredia Únie „sa zameriava na vysokú úroveň jeho ochrany, pričom prihliada na rozmanité situácie v jednotlivých regiónoch Únie“ a že „[v]</w:t>
      </w:r>
      <w:r w:rsidRPr="00E60F23">
        <w:t>ychádza</w:t>
      </w:r>
      <w:r w:rsidRPr="00E60F23">
        <w:t xml:space="preserve"> zo zásad predchádzania škodám a prevencie, zo zásady nápravy škôd na životnom prostredí prioritne pri zdroji a zo zásady, že náhradu škody hradí znečisťovateľ“;</w:t>
      </w:r>
    </w:p>
    <w:p w:rsidR="007B5920" w:rsidRPr="00E60F23" w:rsidP="007B5920" w14:paraId="26541A9B" w14:textId="77777777">
      <w:pPr>
        <w:pStyle w:val="NormalHanging12a"/>
      </w:pPr>
      <w:r w:rsidRPr="00E60F23">
        <w:t>B.</w:t>
      </w:r>
      <w:r w:rsidRPr="00E60F23">
        <w:tab/>
        <w:t>keďže voda je pre život a ľudstvo nevyhnutná; keďže EÚ musí efektívne hospodáriť s existujúcimi a budúcimi vodnými zdrojmi a účinne reagovať na súčasné výzvy spojené s vodou, pretože priamo ovplyvňujú ľudské zdravie, životné prostredie a jeho ekosystémy, ako aj strategické socioekonomické činnosti;</w:t>
      </w:r>
    </w:p>
    <w:p w:rsidR="007B5920" w:rsidRPr="00E60F23" w:rsidP="007B5920" w14:paraId="038D7272" w14:textId="77777777">
      <w:pPr>
        <w:pStyle w:val="NormalHanging12a"/>
      </w:pPr>
      <w:r w:rsidRPr="00E60F23">
        <w:t>C.</w:t>
      </w:r>
      <w:r w:rsidRPr="00E60F23">
        <w:tab/>
        <w:t xml:space="preserve">keďže </w:t>
      </w:r>
      <w:r w:rsidRPr="00E60F23">
        <w:t>mikropolutanty</w:t>
      </w:r>
      <w:r w:rsidRPr="00E60F23">
        <w:t xml:space="preserve">, ktoré sa nachádzajú vo všetkých druhoch vodných útvarov a boli zistené vo všetkých vodách EÚ, majú škodlivé účinky na ľudské zdravie vrátane karcinogénnych účinkov a účinkov narúšajúcich endokrinný systém a na vodné organizmy, a to aj v nízkych koncentráciách a prispievajú k šíreniu </w:t>
      </w:r>
      <w:r w:rsidRPr="00E60F23">
        <w:t>antimikrobiálnej</w:t>
      </w:r>
      <w:r w:rsidRPr="00E60F23">
        <w:t xml:space="preserve"> rezistencie (AMR); keďže Svetová zdravotnícka organizácia vyhlásila AMR za naliehavú globálnu zdravotnú krízu, ktorá do roku 2050 podľa odhadov spôsobí celosvetovo viac úmrtí ako rakovina; keďže mnohé </w:t>
      </w:r>
      <w:r w:rsidRPr="00E60F23">
        <w:t>mikropolutanty</w:t>
      </w:r>
      <w:r w:rsidRPr="00E60F23">
        <w:t xml:space="preserve"> z liekov sa do vody dostávajú skôr potom, ako ich použijú pacienti, a nie počas výroby alebo likvidácie;</w:t>
      </w:r>
    </w:p>
    <w:p w:rsidR="007B5920" w:rsidRPr="00E60F23" w:rsidP="007B5920" w14:paraId="646C337D" w14:textId="77777777">
      <w:pPr>
        <w:pStyle w:val="NormalHanging12a"/>
      </w:pPr>
      <w:r w:rsidRPr="00E60F23">
        <w:t>D.</w:t>
      </w:r>
      <w:r w:rsidRPr="00E60F23">
        <w:tab/>
        <w:t xml:space="preserve">keďže znečistenie vôd vrátane znečistenia </w:t>
      </w:r>
      <w:r w:rsidRPr="00E60F23">
        <w:t>mikropolutantmi</w:t>
      </w:r>
      <w:r w:rsidRPr="00E60F23">
        <w:t xml:space="preserve"> je rastúca a vážna hrozba pre ekosystémy, biodiverzitu a zdravie ľudí a zvierat a v súčasnosti stojí EÚ viac ako 75 miliárd EUR ročne; keďže komunálne odpadové vody sú jedným z hlavných zdrojov znečistenia vody, ak nie sú riadne zachytené a vyčistené; keďže odstránenie </w:t>
      </w:r>
      <w:r w:rsidRPr="00E60F23">
        <w:t>mikropolutantov</w:t>
      </w:r>
      <w:r w:rsidRPr="00E60F23">
        <w:t xml:space="preserve"> z kontaminovaných odpadových vôd je potrebné, aby sa zabránilo ich nebezpečným účinkom na zdravie a životné prostredie;</w:t>
      </w:r>
    </w:p>
    <w:p w:rsidR="007B5920" w:rsidRPr="00E60F23" w:rsidP="007B5920" w14:paraId="26002578" w14:textId="77777777">
      <w:pPr>
        <w:pStyle w:val="NormalHanging12a"/>
      </w:pPr>
      <w:r w:rsidRPr="00E60F23">
        <w:t>E.</w:t>
      </w:r>
      <w:r w:rsidRPr="00E60F23">
        <w:tab/>
        <w:t xml:space="preserve">keďže mnohé obce a komunity v EÚ využívajú na úpravu pitnej vody brehovú filtráciu, </w:t>
      </w:r>
      <w:r w:rsidRPr="00E60F23">
        <w:t xml:space="preserve">čo má za následok, že dodávky vody sú čoraz viac kontaminované </w:t>
      </w:r>
      <w:r w:rsidRPr="00E60F23">
        <w:t>mikropolutantmi</w:t>
      </w:r>
      <w:r w:rsidRPr="00E60F23">
        <w:t>;</w:t>
      </w:r>
    </w:p>
    <w:p w:rsidR="007B5920" w:rsidRPr="00E60F23" w:rsidP="007B5920" w14:paraId="6EAA2503" w14:textId="77777777">
      <w:pPr>
        <w:pStyle w:val="NormalHanging12a"/>
      </w:pPr>
      <w:r w:rsidRPr="00E60F23">
        <w:t>F.</w:t>
      </w:r>
      <w:r w:rsidRPr="00E60F23">
        <w:tab/>
        <w:t>keďže náklady na primárne, sekundárne a terciárne čistenie vo všeobecnosti hradia verejné orgány z peňazí daňovníkov alebo poplatkov za vodu; keďže uplatňovanie zásady „znečisťovateľ platí“ zakotvenej v článku 191 ZFEÚ na čistenie vody bolo prvýkrát zavedené v prepracovanej smernici o čistení komunálnych odpadových vôd;</w:t>
      </w:r>
    </w:p>
    <w:p w:rsidR="007B5920" w:rsidRPr="00E60F23" w:rsidP="007B5920" w14:paraId="105ADBAE" w14:textId="77777777">
      <w:pPr>
        <w:pStyle w:val="NormalHanging12a"/>
      </w:pPr>
      <w:r w:rsidRPr="00E60F23">
        <w:t>G.</w:t>
      </w:r>
      <w:r w:rsidRPr="00E60F23">
        <w:tab/>
        <w:t xml:space="preserve">keďže v smernici o čistení komunálnych odpadových vôd je stanovený právny rámec pre zber, čistenie a vypúšťanie komunálnych odpadových vôd a vypúšťanie biologicky rozložiteľných odpadových vôd z určitých priemyselných odvetví, keďže cieľom prepracovanej smernice o čistení komunálnych odpadových vôd je znížiť znečistenie vody, a to aj </w:t>
      </w:r>
      <w:r w:rsidRPr="00E60F23">
        <w:t>mikropolutantmi</w:t>
      </w:r>
      <w:r w:rsidRPr="00E60F23">
        <w:t xml:space="preserve">, a chrániť kvalitu vody v celej EÚ; keďže bežné čistenie odpadových vôd neumožňuje účinné odstránenie </w:t>
      </w:r>
      <w:r w:rsidRPr="00E60F23">
        <w:t>mikropolutantov</w:t>
      </w:r>
      <w:r w:rsidRPr="00E60F23">
        <w:t xml:space="preserve"> v odpadových vodách; keďže prepracovanou smernicou sa zavádza povinnosť kvartérneho čistenia odpadových vôd, ktorým sa odstraňujú </w:t>
      </w:r>
      <w:r w:rsidRPr="00E60F23">
        <w:t>mikropolutanty</w:t>
      </w:r>
      <w:r w:rsidRPr="00E60F23">
        <w:t xml:space="preserve">, čím sa zabezpečuje vysoká úroveň ochrany zdravia a životného prostredia v súlade s prístupom „jedno zdravie“; keďže prepracovaná smernica vyžaduje systematickú modernizáciu umožňujúcu kvartérne čistenie veľkých čistiarní odpadových vôd, ktoré slúžia viac ako 150 000 ľuďom (t. j. vo veľkých mestách, pretože ide o miesta s intenzívnym uvoľňovaním </w:t>
      </w:r>
      <w:r w:rsidRPr="00E60F23">
        <w:t>mikropolutantov</w:t>
      </w:r>
      <w:r w:rsidRPr="00E60F23">
        <w:t>), a modernizáciu menších čistiarní odpadových vôd vyžaduje len vtedy, ak sa nachádzajú v rizikových oblastiach;</w:t>
      </w:r>
    </w:p>
    <w:p w:rsidR="007B5920" w:rsidRPr="00E60F23" w:rsidP="007B5920" w14:paraId="08AA51CB" w14:textId="77777777">
      <w:pPr>
        <w:pStyle w:val="NormalHanging12a"/>
      </w:pPr>
      <w:r w:rsidRPr="00E60F23">
        <w:t>H.</w:t>
      </w:r>
      <w:r w:rsidRPr="00E60F23">
        <w:tab/>
        <w:t xml:space="preserve">keďže zavádzanie kvartérneho čistenia prebieha postupne, a to od decembra 2033, keď sa bude musieť modernizovať len 20 % väčších zariadení a 10 % menších zariadení, pričom úplné zavedenie sa má dosiahnuť do decembra 2045; keďže zavedenie kvartérneho čistenia ako dodatočného a pokročilého čistenia komunálnych odpadových vôd s cieľom odstrániť čo najširšie spektrum </w:t>
      </w:r>
      <w:r w:rsidRPr="00E60F23">
        <w:t>mikropolutantov</w:t>
      </w:r>
      <w:r w:rsidRPr="00E60F23">
        <w:t xml:space="preserve"> je potrebné na zníženie množstva týchto znečisťujúcich látok a na ochranu verejného zdravia a životného prostredia; keďže zavedenie kvartérneho čistenia predstavuje najnákladnejšiu zložku smernice;</w:t>
      </w:r>
    </w:p>
    <w:p w:rsidR="007B5920" w:rsidRPr="00E60F23" w:rsidP="007B5920" w14:paraId="09109957" w14:textId="77777777">
      <w:pPr>
        <w:pStyle w:val="NormalHanging12a"/>
      </w:pPr>
      <w:r w:rsidRPr="00E60F23">
        <w:t>I.</w:t>
      </w:r>
      <w:r w:rsidRPr="00E60F23">
        <w:tab/>
        <w:t>keďže zásada „znečisťovateľ platí“ je právne záväzná zásada zakotvená v článku 191 ZFEÚ a jej cieľom je zabezpečiť, aby náklady na prevenciu, kontrolu a nápravu tohto znečistenia znášali tí, ktorí sú zodpovední za spôsobenie environmentálnych škôd, a nie daňoví poplatníci alebo širšia spoločnosť;</w:t>
      </w:r>
    </w:p>
    <w:p w:rsidR="007B5920" w:rsidRPr="00E60F23" w:rsidP="007B5920" w14:paraId="5CD741BF" w14:textId="77777777">
      <w:pPr>
        <w:pStyle w:val="NormalHanging12a"/>
      </w:pPr>
      <w:r w:rsidRPr="00E60F23">
        <w:t>J.</w:t>
      </w:r>
      <w:r w:rsidRPr="00E60F23">
        <w:tab/>
      </w:r>
      <w:bookmarkStart w:id="7" w:name="_Hlk227220226"/>
      <w:r w:rsidRPr="00E60F23">
        <w:t xml:space="preserve">keďže cieľom rozšírenej zodpovednosti výrobcu je </w:t>
      </w:r>
      <w:r w:rsidRPr="00E60F23">
        <w:t>internalizácia</w:t>
      </w:r>
      <w:r w:rsidRPr="00E60F23">
        <w:t xml:space="preserve"> environmentálnych </w:t>
      </w:r>
      <w:r w:rsidRPr="00E60F23">
        <w:t>externalít</w:t>
      </w:r>
      <w:r w:rsidRPr="00E60F23">
        <w:t>, pričom motivuje výrobcov, aby zohľadňovali environmentálne aspekty počas celého životného cyklu výrobkov, od fázy návrhu až po koniec životnosti, čím sa účinne uplatňuje zásada „znečisťovateľ platí“; keďže väčšina existujúcich systémov rozšírenej zodpovednosti výrobcu bola vyvinutá vzhľadom na toky odpadu z identifikovateľných bodových zdrojov, takže výrobcovia môžu účinne organizovať, monitorovať a kontrolovať systémy zberu a spracovania;</w:t>
      </w:r>
      <w:bookmarkEnd w:id="7"/>
    </w:p>
    <w:p w:rsidR="007B5920" w:rsidRPr="00E60F23" w:rsidP="007B5920" w14:paraId="49021D7E" w14:textId="77777777">
      <w:pPr>
        <w:pStyle w:val="NormalHanging12a"/>
      </w:pPr>
      <w:r w:rsidRPr="00E60F23">
        <w:t>K.</w:t>
      </w:r>
      <w:r w:rsidRPr="00E60F23">
        <w:tab/>
        <w:t>keďže lieky sa vyvíjajú a povoľujú na účel liečby pacientov; keďže posudzovanie environmentálnych rizík je síce nevyhnutným kritériom pri povoľovaní liekov, ale environmentálne riziko nie je súčasťou hodnotenia prínosov a rizík pri povoľovaní liekov;</w:t>
      </w:r>
    </w:p>
    <w:p w:rsidR="007B5920" w:rsidRPr="00E60F23" w:rsidP="007B5920" w14:paraId="71325432" w14:textId="77777777">
      <w:pPr>
        <w:pStyle w:val="NormalHanging12a"/>
      </w:pPr>
      <w:r w:rsidRPr="00E60F23">
        <w:t>L.</w:t>
      </w:r>
      <w:r w:rsidRPr="00E60F23">
        <w:tab/>
        <w:t xml:space="preserve">keďže údaje a analýzy Komisie a Spoločného výskumného centra ukazujú, že lieky a kozmetické výrobky sú zdrojom najvyššieho podielu potenciálne škodlivých a ťažko </w:t>
      </w:r>
      <w:r w:rsidRPr="00E60F23">
        <w:t>biologicky rozložiteľných látok, ktoré sa nachádzajú v odpadových vodách; keďže podľa informácií niektorých držiteľov povolenia na uvedenie na trh sa toxické zaťaženie pripisované určitým výrobkom v uvedených analýzach líši od údajov z posudzovania environmentálnych rizík liekov;</w:t>
      </w:r>
    </w:p>
    <w:p w:rsidR="007B5920" w:rsidP="007B5920" w14:paraId="32D4F1CF" w14:textId="77777777">
      <w:pPr>
        <w:pStyle w:val="NormalHanging12a"/>
      </w:pPr>
      <w:r w:rsidRPr="00E60F23">
        <w:t>M.</w:t>
      </w:r>
      <w:r w:rsidRPr="00E60F23">
        <w:tab/>
        <w:t>keďže prepracovanou smernicou o čistení komunálnych odpadových vôd sa zaviedli ustanovenia o rozšírenej zodpovednosti výrobcu v súlade so zásadou „znečisťovateľ platí“, v ktorých sa vyžaduje, aby aspoň 80 % nákladov na kvartérne čistenie pokrývali hlavné odvetvia, ktoré boli identifikované ako zodpovedné za uvoľňovanie znečisťujúcich látok, konkrétne farmaceutický a kozmetický priemysel;</w:t>
      </w:r>
    </w:p>
    <w:p w:rsidR="00CF5853" w:rsidP="007B5920" w14:paraId="25F2D3DE" w14:textId="16119A2F">
      <w:pPr>
        <w:pStyle w:val="NormalHanging12a"/>
      </w:pPr>
      <w:r>
        <w:t>N</w:t>
      </w:r>
      <w:r w:rsidRPr="00CF5853">
        <w:t>.</w:t>
      </w:r>
      <w:r w:rsidRPr="00CF5853">
        <w:tab/>
        <w:t>keďže zavedenie kvartérneho čistenia je najnákladnejším prvkom smernice;</w:t>
      </w:r>
    </w:p>
    <w:p w:rsidR="00CF5853" w:rsidRPr="00E60F23" w:rsidP="007B5920" w14:paraId="36053D64" w14:textId="3C54B4F9">
      <w:pPr>
        <w:pStyle w:val="NormalHanging12a"/>
      </w:pPr>
      <w:r>
        <w:t>O</w:t>
      </w:r>
      <w:r w:rsidRPr="00CF5853">
        <w:t>.</w:t>
      </w:r>
      <w:r w:rsidRPr="00CF5853">
        <w:tab/>
        <w:t>keďže odhady nákladov členských štátov výrazne prevyšujú odhady uvedené v posúdení vplyvu Komisie (napr. Nemecko a Španielsko vykázali niekoľkokrát vyššie náklady);</w:t>
      </w:r>
    </w:p>
    <w:p w:rsidR="007B5920" w:rsidRPr="00E60F23" w:rsidP="007B5920" w14:paraId="2E4D5E8D" w14:textId="18AF7B44">
      <w:pPr>
        <w:pStyle w:val="NormalHanging12a"/>
      </w:pPr>
      <w:r>
        <w:t>P</w:t>
      </w:r>
      <w:r w:rsidRPr="00E60F23">
        <w:t>.</w:t>
      </w:r>
      <w:r w:rsidRPr="00E60F23">
        <w:tab/>
        <w:t xml:space="preserve">keďže cieľom systému rozšírenej zodpovednosti výrobcu je financovať odstraňovanie </w:t>
      </w:r>
      <w:r w:rsidRPr="00E60F23">
        <w:t>mikropolutantov</w:t>
      </w:r>
      <w:r w:rsidRPr="00E60F23">
        <w:t xml:space="preserve"> z odpadových vôd a podporovať vývoj menej toxických a biologicky lepšie rozložiteľných výrobkov, na ktoré sa nevzťahuje rozšírená zodpovednosť výrobcu; keďže systém rozšírenej zodpovednosti výrobcu motivuje a odmeňuje inovácie v oblasti vývoja a používania menej škodlivých látok v príslušných odvetviach;</w:t>
      </w:r>
    </w:p>
    <w:p w:rsidR="007B5920" w:rsidRPr="00E60F23" w:rsidP="007B5920" w14:paraId="69312495" w14:textId="1F18AC22">
      <w:pPr>
        <w:pStyle w:val="NormalHanging12a"/>
      </w:pPr>
      <w:r>
        <w:t>Q</w:t>
      </w:r>
      <w:r w:rsidRPr="00E60F23">
        <w:t>.</w:t>
      </w:r>
      <w:r w:rsidRPr="00E60F23">
        <w:tab/>
        <w:t>keďže prístup k bezpečným, účinným a cenovo dostupným liekom je základným kameňom systémov verejného zdravotníctva EÚ a musí byť zaručená bezpečnosť dodávok liekov v EÚ;</w:t>
      </w:r>
    </w:p>
    <w:p w:rsidR="007B5920" w:rsidRPr="00E60F23" w:rsidP="007B5920" w14:paraId="1D554E69" w14:textId="10905252">
      <w:pPr>
        <w:pStyle w:val="NormalHanging12a"/>
      </w:pPr>
      <w:r>
        <w:t>R</w:t>
      </w:r>
      <w:r w:rsidRPr="00E60F23">
        <w:t>.</w:t>
      </w:r>
      <w:r w:rsidRPr="00E60F23">
        <w:tab/>
        <w:t>keďže podľa posúdenia vplyvu Komisie a nezávislých údajov by potenciálne zvýšenie nákladov na výrobky alebo potenciálne zníženie rozpätí zisku odvetví, ktoré uvádzajú výrobky na trh EÚ, v dôsledku uplatňovania rozšírenej zodpovednosti výrobcu bolo zanedbateľné a neohrozilo by cenovú dostupnosť, dostupnosť ani prístupnosť týchto výrobkov na trhu EÚ;</w:t>
      </w:r>
    </w:p>
    <w:p w:rsidR="007B5920" w:rsidP="007B5920" w14:paraId="6CADC34C" w14:textId="0BB2CF96">
      <w:pPr>
        <w:pStyle w:val="NormalHanging12a"/>
      </w:pPr>
      <w:r>
        <w:t>S</w:t>
      </w:r>
      <w:r w:rsidRPr="00E60F23">
        <w:t>.</w:t>
      </w:r>
      <w:r w:rsidRPr="00E60F23">
        <w:tab/>
        <w:t>keďže odhady nákladov niektorých členských štátov prevyšujú odhady uvedené v posúdení vplyvu Komisie (napr. Nemecko a Španielsko vykázali náklady, ktoré sú niekoľkokrát vyššie); keďže posúdenie vplyvu Komisie spochybnili aj niektoré zainteresované strany, najmä pokiaľ ide o environmentálny prínos liekov a kozmetiky a výpočty účinkov na ceny liekov; keďže JRC vypracovalo druhú štúdiu s cieľom objasniť a ďalej preskúmať potenciálne náklady, ktoré by mali znášať priemyselné odvetvia dotknuté smernicou; keďže táto nová štúdia vo veľkej miere potvrdila predchádzajúce údaje a zistenia;</w:t>
      </w:r>
    </w:p>
    <w:p w:rsidR="00CF5853" w:rsidRPr="00E60F23" w:rsidP="007B5920" w14:paraId="47169711" w14:textId="65D25F05">
      <w:pPr>
        <w:pStyle w:val="NormalHanging12a"/>
      </w:pPr>
      <w:r>
        <w:t>T</w:t>
      </w:r>
      <w:r w:rsidRPr="00CF5853">
        <w:t>.</w:t>
      </w:r>
      <w:r w:rsidRPr="00CF5853">
        <w:tab/>
        <w:t xml:space="preserve">keďže to, že Komisia pripisuje približne 92 % zaťaženia </w:t>
      </w:r>
      <w:r w:rsidRPr="00CF5853">
        <w:t>mikropolutantmi</w:t>
      </w:r>
      <w:r w:rsidRPr="00CF5853">
        <w:t xml:space="preserve"> liekom a kozmetike, bolo spochybnené z metodických a vedeckých dôvodov, najmä vzhľadom na chýbajúcu dôkladnú analýzu dôsledkov pre prístup pacientov a vnútroštátne rozpočty na zdravotnú starostlivosť; keďže toto opomenutie je mimoriadne dôležité pre celý farmaceutický ekosystém, ktorý zahŕňa inovačné, generické a nepatentované lieky, ktoré spoločne podporujú prístup pacientov, bezpečnosť dodávok a dlhodobú udržateľnosť európskych systémov zdravotnej starostlivosti, a zároveň udržiava investície do výskumu a vývoja a výrobnú stopu, od ktorej závisí strategická autonómia </w:t>
      </w:r>
      <w:r w:rsidRPr="00CF5853">
        <w:t>Európy v oblasti zdravia;</w:t>
      </w:r>
    </w:p>
    <w:p w:rsidR="007B5920" w:rsidRPr="00E60F23" w:rsidP="007B5920" w14:paraId="612A1A71" w14:textId="52941F21">
      <w:pPr>
        <w:pStyle w:val="NormalHanging12a"/>
      </w:pPr>
      <w:r>
        <w:t>U</w:t>
      </w:r>
      <w:r w:rsidRPr="00E60F23">
        <w:t>.</w:t>
      </w:r>
      <w:r w:rsidRPr="00E60F23">
        <w:tab/>
        <w:t>keďže generické lieky predstavujú takmer 70 % liekov vydávaných v EÚ</w:t>
      </w:r>
      <w:r>
        <w:rPr>
          <w:rStyle w:val="FootnoteReference"/>
          <w:color w:val="000000"/>
        </w:rPr>
        <w:footnoteReference w:id="8"/>
      </w:r>
      <w:r w:rsidRPr="00E60F23">
        <w:t xml:space="preserve"> a sú nevyhnutné pre udržateľnosť systému zdravotnej starostlivosti; keďže výrobcovia generických liekov sa zvyčajne riadia prísnymi rámcami cenotvorby a hospodárskym modelom vysokých objemov a nízkej marže, čo obmedzuje ich schopnosť absorbovať dodatočné regulačné náklady, a preto môžu byť citlivejší na zvýšenie nákladov, čo si vyžaduje dôkladné monitorovanie vykonávania tejto smernice;</w:t>
      </w:r>
    </w:p>
    <w:p w:rsidR="007B5920" w:rsidRPr="00E60F23" w:rsidP="007B5920" w14:paraId="2745472E" w14:textId="52E132BD">
      <w:pPr>
        <w:pStyle w:val="NormalHanging12a"/>
      </w:pPr>
      <w:r>
        <w:t>V</w:t>
      </w:r>
      <w:r w:rsidRPr="00E60F23">
        <w:t>.</w:t>
      </w:r>
      <w:r w:rsidRPr="00E60F23">
        <w:tab/>
        <w:t>keďže generické lieky sú založené na rovnakej účinnej látke ako referenčný liek, čo výrobcov generických liekov stavia pred väčšiu výzvu, pokiaľ ide o riešenie znečistenia pri zdroji;</w:t>
      </w:r>
    </w:p>
    <w:p w:rsidR="007B5920" w:rsidRPr="00E60F23" w:rsidP="007B5920" w14:paraId="27C8794B" w14:textId="24646CD4">
      <w:pPr>
        <w:pStyle w:val="NormalHanging12a"/>
      </w:pPr>
      <w:r>
        <w:t>W</w:t>
      </w:r>
      <w:r w:rsidRPr="00E60F23">
        <w:t>.</w:t>
      </w:r>
      <w:r w:rsidRPr="00E60F23">
        <w:tab/>
        <w:t>keďže nedostatok liekov v EÚ sa v posledných rokoch zhoršil a predstavuje vážne riziko pre starostlivosť o pacientov; keďže EÚ je naďalej vo veľkej miere závislá od krajín mimo EÚ, pokiaľ ide o účinné farmaceutické látky; keďže EÚ podniká kroky na riešenie nedostatku liekov a bezpečnosti dodávok, a to aj prostredníctvom revidovaných všeobecných farmaceutických právnych predpisov a aktu o kritických liekoch;</w:t>
      </w:r>
    </w:p>
    <w:p w:rsidR="007B5920" w:rsidRPr="00E60F23" w:rsidP="007B5920" w14:paraId="50E1F3F5" w14:textId="3BAFD7A2">
      <w:pPr>
        <w:pStyle w:val="NormalHanging12a"/>
      </w:pPr>
      <w:r>
        <w:t>X</w:t>
      </w:r>
      <w:r w:rsidRPr="00E60F23">
        <w:t>.</w:t>
      </w:r>
      <w:r w:rsidRPr="00E60F23">
        <w:tab/>
        <w:t>keďže prepracovaná smernica o čistení komunálnych odpadových vôd poskytuje členským štátom flexibilitu pri navrhovaní systémov rozšírenej zodpovednosti výrobcov a pri stanovovaní metodík výpočtu príspevkov, čo im umožňuje navrhovať systémy rozšírenej zodpovednosti výrobcov tak, aby sa zabezpečila proporcionalita a zabránilo sa neúmyselným dôsledkom vrátane rizík pre dodávky liekov, čím sa dosiahne vyváženie cieľov verejného zdravia s environmentálnou zodpovednosťou;</w:t>
      </w:r>
    </w:p>
    <w:p w:rsidR="007B5920" w:rsidRPr="00E60F23" w:rsidP="007B5920" w14:paraId="0758E350" w14:textId="63F03ACA">
      <w:pPr>
        <w:pStyle w:val="NormalHanging12a"/>
      </w:pPr>
      <w:r>
        <w:t>Y</w:t>
      </w:r>
      <w:r w:rsidRPr="00E60F23">
        <w:t>.</w:t>
      </w:r>
      <w:r w:rsidRPr="00E60F23">
        <w:tab/>
        <w:t xml:space="preserve">keďže v článku 10 prepracovanej smernice o čistení komunálnych odpadových vôd sa zavádzajú povinné rámce monitorovania a presadzovania, </w:t>
      </w:r>
      <w:bookmarkStart w:id="8" w:name="_Hlk226712466"/>
      <w:r w:rsidRPr="00E60F23">
        <w:t>pričom sa zabezpečuje riadne monitorovanie vplyvov smernice</w:t>
      </w:r>
      <w:bookmarkEnd w:id="8"/>
      <w:r w:rsidRPr="00E60F23">
        <w:t>, a to aj na ceny liekov;</w:t>
      </w:r>
    </w:p>
    <w:p w:rsidR="007B5920" w:rsidRPr="00E60F23" w:rsidP="007B5920" w14:paraId="7815175A" w14:textId="120C4887">
      <w:pPr>
        <w:pStyle w:val="NormalHanging12a"/>
      </w:pPr>
      <w:r>
        <w:t>Z</w:t>
      </w:r>
      <w:r w:rsidRPr="00E60F23">
        <w:t>.</w:t>
      </w:r>
      <w:r w:rsidRPr="00E60F23">
        <w:tab/>
        <w:t xml:space="preserve">keďže v odôvodnení 20 prepracovanej smernice o čistení komunálnych odpadových vôd sa potvrdzuje, že v smernici sa už </w:t>
      </w:r>
      <w:bookmarkStart w:id="9" w:name="_Hlk226712417"/>
      <w:r w:rsidRPr="00E60F23">
        <w:t>stanovuje pravidelné hodnotenie založené na údajoch z monitorovania a vedeckých dôkazoch</w:t>
      </w:r>
      <w:bookmarkEnd w:id="9"/>
      <w:r w:rsidRPr="00E60F23">
        <w:t xml:space="preserve"> vrátane možnosti aktualizácie rozsahu systému v prípade potreby, čím sa poskytuje dostatočná flexibilita v rámci existujúceho právneho rámca bez toho, aby bolo potrebné smernicu zrevidovať;</w:t>
      </w:r>
    </w:p>
    <w:p w:rsidR="007B5920" w:rsidRPr="00E60F23" w:rsidP="007B5920" w14:paraId="5C2DC6BD" w14:textId="7C472128">
      <w:pPr>
        <w:pStyle w:val="NormalHanging12a"/>
      </w:pPr>
      <w:r>
        <w:t>AA</w:t>
      </w:r>
      <w:r w:rsidRPr="00E60F23">
        <w:t>.</w:t>
      </w:r>
      <w:r w:rsidRPr="00E60F23">
        <w:tab/>
        <w:t>keďže v prepracovanej smernici o čistení komunálnych odpadových vôd sa od Komisie vyžaduje, aby do konca roka 2033 a opäť do konca roka 2040 vykonala komplexné hodnotenie, ktoré poskytne príležitosť na posúdenie vplyvov smernice, a aby v prípade potreby navrhla úpravy;</w:t>
      </w:r>
    </w:p>
    <w:p w:rsidR="007B5920" w:rsidRPr="00E60F23" w:rsidP="007B5920" w14:paraId="632E21FD" w14:textId="4FCFEBA0">
      <w:pPr>
        <w:pStyle w:val="NormalHanging12a"/>
      </w:pPr>
      <w:r>
        <w:t>AB</w:t>
      </w:r>
      <w:r w:rsidRPr="00E60F23">
        <w:t>.</w:t>
      </w:r>
      <w:r w:rsidRPr="00E60F23">
        <w:tab/>
        <w:t xml:space="preserve">keďže Komisia odhaduje, že aj v prípade úplného prenesenia nákladov by sa vplyv na ceny liekov do roku 2045 pohyboval v rozmedzí 2,64 – 3,20 EUR na osobu ročne; tento odhad JRC opätovne potvrdilo v decembri 2025, pričom zohľadnilo konečné znenie prijaté </w:t>
      </w:r>
      <w:r w:rsidRPr="00E60F23">
        <w:t>spoluzákonodarcami</w:t>
      </w:r>
      <w:r w:rsidRPr="00E60F23">
        <w:t>;</w:t>
      </w:r>
    </w:p>
    <w:p w:rsidR="007B5920" w:rsidRPr="00E60F23" w:rsidP="007B5920" w14:paraId="7BDAE53C" w14:textId="768F28C5">
      <w:pPr>
        <w:pStyle w:val="NormalHanging12a"/>
      </w:pPr>
      <w:r>
        <w:t>AC</w:t>
      </w:r>
      <w:r w:rsidRPr="00E60F23">
        <w:t>.</w:t>
      </w:r>
      <w:r w:rsidRPr="00E60F23">
        <w:tab/>
        <w:t xml:space="preserve">keďže v smernici sa stanovuje dlhý harmonogram vykonávania a niektoré ustanovenia sa majú začať v plnej miere uplatňovať až od roku 2045, čo umožňuje poskytnutie dostatočného času na postupné a vyvážené vykonávanie smernice a jej povinností </w:t>
      </w:r>
      <w:r w:rsidRPr="00E60F23">
        <w:t>kvartérneho čistenia – 20 % pokrytie sa má dosiahnuť do roku 2033, 60 % do roku 2039 a plný rozsah od roku 2045; keďže smernica poskytuje členským štátom čas na úpravu cien zákaziek prostredníctvom nových postupov verejného obstarávania liekov;</w:t>
      </w:r>
    </w:p>
    <w:p w:rsidR="007B5920" w:rsidRPr="00E60F23" w:rsidP="007B5920" w14:paraId="17993871" w14:textId="6D1C10FD">
      <w:pPr>
        <w:pStyle w:val="NormalHanging12a"/>
      </w:pPr>
      <w:r>
        <w:t>AD</w:t>
      </w:r>
      <w:r w:rsidRPr="00E60F23">
        <w:t>.</w:t>
      </w:r>
      <w:r w:rsidRPr="00E60F23">
        <w:tab/>
        <w:t xml:space="preserve">keďže aj v prípade úplného prenesenia nákladov je výsledný nárast ceny liekov podľa posúdenia vplyvu Komisie a štúdie JRC v porovnaní s nákladmi na nečinnosť len marginálny, keďže podstatné dlhodobé výdavky na zdravotnú starostlivosť spojené s ochoreniami súvisiacimi s vystavením </w:t>
      </w:r>
      <w:r w:rsidRPr="00E60F23">
        <w:t>mikropolutantom</w:t>
      </w:r>
      <w:r w:rsidRPr="00E60F23">
        <w:t>, medzi ktoré patrí najmä rakovina, už teraz predstavujú výrazne väčšiu záťaž pre systémy verejného zdravotníctva, ktorá podľa očakávaní výrazne vzrastie;</w:t>
      </w:r>
    </w:p>
    <w:p w:rsidR="007B5920" w:rsidRPr="00E60F23" w:rsidP="007B5920" w14:paraId="6C171473" w14:textId="68C4AAD3">
      <w:pPr>
        <w:pStyle w:val="NormalHanging12a"/>
      </w:pPr>
      <w:r>
        <w:t>AE</w:t>
      </w:r>
      <w:r w:rsidRPr="00E60F23">
        <w:t>.</w:t>
      </w:r>
      <w:r w:rsidRPr="00E60F23">
        <w:tab/>
        <w:t>keďže náklady súvisiace s príspevkami na kvartérne čistenie sú založené na výrobkoch uvedených na trh, a preto zahŕňajú všetky výrobky bez ohľadu na to, či sa vyrábajú v EÚ alebo mimo nej, a povinnosť rozšírenej zodpovednosti výrobcu sa uplatňuje jednotne na všetky spoločnosti, ktoré uvádzajú výrobky na trh EÚ, čím sa zabezpečia rovnaké podmienky a zabráni sa nespravodlivým konkurenčným výhodám; keďže cieľom smernice preto nie je vytvárať deformačné účinky na trh ani znevýhodňovať výrobcov z EÚ a celkovú konkurencieschopnosť odvetvia; keďže je veľmi dôležité zabezpečiť, aby všetky dovážané výrobky spĺňali a financovali povinnosti rozšírenej zodpovednosti výrobcu, a to vrátane všetkých súkromných malých zásielok, ako sú online objednávky;</w:t>
      </w:r>
    </w:p>
    <w:p w:rsidR="007B5920" w:rsidRPr="00E60F23" w:rsidP="007B5920" w14:paraId="4C7871F8" w14:textId="5BDA56AA">
      <w:pPr>
        <w:pStyle w:val="NormalHanging12a"/>
      </w:pPr>
      <w:r>
        <w:t>AF</w:t>
      </w:r>
      <w:r w:rsidRPr="00E60F23">
        <w:t>.</w:t>
      </w:r>
      <w:r w:rsidRPr="00E60F23">
        <w:tab/>
        <w:t>keďže z posúdenia vplyvu Komisie vyplýva, že v prípade neexistencie rozšírenej zodpovednosti výrobcu by sa odhadované ročné náklady na kvartérne čistenie vo výške približne 1,186 miliardy EUR ročne do roku 2040 museli pokryť predovšetkým vyššími poplatkami za vodu a z verejných rozpočtov, čím by sa náklady na znečistenie presunuli z priemyslu na občanov a daňovníkov a neprimerane by sa zaťažili domácnosti vrátane tých najzraniteľnejších;</w:t>
      </w:r>
    </w:p>
    <w:p w:rsidR="007B5920" w:rsidRPr="00E60F23" w:rsidP="007B5920" w14:paraId="43B90A0A" w14:textId="623B94D1">
      <w:pPr>
        <w:pStyle w:val="NormalHanging12a"/>
      </w:pPr>
      <w:r>
        <w:t>AG</w:t>
      </w:r>
      <w:r w:rsidRPr="00E60F23">
        <w:t>.</w:t>
      </w:r>
      <w:r w:rsidRPr="00E60F23">
        <w:tab/>
        <w:t>keďže vykonávanie systému rozšírenej zodpovednosti výrobcu je potrebné na zabezpečenie právnej a finančnej istoty, najmä pre verejné orgány, a na zabezpečenie potrebných investícií do infraštruktúry odpadových vôd s cieľom splniť ciele v oblasti životného prostredia a verejného zdravia a zabezpečiť, aby občania a spotrebitelia vody neznášali finančné náklady spojené so znečistením, za ktoré nenesú zodpovednosť;</w:t>
      </w:r>
    </w:p>
    <w:p w:rsidR="007B5920" w:rsidRPr="00E60F23" w:rsidP="007B5920" w14:paraId="2CC2FE65" w14:textId="22C906B2">
      <w:pPr>
        <w:pStyle w:val="NormalHanging12a"/>
      </w:pPr>
      <w:r>
        <w:t>AH</w:t>
      </w:r>
      <w:r w:rsidRPr="00E60F23">
        <w:t>.</w:t>
      </w:r>
      <w:r w:rsidRPr="00E60F23">
        <w:tab/>
        <w:t>keďže nové environmentálne normy kvality, najmä deväť environmentálnych noriem kvality týkajúcich sa liekov v zmysle rámcovej smernice o vode, nie je možné dosiahnuť bez pokročilého a dodatočného čistenia vôd;</w:t>
      </w:r>
    </w:p>
    <w:p w:rsidR="007B5920" w:rsidRPr="00E60F23" w:rsidP="007B5920" w14:paraId="4FA63D96" w14:textId="15129C4E">
      <w:pPr>
        <w:pStyle w:val="NormalHanging12a"/>
      </w:pPr>
      <w:r>
        <w:t>AI</w:t>
      </w:r>
      <w:r w:rsidRPr="00E60F23">
        <w:t>.</w:t>
      </w:r>
      <w:r w:rsidRPr="00E60F23">
        <w:tab/>
        <w:t>keďže prepracovaná smernica o čistení komunálnych odpadových vôd ukladá Komisii povinnosť pravidelne posudzovať na základe výsledkov monitorovania komunálnych odpadových vôd a najnovších vedeckých údajov, či by sa do systému rozšírenej zodpovednosti výrobcov mali zahrnúť aj iné výrobky; keďže Komisia by mala predložiť prvé formálne preskúmanie najneskôr do roku 2033;</w:t>
      </w:r>
    </w:p>
    <w:p w:rsidR="007B5920" w:rsidRPr="00E60F23" w:rsidP="007B5920" w14:paraId="3795759D" w14:textId="77777777">
      <w:pPr>
        <w:pStyle w:val="NormalHanging12a"/>
      </w:pPr>
      <w:r w:rsidRPr="00E60F23">
        <w:t>1.</w:t>
      </w:r>
      <w:r w:rsidRPr="00E60F23">
        <w:tab/>
        <w:t xml:space="preserve">opätovne potvrdzuje svoju silnú podporu environmentálnym cieľom a vykonávaniu prepracovanej smernice o čistení komunálnych odpadových vôd v súlade so stanovenými lehotami a zdôrazňuje potrebu znížiť znečistenie vody vrátane </w:t>
      </w:r>
      <w:r w:rsidRPr="00E60F23">
        <w:t>mikropolutantov</w:t>
      </w:r>
      <w:r w:rsidRPr="00E60F23">
        <w:t xml:space="preserve"> a riešiť ho;</w:t>
      </w:r>
    </w:p>
    <w:p w:rsidR="007B5920" w:rsidRPr="00E60F23" w:rsidP="007B5920" w14:paraId="7BCDE4DE" w14:textId="77777777">
      <w:pPr>
        <w:pStyle w:val="NormalHanging12a"/>
      </w:pPr>
      <w:r w:rsidRPr="00E60F23">
        <w:t>2.</w:t>
      </w:r>
      <w:r w:rsidRPr="00E60F23">
        <w:tab/>
        <w:t xml:space="preserve">zdôrazňuje potrebu lepšie chrániť ľudské zdravie a životné prostredie v rámci </w:t>
      </w:r>
      <w:r w:rsidRPr="00E60F23">
        <w:t xml:space="preserve">ambiciózneho prístupu k riešeniu znečistenia zo všetkých zdrojov a smerovať k životnému prostrediu bez toxických látok, čo zahŕňa najmä potrebu riešiť nebezpečné </w:t>
      </w:r>
      <w:r w:rsidRPr="00E60F23">
        <w:t>mikropolutanty</w:t>
      </w:r>
      <w:r w:rsidRPr="00E60F23">
        <w:t>, ktoré predstavujú značnú a akútnu hrozbu pre zdravie a životné prostredie;</w:t>
      </w:r>
    </w:p>
    <w:p w:rsidR="007B5920" w:rsidRPr="00E60F23" w:rsidP="007B5920" w14:paraId="24D21AE0" w14:textId="77777777">
      <w:pPr>
        <w:pStyle w:val="NormalHanging12a"/>
      </w:pPr>
      <w:bookmarkStart w:id="10" w:name="_Hlk228944818"/>
      <w:bookmarkStart w:id="11" w:name="_Hlk228944896"/>
      <w:r w:rsidRPr="00E60F23">
        <w:t>3.</w:t>
      </w:r>
      <w:r w:rsidRPr="00E60F23">
        <w:tab/>
        <w:t>pripomína, že politika v oblasti životného prostredia by mala vychádzať zo zásad predbežnej opatrnosti a prevencie, zo zásady nápravy environmentálnej škody prioritne pri zdroji a zo zásady, že náhradu škody hradí znečisťovateľ;</w:t>
      </w:r>
      <w:bookmarkEnd w:id="10"/>
    </w:p>
    <w:p w:rsidR="007B5920" w:rsidRPr="00E60F23" w:rsidP="007B5920" w14:paraId="2B5DD187" w14:textId="77777777">
      <w:pPr>
        <w:pStyle w:val="NormalHanging12a"/>
      </w:pPr>
      <w:bookmarkStart w:id="12" w:name="_Hlk228944651"/>
      <w:bookmarkEnd w:id="11"/>
      <w:r w:rsidRPr="00E60F23">
        <w:t>4.</w:t>
      </w:r>
      <w:r w:rsidRPr="00E60F23">
        <w:tab/>
        <w:t>zdôrazňuje, že zavedenie kvartérneho čistenia je nevyhnutné v záujme ochrany zdravia, zachovania ekosystémov a boja proti vznikajúcim rizikám, ako je AMR; v tejto súvislosti zdôrazňuje, že rozšírená zodpovednosť výrobcu je najúčinnejším nástrojom na vykonávanie zásady „znečisťovateľ platí“, ako sa stanovuje v článku 191 ods. 2 ZFEÚ, a na zabezpečenie dostatočných finančných prostriedkov na potrebné čistenie komunálnych odpadových vôd;</w:t>
      </w:r>
      <w:bookmarkEnd w:id="12"/>
    </w:p>
    <w:p w:rsidR="007B5920" w:rsidRPr="00E60F23" w:rsidP="007B5920" w14:paraId="493BECD4" w14:textId="77777777">
      <w:pPr>
        <w:pStyle w:val="NormalHanging12a"/>
      </w:pPr>
      <w:r w:rsidRPr="00E60F23">
        <w:t>5</w:t>
      </w:r>
      <w:r w:rsidRPr="00E60F23">
        <w:rPr>
          <w:i/>
        </w:rPr>
        <w:t>.</w:t>
      </w:r>
      <w:r w:rsidRPr="00E60F23">
        <w:rPr>
          <w:i/>
        </w:rPr>
        <w:tab/>
      </w:r>
      <w:bookmarkStart w:id="13" w:name="_Hlk227072613"/>
      <w:r w:rsidRPr="00E60F23">
        <w:t>všíma si rozdiel medzi odhadmi nákladov v posúdení vplyvu vypracovanom Komisiou a odhadmi nákladov vypracovanými vo verejných posúdeniach po prijatí smernice, najmä v Nemecku a Španielsku; okrem toho si všíma obavy zainteresovaných strán týkajúce sa spoľahlivosti metodiky používanej na priraďovanie toxických záťaží, ako aj obavy týkajúce sa rozdielov medzi údajmi, ktoré používa Komisia, a údajmi o posudzovaní environmentálnych rizík predkladanými Európskej agentúre pre lieky v rámci postupu udeľovania povolenia na uvedenie na trh; domnieva sa, že tieto obavy by sa mali dôkladne riešiť, aby sa zabezpečila spoľahlivosť faktov, z ktorých vychádzajú analýzy nákladov na kvartérne čistenie a systém rozšírenej zodpovednosti výrobcov; konštatuje však, že niektoré rozdiely možno vysvetliť rôznymi metodikami použitými v štúdiách, a zdôrazňuje, že JRC nedávno opätovne potvrdilo odhady uvedené v posúdení vplyvu;</w:t>
      </w:r>
      <w:bookmarkEnd w:id="13"/>
    </w:p>
    <w:p w:rsidR="007B5920" w:rsidP="007B5920" w14:paraId="1AF9511E" w14:textId="66E9D6D4">
      <w:pPr>
        <w:pStyle w:val="NormalHanging12a"/>
      </w:pPr>
      <w:bookmarkStart w:id="14" w:name="_Hlk228944475"/>
      <w:bookmarkStart w:id="15" w:name="_Hlk228944835"/>
      <w:r w:rsidRPr="00E60F23">
        <w:t>6.</w:t>
      </w:r>
      <w:r w:rsidRPr="00E60F23">
        <w:tab/>
      </w:r>
      <w:bookmarkEnd w:id="14"/>
      <w:r w:rsidRPr="00E60F23">
        <w:t xml:space="preserve">vyzýva Komisiu, aby do konca roka 2026 vypracovala </w:t>
      </w:r>
      <w:r w:rsidRPr="00CF5853" w:rsidR="00CF5853">
        <w:t>nové posúdenie vplyvu</w:t>
      </w:r>
      <w:r w:rsidRPr="00E60F23">
        <w:t xml:space="preserve">, v </w:t>
      </w:r>
      <w:r w:rsidRPr="00CF5853" w:rsidR="00CF5853">
        <w:t xml:space="preserve">ktorom </w:t>
      </w:r>
      <w:r w:rsidRPr="00E60F23">
        <w:t xml:space="preserve">určí zoznam látok prítomných v komunálnych odpadových vodách, overí náklady na kvartérne čistenie, poskytne rozdelenie zodpovednosti medzi príslušné odvetvia podľa zásady „znečisťovateľ platí“ a identifikuje potenciálny vplyv na dostupnosť, cenovú prijateľnosť a prístupnosť liekov, najmä generických a kritických liekov a ich účinných látok; domnieva sa, že do štúdie by mali byť v rámci svojich oblastí pôsobnosti primerane zapojené členské štáty prostredníctvom Farmaceutického výboru pre humánne lieky, Európska environmentálna agentúra a Európska agentúra pre lieky; vyzýva Komisiu, aby v prípade potreby na základe výsledkov </w:t>
      </w:r>
      <w:r w:rsidRPr="00CF5853" w:rsidR="00CF5853">
        <w:t xml:space="preserve">posúdenia vplyvu </w:t>
      </w:r>
      <w:r w:rsidRPr="00E60F23">
        <w:t xml:space="preserve">urýchlila hodnotenie rozdeľovania látok a aby takisto v prípade potreby okamžite prerozdelila povinnosti vyplývajúce z rozšírenej zodpovednosti výrobcu odvetviam, ktoré boli vyhodnotené ako zodpovedné; </w:t>
      </w:r>
      <w:r w:rsidRPr="00462302" w:rsidR="00462302">
        <w:t xml:space="preserve">vyzýva Komisiu, aby do konca júla 2026 vydala oznámenie, v ktorom bude informovať členské štáty o nezávislej štúdii a flexibilite podľa smernice s cieľom zabezpečiť prístupnosť, dostupnosť a cenovú prijateľnosť liekov, a aby prijala potrebné opatrenia na monitorovanie bezpečnosti dodávok liekov a pripravenosti na krízy a zabránila neúmyselným dôsledkom na dodávky liekov vrátane dôsledkov vyplývajúcich z ustanovení o rozšírenej zodpovednosti výrobcu; </w:t>
      </w:r>
      <w:r w:rsidRPr="00E60F23">
        <w:t xml:space="preserve">domnieva sa, že ak výsledky </w:t>
      </w:r>
      <w:r w:rsidRPr="00CF5853" w:rsidR="00CF5853">
        <w:t xml:space="preserve">posúdenia vplyvu </w:t>
      </w:r>
      <w:r w:rsidRPr="00E60F23">
        <w:t>preukážu značné riziko pre cenovú prijateľnosť, prístupnosť a prístupnosť liekov, najmä kritických a generických liekov, Komisia by mala urýchlene prijať záruky na zaistenie bezpečnosti dodávok týchto liekov</w:t>
      </w:r>
      <w:r w:rsidR="00462302">
        <w:t xml:space="preserve"> </w:t>
      </w:r>
      <w:r w:rsidRPr="00462302" w:rsidR="00462302">
        <w:t>vrátane dočasného pozastavenia povinností rozšírenej zodpovednosti výrobcu</w:t>
      </w:r>
      <w:r w:rsidRPr="00E60F23">
        <w:t>;</w:t>
      </w:r>
      <w:bookmarkEnd w:id="15"/>
    </w:p>
    <w:p w:rsidR="00462302" w:rsidRPr="00E60F23" w:rsidP="007B5920" w14:paraId="7645B0A7" w14:textId="2353FB4B">
      <w:pPr>
        <w:pStyle w:val="NormalHanging12a"/>
        <w:rPr>
          <w:rFonts w:eastAsia="Aptos"/>
        </w:rPr>
      </w:pPr>
      <w:r>
        <w:rPr>
          <w:rFonts w:eastAsia="Aptos"/>
        </w:rPr>
        <w:t>7</w:t>
      </w:r>
      <w:r w:rsidRPr="00462302">
        <w:rPr>
          <w:rFonts w:eastAsia="Aptos"/>
        </w:rPr>
        <w:t>.</w:t>
      </w:r>
      <w:r w:rsidRPr="00462302">
        <w:rPr>
          <w:rFonts w:eastAsia="Aptos"/>
        </w:rPr>
        <w:tab/>
        <w:t>vyzýva Komisiu, aby pokročila s prijímaním vykonávacích aktov týkajúcich sa rozsahu povinností kvartérneho čistenia s cieľom objasniť členským štátom, prevádzkovateľom systémov odpadových vôd a príslušným zainteresovaným stranám súvisiace náklady;</w:t>
      </w:r>
    </w:p>
    <w:p w:rsidR="007B5920" w:rsidRPr="00E60F23" w:rsidP="007B5920" w14:paraId="69A9A60A" w14:textId="67DC390C">
      <w:pPr>
        <w:pStyle w:val="NormalHanging12a"/>
        <w:rPr>
          <w:rFonts w:eastAsia="Aptos"/>
        </w:rPr>
      </w:pPr>
      <w:bookmarkStart w:id="16" w:name="_Hlk228945625"/>
      <w:r>
        <w:t>8</w:t>
      </w:r>
      <w:r w:rsidRPr="00E60F23">
        <w:t>.</w:t>
      </w:r>
      <w:r w:rsidRPr="00E60F23">
        <w:tab/>
        <w:t>zdôrazňuje, že náklady na pokročilé čistenie odpadových vôd by sa nemali prenášať na daňovníkov ani spotrebiteľov, ale mali by ich spravodlivo a primerane niesť odvetvia podieľajúce sa na znečistení vôd;</w:t>
      </w:r>
    </w:p>
    <w:bookmarkEnd w:id="16"/>
    <w:p w:rsidR="007B5920" w:rsidRPr="00E60F23" w:rsidP="007B5920" w14:paraId="2C53CC0A" w14:textId="00C32A6F">
      <w:pPr>
        <w:pStyle w:val="NormalHanging12a"/>
      </w:pPr>
      <w:r>
        <w:t>9</w:t>
      </w:r>
      <w:r w:rsidRPr="00E60F23">
        <w:t>.</w:t>
      </w:r>
      <w:r w:rsidRPr="00E60F23">
        <w:tab/>
      </w:r>
      <w:r w:rsidRPr="00B25883" w:rsidR="00B25883">
        <w:t xml:space="preserve">vyzýva na dočasné pozastavenie (odloženie účinnosti) </w:t>
      </w:r>
      <w:r w:rsidRPr="00E60F23">
        <w:t xml:space="preserve">ustanovení o rozšírenej zodpovednosti výrobcu a </w:t>
      </w:r>
      <w:r w:rsidRPr="00B25883" w:rsidR="00B25883">
        <w:t>povinností kvartérneho čistenia a súvisiacich finančných záväzkov až do dokončenia štúdie a posúdenia jej zistení Komisiou</w:t>
      </w:r>
      <w:r w:rsidRPr="00E60F23">
        <w:t>;</w:t>
      </w:r>
    </w:p>
    <w:p w:rsidR="007B5920" w:rsidRPr="00E60F23" w:rsidP="007B5920" w14:paraId="25C75F85" w14:textId="5A3FA6EF">
      <w:pPr>
        <w:pStyle w:val="NormalHanging12a"/>
      </w:pPr>
      <w:r>
        <w:t>10</w:t>
      </w:r>
      <w:r w:rsidRPr="00E60F23">
        <w:t>.</w:t>
      </w:r>
      <w:r w:rsidRPr="00E60F23">
        <w:tab/>
        <w:t>zdôrazňuje, že povinnosť rozšírenej zodpovednosti výrobcu sa uplatňuje jednotne na všetky spoločnosti, ktoré uvádzajú výrobky na trh EÚ, bez ohľadu na to, či boli vyrobené v rámci EÚ alebo mimo nej, pričom cieľom je zabezpečiť rovnaké podmienky a zabrániť nekalým konkurenčným výhodám; vyzýva Komisiu, aby objasnila, ako budú výrobcovia z krajín mimo EÚ plniť povinnosti rozšírenej zodpovednosti výrobcu, aby sa zabránilo narušeniu hospodárskej súťaže a zabezpečili sa rovnaké podmienky;</w:t>
      </w:r>
    </w:p>
    <w:p w:rsidR="007B5920" w:rsidRPr="00E60F23" w:rsidP="007B5920" w14:paraId="6CA83A85" w14:textId="56F40B05">
      <w:pPr>
        <w:pStyle w:val="NormalHanging12a"/>
      </w:pPr>
      <w:r>
        <w:t>11</w:t>
      </w:r>
      <w:r w:rsidRPr="00E60F23">
        <w:t>.</w:t>
      </w:r>
      <w:r w:rsidRPr="00E60F23">
        <w:tab/>
        <w:t xml:space="preserve">zdôrazňuje, že nedostatok liekov je už teraz v EÚ veľkým a rastúcim problémom; zdôrazňuje potrebu zachovať a posilniť farmaceutickú </w:t>
      </w:r>
      <w:r w:rsidRPr="00E25DBF" w:rsidR="00E25DBF">
        <w:t xml:space="preserve">výskumnú, vývojovú a </w:t>
      </w:r>
      <w:r w:rsidRPr="00E60F23">
        <w:t>výrobnú kapacitu EÚ a odolnosť dodávateľského reťazca;</w:t>
      </w:r>
    </w:p>
    <w:p w:rsidR="007B5920" w:rsidRPr="00E60F23" w:rsidP="007B5920" w14:paraId="0CD9EBEB" w14:textId="6B57AF35">
      <w:pPr>
        <w:pStyle w:val="NormalHanging12a"/>
      </w:pPr>
      <w:bookmarkStart w:id="17" w:name="_Hlk227220207"/>
      <w:r>
        <w:t>12</w:t>
      </w:r>
      <w:r w:rsidRPr="00E60F23">
        <w:t>.</w:t>
      </w:r>
      <w:r w:rsidRPr="00E60F23">
        <w:tab/>
        <w:t>uznáva, že generické lieky a prístup k liečbe vo všeobecnosti predstavujú osobitný prípad, a vyzýva Komisiu a členské štáty, aby pozorne a nepretržite monitorovali vplyv smernice na cenovú prijateľnosť, dostupnosť a prístupnosť týchto liekov, ako sa vyžaduje v prepracovanej smernici o čistení komunálnych odpadových vôd, s cieľom zabrániť neúmyselnému narušeniu alebo zvýšeniam cien;</w:t>
      </w:r>
      <w:bookmarkEnd w:id="17"/>
    </w:p>
    <w:p w:rsidR="007B5920" w:rsidRPr="00E60F23" w:rsidP="007B5920" w14:paraId="1F3C438E" w14:textId="2E021BD8">
      <w:pPr>
        <w:pStyle w:val="NormalHanging12a"/>
      </w:pPr>
      <w:r>
        <w:t>13</w:t>
      </w:r>
      <w:r w:rsidRPr="00E60F23">
        <w:t>.</w:t>
      </w:r>
      <w:r w:rsidRPr="00E60F23">
        <w:tab/>
      </w:r>
      <w:bookmarkStart w:id="18" w:name="_Hlk227048195"/>
      <w:bookmarkStart w:id="19" w:name="_Hlk227048150"/>
      <w:r w:rsidRPr="00E60F23">
        <w:t>pripomína, že smernica poskytuje flexibilitu a možnosť uplatňovať primerané opatrenia s cieľom zabezpečiť, aby povinnosti rozšírenej zodpovednosti výrobcu neohrozovali cenovú prijateľnosť, dostupnosť alebo prístupnosť liekov; vyzýva členské štáty, aby pri navrhovaní a vykonávaní vnútroštátnych systémov rozšírenej zodpovednosti výrobcov dôkladne posúdili a riešili riadne odôvodnené a na dôkazoch založené obavy týkajúce sa neúmyselných dôsledkov smernice, s osobitným dôrazom na generické lieky; pripomína povinnosť Komisie monitorovať vplyvy na cenovú prijateľnosť, dostupnosť a prístupnosť liekov, podávať o nich správy a zabezpečiť komplexné hodnotenie do konca roka 2033 a opäť do konca roka 2040;</w:t>
      </w:r>
      <w:bookmarkEnd w:id="18"/>
      <w:bookmarkEnd w:id="19"/>
    </w:p>
    <w:p w:rsidR="007B5920" w:rsidRPr="00E60F23" w:rsidP="007B5920" w14:paraId="65F8665E" w14:textId="3FD3C47E">
      <w:pPr>
        <w:pStyle w:val="NormalHanging12a"/>
      </w:pPr>
      <w:r>
        <w:t>14</w:t>
      </w:r>
      <w:r w:rsidRPr="00E60F23">
        <w:t>.</w:t>
      </w:r>
      <w:r w:rsidRPr="00E60F23">
        <w:tab/>
        <w:t>berie na vedomie výzvy spojené s využívaním tohto stimulu v dôsledku zložitosti zmien liekových foriem, ktoré si môžu vyžadovať rozsiahly výskum alebo nové povolenia na uvedenie na trh, najmä v prípade generických liekov;</w:t>
      </w:r>
    </w:p>
    <w:p w:rsidR="007B5920" w:rsidRPr="00E60F23" w:rsidP="007B5920" w14:paraId="057BFE71" w14:textId="3A25E2A7">
      <w:pPr>
        <w:pStyle w:val="NormalHanging12a"/>
      </w:pPr>
      <w:r>
        <w:t>15</w:t>
      </w:r>
      <w:r w:rsidRPr="00E60F23">
        <w:t>.</w:t>
      </w:r>
      <w:r w:rsidRPr="00E60F23">
        <w:tab/>
        <w:t>v tejto súvislosti pripomína, že Komisia má povinnosť pravidelne vyhodnocovať, či by sa iné výrobky a odvetvia, ktoré majú významný vplyv na toxickú záťaž v odpadových vodách, mali zahrnúť do systému rozšírenej zodpovednosti výrobcu, aby sa zabezpečilo, že súvisiace náklady budú spravodlivo rozdelené a nebudú ich musieť hradiť občania a spotrebitelia vody;</w:t>
      </w:r>
    </w:p>
    <w:p w:rsidR="007B5920" w:rsidRPr="00E60F23" w:rsidP="007B5920" w14:paraId="00DCE3CF" w14:textId="5A74F915">
      <w:pPr>
        <w:pStyle w:val="NormalHanging12a"/>
      </w:pPr>
      <w:r>
        <w:t>16</w:t>
      </w:r>
      <w:r w:rsidRPr="00E60F23">
        <w:t>.</w:t>
      </w:r>
      <w:r w:rsidRPr="00E60F23">
        <w:tab/>
        <w:t>podporuje výskum a inovácie v oblasti environmentálne udržateľných liekov a pokročilých technológií čistenia odpadových vôd;</w:t>
      </w:r>
    </w:p>
    <w:p w:rsidR="007B5920" w:rsidRPr="00E60F23" w:rsidP="007B5920" w14:paraId="351C3CDD" w14:textId="5484815B">
      <w:pPr>
        <w:pStyle w:val="NormalHanging12a"/>
      </w:pPr>
      <w:r>
        <w:t>17</w:t>
      </w:r>
      <w:r w:rsidRPr="00E60F23">
        <w:t>.</w:t>
      </w:r>
      <w:r w:rsidRPr="00E60F23">
        <w:tab/>
        <w:t>pripomína, že v súlade s prístupom „jedno zdravie“ je ochrana zdravia ľudí, zvierat a životného prostredia úzko prepojená a vzájomne previazaná; zdôrazňuje, že o prístup k liekom a ochranu životného prostredia sa treba usilovať súčasne, pričom sa nesmie dovoliť, aby sa jedna z týchto oblastí využívala ako zámienka na oslabenie tej druhej;</w:t>
      </w:r>
    </w:p>
    <w:p w:rsidR="00E365E1" w:rsidRPr="00E60F23" w:rsidP="001F38EA" w14:paraId="0AD8B3FB" w14:textId="7A635B05">
      <w:pPr>
        <w:pStyle w:val="NormalHanging12a"/>
      </w:pPr>
      <w:r>
        <w:t>18</w:t>
      </w:r>
      <w:r w:rsidRPr="00E60F23" w:rsidR="007B5920">
        <w:t>.</w:t>
      </w:r>
      <w:r w:rsidRPr="00E60F23" w:rsidR="007B5920">
        <w:tab/>
        <w:t>poveruje svoju predsedníčku, aby postúpila toto uznesenie Rade, Komisii a vládam a parlamentom členských štátov.</w:t>
      </w:r>
    </w:p>
    <w:sectPr w:rsidSect="00327C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27C4C" w14:paraId="38274B1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27C4C" w14:paraId="68FC94C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27C4C" w14:paraId="3CC9849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47854" w:rsidRPr="00327C4C" w14:paraId="5E2C2E50" w14:textId="77777777">
      <w:r w:rsidRPr="00327C4C">
        <w:separator/>
      </w:r>
    </w:p>
  </w:footnote>
  <w:footnote w:type="continuationSeparator" w:id="1">
    <w:p w:rsidR="00947854" w:rsidRPr="00327C4C" w14:paraId="0687CA19" w14:textId="77777777">
      <w:r w:rsidRPr="00327C4C">
        <w:continuationSeparator/>
      </w:r>
    </w:p>
  </w:footnote>
  <w:footnote w:id="2">
    <w:p w:rsidR="007B5920" w:rsidRPr="00327C4C" w:rsidP="00327C4C" w14:paraId="109D3AD4" w14:textId="346F8714">
      <w:pPr>
        <w:pStyle w:val="FootnoteText"/>
        <w:ind w:left="567" w:hanging="567"/>
        <w:rPr>
          <w:sz w:val="24"/>
          <w:lang w:val="sk-SK"/>
        </w:rPr>
      </w:pPr>
      <w:r w:rsidRPr="00327C4C">
        <w:rPr>
          <w:rStyle w:val="FootnoteReference"/>
          <w:sz w:val="24"/>
          <w:lang w:val="sk-SK"/>
        </w:rPr>
        <w:footnoteRef/>
      </w:r>
      <w:r w:rsidRPr="00327C4C" w:rsidR="00327C4C">
        <w:rPr>
          <w:sz w:val="24"/>
          <w:lang w:val="sk-SK"/>
        </w:rPr>
        <w:t xml:space="preserve"> </w:t>
      </w:r>
      <w:r w:rsidRPr="00327C4C" w:rsidR="00327C4C">
        <w:rPr>
          <w:sz w:val="24"/>
          <w:lang w:val="sk-SK"/>
        </w:rPr>
        <w:tab/>
      </w:r>
      <w:r w:rsidRPr="00327C4C">
        <w:rPr>
          <w:sz w:val="24"/>
          <w:lang w:val="sk-SK"/>
        </w:rPr>
        <w:t>Ú. v. EÚ L, 2024/3019, 12.12.2024, ELI: </w:t>
      </w:r>
      <w:hyperlink r:id="rId1" w:tooltip="Umožňuje prístup k tomuto dokumentu prostredníctvom identifikátora URI používaného v rámci ELI." w:history="1">
        <w:r w:rsidRPr="00327C4C">
          <w:rPr>
            <w:rStyle w:val="Hyperlink"/>
            <w:sz w:val="24"/>
            <w:lang w:val="sk-SK"/>
          </w:rPr>
          <w:t>http://data.europa.eu/eli/dir/2024/3019/oj</w:t>
        </w:r>
      </w:hyperlink>
      <w:r w:rsidRPr="00327C4C">
        <w:rPr>
          <w:sz w:val="24"/>
          <w:lang w:val="sk-SK"/>
        </w:rPr>
        <w:t>.</w:t>
      </w:r>
    </w:p>
  </w:footnote>
  <w:footnote w:id="3">
    <w:p w:rsidR="007B5920" w:rsidRPr="00327C4C" w:rsidP="00327C4C" w14:paraId="7AE67E76" w14:textId="0683C321">
      <w:pPr>
        <w:pStyle w:val="FootnoteText"/>
        <w:ind w:left="567" w:hanging="567"/>
        <w:rPr>
          <w:sz w:val="24"/>
          <w:lang w:val="sk-SK"/>
        </w:rPr>
      </w:pPr>
      <w:r w:rsidRPr="00327C4C">
        <w:rPr>
          <w:rStyle w:val="FootnoteReference"/>
          <w:sz w:val="24"/>
          <w:lang w:val="sk-SK"/>
        </w:rPr>
        <w:footnoteRef/>
      </w:r>
      <w:r w:rsidRPr="00327C4C" w:rsidR="00327C4C">
        <w:rPr>
          <w:sz w:val="24"/>
          <w:lang w:val="sk-SK"/>
        </w:rPr>
        <w:t xml:space="preserve"> </w:t>
      </w:r>
      <w:r w:rsidRPr="00327C4C" w:rsidR="00327C4C">
        <w:rPr>
          <w:sz w:val="24"/>
          <w:lang w:val="sk-SK"/>
        </w:rPr>
        <w:tab/>
      </w:r>
      <w:r w:rsidRPr="00327C4C">
        <w:rPr>
          <w:sz w:val="24"/>
          <w:lang w:val="sk-SK"/>
        </w:rPr>
        <w:t xml:space="preserve">Ú. v. ES L 327, 22.12.2000, s. 1. </w:t>
      </w:r>
      <w:r w:rsidRPr="00327C4C">
        <w:rPr>
          <w:sz w:val="24"/>
          <w:lang w:val="sk-SK"/>
        </w:rPr>
        <w:t>ELI: </w:t>
      </w:r>
      <w:hyperlink r:id="rId2" w:tooltip="Umožňuje prístup k tomuto dokumentu prostredníctvom identifikátora URI používaného v rámci ELI." w:history="1">
        <w:r w:rsidRPr="00327C4C">
          <w:rPr>
            <w:rStyle w:val="Hyperlink"/>
            <w:sz w:val="24"/>
            <w:lang w:val="sk-SK"/>
          </w:rPr>
          <w:t>http://data.europa.eu/eli/dir/2000/60/oj</w:t>
        </w:r>
      </w:hyperlink>
      <w:r w:rsidRPr="00327C4C">
        <w:rPr>
          <w:sz w:val="24"/>
          <w:lang w:val="sk-SK"/>
        </w:rPr>
        <w:t>.</w:t>
      </w:r>
    </w:p>
  </w:footnote>
  <w:footnote w:id="4">
    <w:p w:rsidR="007B5920" w:rsidRPr="00327C4C" w:rsidP="00327C4C" w14:paraId="778E7A33" w14:textId="70CF8EA2">
      <w:pPr>
        <w:pStyle w:val="FootnoteText"/>
        <w:ind w:left="567" w:hanging="567"/>
        <w:rPr>
          <w:sz w:val="24"/>
          <w:lang w:val="sk-SK"/>
        </w:rPr>
      </w:pPr>
      <w:r w:rsidRPr="00327C4C">
        <w:rPr>
          <w:rStyle w:val="FootnoteReference"/>
          <w:sz w:val="24"/>
          <w:lang w:val="sk-SK"/>
        </w:rPr>
        <w:footnoteRef/>
      </w:r>
      <w:r w:rsidRPr="00327C4C" w:rsidR="00327C4C">
        <w:rPr>
          <w:sz w:val="24"/>
          <w:lang w:val="sk-SK"/>
        </w:rPr>
        <w:t xml:space="preserve"> </w:t>
      </w:r>
      <w:r w:rsidRPr="00327C4C" w:rsidR="00327C4C">
        <w:rPr>
          <w:sz w:val="24"/>
          <w:lang w:val="sk-SK"/>
        </w:rPr>
        <w:tab/>
      </w:r>
      <w:r w:rsidRPr="00327C4C">
        <w:rPr>
          <w:sz w:val="24"/>
          <w:lang w:val="sk-SK"/>
        </w:rPr>
        <w:t>Ú. v. EÚ L 372, 27.12.2006, s. </w:t>
      </w:r>
      <w:r w:rsidRPr="00327C4C">
        <w:rPr>
          <w:sz w:val="24"/>
          <w:lang w:val="sk-SK"/>
        </w:rPr>
        <w:t>19, ELI: </w:t>
      </w:r>
      <w:hyperlink r:id="rId3" w:tooltip="Umožňuje prístup k tomuto dokumentu prostredníctvom identifikátora URI používaného v rámci ELI." w:history="1">
        <w:r w:rsidRPr="00327C4C">
          <w:rPr>
            <w:rStyle w:val="Hyperlink"/>
            <w:sz w:val="24"/>
            <w:lang w:val="sk-SK"/>
          </w:rPr>
          <w:t>http://data.europa.eu/eli/dir/2006/118/oj</w:t>
        </w:r>
      </w:hyperlink>
      <w:r w:rsidRPr="00327C4C">
        <w:rPr>
          <w:sz w:val="24"/>
          <w:lang w:val="sk-SK"/>
        </w:rPr>
        <w:t>.</w:t>
      </w:r>
    </w:p>
  </w:footnote>
  <w:footnote w:id="5">
    <w:p w:rsidR="007B5920" w:rsidRPr="00327C4C" w:rsidP="00327C4C" w14:paraId="2FF2EC64" w14:textId="3DBCF8C4">
      <w:pPr>
        <w:pStyle w:val="FootnoteText"/>
        <w:ind w:left="567" w:hanging="567"/>
        <w:rPr>
          <w:sz w:val="24"/>
          <w:lang w:val="sk-SK"/>
        </w:rPr>
      </w:pPr>
      <w:r w:rsidRPr="00327C4C">
        <w:rPr>
          <w:rStyle w:val="FootnoteReference"/>
          <w:sz w:val="24"/>
          <w:lang w:val="sk-SK"/>
        </w:rPr>
        <w:footnoteRef/>
      </w:r>
      <w:r w:rsidRPr="00327C4C" w:rsidR="00327C4C">
        <w:rPr>
          <w:sz w:val="24"/>
          <w:lang w:val="sk-SK"/>
        </w:rPr>
        <w:t xml:space="preserve"> </w:t>
      </w:r>
      <w:r w:rsidRPr="00327C4C" w:rsidR="00327C4C">
        <w:rPr>
          <w:sz w:val="24"/>
          <w:lang w:val="sk-SK"/>
        </w:rPr>
        <w:tab/>
      </w:r>
      <w:r w:rsidRPr="00327C4C">
        <w:rPr>
          <w:sz w:val="24"/>
          <w:lang w:val="sk-SK"/>
        </w:rPr>
        <w:t>Ú. v. EÚ L 348, 24.12.2008, s. </w:t>
      </w:r>
      <w:r w:rsidRPr="00327C4C">
        <w:rPr>
          <w:sz w:val="24"/>
          <w:lang w:val="sk-SK"/>
        </w:rPr>
        <w:t>84, ELI: </w:t>
      </w:r>
      <w:hyperlink r:id="rId4" w:tooltip="Umožňuje prístup k tomuto dokumentu prostredníctvom identifikátora URI používaného v rámci ELI." w:history="1">
        <w:r w:rsidRPr="00327C4C">
          <w:rPr>
            <w:rStyle w:val="Hyperlink"/>
            <w:sz w:val="24"/>
            <w:lang w:val="sk-SK"/>
          </w:rPr>
          <w:t>http://data.europa.eu/eli/dir/2008/105/oj</w:t>
        </w:r>
      </w:hyperlink>
      <w:r w:rsidRPr="00327C4C">
        <w:rPr>
          <w:sz w:val="24"/>
          <w:lang w:val="sk-SK"/>
        </w:rPr>
        <w:t>.</w:t>
      </w:r>
    </w:p>
  </w:footnote>
  <w:footnote w:id="6">
    <w:p w:rsidR="007B5920" w:rsidRPr="00327C4C" w:rsidP="00327C4C" w14:paraId="15638788" w14:textId="422106DE">
      <w:pPr>
        <w:pStyle w:val="FootnoteText"/>
        <w:ind w:left="567" w:hanging="567"/>
        <w:rPr>
          <w:sz w:val="24"/>
          <w:lang w:val="sk-SK"/>
        </w:rPr>
      </w:pPr>
      <w:r w:rsidRPr="00327C4C">
        <w:rPr>
          <w:rStyle w:val="FootnoteReference"/>
          <w:sz w:val="24"/>
          <w:lang w:val="sk-SK"/>
        </w:rPr>
        <w:footnoteRef/>
      </w:r>
      <w:r w:rsidRPr="00327C4C" w:rsidR="00327C4C">
        <w:rPr>
          <w:sz w:val="24"/>
          <w:lang w:val="sk-SK"/>
        </w:rPr>
        <w:t xml:space="preserve"> </w:t>
      </w:r>
      <w:r w:rsidRPr="00327C4C" w:rsidR="00327C4C">
        <w:rPr>
          <w:sz w:val="24"/>
          <w:lang w:val="sk-SK"/>
        </w:rPr>
        <w:tab/>
      </w:r>
      <w:r w:rsidRPr="00327C4C">
        <w:rPr>
          <w:sz w:val="24"/>
          <w:lang w:val="sk-SK"/>
        </w:rPr>
        <w:t xml:space="preserve">Ú. v. EÚ L 114, 12.4.2022, s. </w:t>
      </w:r>
      <w:r w:rsidRPr="00327C4C">
        <w:rPr>
          <w:sz w:val="24"/>
          <w:lang w:val="sk-SK"/>
        </w:rPr>
        <w:t xml:space="preserve">22, ELI: </w:t>
      </w:r>
      <w:hyperlink r:id="rId5" w:history="1">
        <w:r w:rsidRPr="00327C4C">
          <w:rPr>
            <w:rStyle w:val="Hyperlink"/>
            <w:sz w:val="24"/>
            <w:lang w:val="sk-SK"/>
          </w:rPr>
          <w:t>http://data.europa.eu/eli/dec/2022/591/oj</w:t>
        </w:r>
      </w:hyperlink>
      <w:r w:rsidRPr="00327C4C">
        <w:rPr>
          <w:sz w:val="24"/>
          <w:lang w:val="sk-SK"/>
        </w:rPr>
        <w:t>.</w:t>
      </w:r>
    </w:p>
  </w:footnote>
  <w:footnote w:id="7">
    <w:p w:rsidR="007B5920" w:rsidRPr="00327C4C" w:rsidP="00327C4C" w14:paraId="26531FA9" w14:textId="199F155F">
      <w:pPr>
        <w:pStyle w:val="FootnoteText"/>
        <w:ind w:left="567" w:hanging="567"/>
        <w:rPr>
          <w:sz w:val="24"/>
          <w:lang w:val="sk-SK"/>
        </w:rPr>
      </w:pPr>
      <w:r w:rsidRPr="00327C4C">
        <w:rPr>
          <w:rStyle w:val="FootnoteReference"/>
          <w:sz w:val="24"/>
          <w:lang w:val="sk-SK"/>
        </w:rPr>
        <w:footnoteRef/>
      </w:r>
      <w:r w:rsidRPr="00327C4C" w:rsidR="00327C4C">
        <w:rPr>
          <w:sz w:val="24"/>
          <w:lang w:val="sk-SK"/>
        </w:rPr>
        <w:t xml:space="preserve"> </w:t>
      </w:r>
      <w:r w:rsidRPr="00327C4C" w:rsidR="00327C4C">
        <w:rPr>
          <w:sz w:val="24"/>
          <w:lang w:val="sk-SK"/>
        </w:rPr>
        <w:tab/>
      </w:r>
      <w:r w:rsidRPr="00327C4C">
        <w:rPr>
          <w:sz w:val="24"/>
          <w:lang w:val="sk-SK"/>
        </w:rPr>
        <w:t>Ú. v. EÚ C 385, 22.9.2021, s. 83.</w:t>
      </w:r>
    </w:p>
  </w:footnote>
  <w:footnote w:id="8">
    <w:p w:rsidR="007B5920" w:rsidRPr="00327C4C" w:rsidP="00327C4C" w14:paraId="5DF25329" w14:textId="3CAA1FB2">
      <w:pPr>
        <w:pStyle w:val="FootnoteText"/>
        <w:ind w:left="567" w:hanging="567"/>
        <w:rPr>
          <w:sz w:val="24"/>
          <w:lang w:val="sk-SK"/>
        </w:rPr>
      </w:pPr>
      <w:r w:rsidRPr="00327C4C">
        <w:rPr>
          <w:rStyle w:val="FootnoteReference"/>
          <w:sz w:val="24"/>
          <w:szCs w:val="16"/>
          <w:lang w:val="sk-SK"/>
        </w:rPr>
        <w:footnoteRef/>
      </w:r>
      <w:r w:rsidRPr="00327C4C" w:rsidR="00327C4C">
        <w:rPr>
          <w:sz w:val="24"/>
          <w:lang w:val="sk-SK"/>
        </w:rPr>
        <w:t xml:space="preserve"> </w:t>
      </w:r>
      <w:r w:rsidRPr="00327C4C" w:rsidR="00327C4C">
        <w:rPr>
          <w:sz w:val="24"/>
          <w:lang w:val="sk-SK"/>
        </w:rPr>
        <w:tab/>
      </w:r>
      <w:r w:rsidRPr="00327C4C">
        <w:rPr>
          <w:sz w:val="24"/>
          <w:lang w:val="sk-SK"/>
        </w:rPr>
        <w:t>Oznámenie Komisie z 24. októbra 2023 s názvom Riešenie situácií nedostatku liekov v EÚ (COM(2023)0672).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27C4C" w14:paraId="7BCCCC3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27C4C" w14:paraId="356FD75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27C4C" w14:paraId="2DC69A4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8845062">
    <w:abstractNumId w:val="9"/>
  </w:num>
  <w:num w:numId="2" w16cid:durableId="1339380807">
    <w:abstractNumId w:val="9"/>
  </w:num>
  <w:num w:numId="3" w16cid:durableId="939264129">
    <w:abstractNumId w:val="7"/>
  </w:num>
  <w:num w:numId="4" w16cid:durableId="839276699">
    <w:abstractNumId w:val="7"/>
  </w:num>
  <w:num w:numId="5" w16cid:durableId="914433434">
    <w:abstractNumId w:val="6"/>
  </w:num>
  <w:num w:numId="6" w16cid:durableId="1852716901">
    <w:abstractNumId w:val="6"/>
  </w:num>
  <w:num w:numId="7" w16cid:durableId="134488998">
    <w:abstractNumId w:val="5"/>
  </w:num>
  <w:num w:numId="8" w16cid:durableId="1397892603">
    <w:abstractNumId w:val="5"/>
  </w:num>
  <w:num w:numId="9" w16cid:durableId="1566338507">
    <w:abstractNumId w:val="4"/>
  </w:num>
  <w:num w:numId="10" w16cid:durableId="581527082">
    <w:abstractNumId w:val="4"/>
  </w:num>
  <w:num w:numId="11" w16cid:durableId="733432694">
    <w:abstractNumId w:val="8"/>
  </w:num>
  <w:num w:numId="12" w16cid:durableId="894779349">
    <w:abstractNumId w:val="8"/>
  </w:num>
  <w:num w:numId="13" w16cid:durableId="943154551">
    <w:abstractNumId w:val="3"/>
  </w:num>
  <w:num w:numId="14" w16cid:durableId="614753311">
    <w:abstractNumId w:val="3"/>
  </w:num>
  <w:num w:numId="15" w16cid:durableId="1054430312">
    <w:abstractNumId w:val="2"/>
  </w:num>
  <w:num w:numId="16" w16cid:durableId="1126006461">
    <w:abstractNumId w:val="2"/>
  </w:num>
  <w:num w:numId="17" w16cid:durableId="287782733">
    <w:abstractNumId w:val="1"/>
  </w:num>
  <w:num w:numId="18" w16cid:durableId="1311905585">
    <w:abstractNumId w:val="1"/>
  </w:num>
  <w:num w:numId="19" w16cid:durableId="2096513355">
    <w:abstractNumId w:val="0"/>
  </w:num>
  <w:num w:numId="20" w16cid:durableId="524172717">
    <w:abstractNumId w:val="0"/>
  </w:num>
  <w:num w:numId="21" w16cid:durableId="1745683840">
    <w:abstractNumId w:val="9"/>
  </w:num>
  <w:num w:numId="22" w16cid:durableId="1623345892">
    <w:abstractNumId w:val="7"/>
  </w:num>
  <w:num w:numId="23" w16cid:durableId="1160653385">
    <w:abstractNumId w:val="6"/>
  </w:num>
  <w:num w:numId="24" w16cid:durableId="1533886814">
    <w:abstractNumId w:val="5"/>
  </w:num>
  <w:num w:numId="25" w16cid:durableId="1749768930">
    <w:abstractNumId w:val="4"/>
  </w:num>
  <w:num w:numId="26" w16cid:durableId="1140999979">
    <w:abstractNumId w:val="8"/>
  </w:num>
  <w:num w:numId="27" w16cid:durableId="815954603">
    <w:abstractNumId w:val="3"/>
  </w:num>
  <w:num w:numId="28" w16cid:durableId="678770728">
    <w:abstractNumId w:val="2"/>
  </w:num>
  <w:num w:numId="29" w16cid:durableId="1438017957">
    <w:abstractNumId w:val="1"/>
  </w:num>
  <w:num w:numId="30" w16cid:durableId="201409273">
    <w:abstractNumId w:val="0"/>
  </w:num>
  <w:num w:numId="31" w16cid:durableId="900748470">
    <w:abstractNumId w:val="9"/>
  </w:num>
  <w:num w:numId="32" w16cid:durableId="1171870988">
    <w:abstractNumId w:val="7"/>
  </w:num>
  <w:num w:numId="33" w16cid:durableId="1743989840">
    <w:abstractNumId w:val="6"/>
  </w:num>
  <w:num w:numId="34" w16cid:durableId="1623851964">
    <w:abstractNumId w:val="5"/>
  </w:num>
  <w:num w:numId="35" w16cid:durableId="1251885272">
    <w:abstractNumId w:val="4"/>
  </w:num>
  <w:num w:numId="36" w16cid:durableId="1173226838">
    <w:abstractNumId w:val="8"/>
  </w:num>
  <w:num w:numId="37" w16cid:durableId="1513300574">
    <w:abstractNumId w:val="3"/>
  </w:num>
  <w:num w:numId="38" w16cid:durableId="1418672638">
    <w:abstractNumId w:val="2"/>
  </w:num>
  <w:num w:numId="39" w16cid:durableId="1356030591">
    <w:abstractNumId w:val="1"/>
  </w:num>
  <w:num w:numId="40" w16cid:durableId="1503855852">
    <w:abstractNumId w:val="0"/>
  </w:num>
  <w:num w:numId="41" w16cid:durableId="317197415">
    <w:abstractNumId w:val="10"/>
  </w:num>
  <w:num w:numId="42" w16cid:durableId="1978146874">
    <w:abstractNumId w:val="10"/>
  </w:num>
  <w:num w:numId="43" w16cid:durableId="144590516">
    <w:abstractNumId w:val="10"/>
  </w:num>
  <w:num w:numId="44" w16cid:durableId="15329168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854"/>
    <w:rsid w:val="00002272"/>
    <w:rsid w:val="000215B8"/>
    <w:rsid w:val="00064002"/>
    <w:rsid w:val="000677B9"/>
    <w:rsid w:val="000831BA"/>
    <w:rsid w:val="000A42CC"/>
    <w:rsid w:val="000E7DD9"/>
    <w:rsid w:val="0010095E"/>
    <w:rsid w:val="00125B37"/>
    <w:rsid w:val="0014398E"/>
    <w:rsid w:val="00187494"/>
    <w:rsid w:val="001F32AE"/>
    <w:rsid w:val="001F38EA"/>
    <w:rsid w:val="002767FF"/>
    <w:rsid w:val="002B18FE"/>
    <w:rsid w:val="002B5493"/>
    <w:rsid w:val="00327C4C"/>
    <w:rsid w:val="003329FC"/>
    <w:rsid w:val="00343214"/>
    <w:rsid w:val="00361C00"/>
    <w:rsid w:val="00395FA1"/>
    <w:rsid w:val="003E15D4"/>
    <w:rsid w:val="00411CCE"/>
    <w:rsid w:val="0041666E"/>
    <w:rsid w:val="00421060"/>
    <w:rsid w:val="0046230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92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854"/>
    <w:rsid w:val="009509D8"/>
    <w:rsid w:val="00950B64"/>
    <w:rsid w:val="00962BAB"/>
    <w:rsid w:val="00981893"/>
    <w:rsid w:val="00A1687D"/>
    <w:rsid w:val="00A43E52"/>
    <w:rsid w:val="00A4678D"/>
    <w:rsid w:val="00A619BD"/>
    <w:rsid w:val="00A778C7"/>
    <w:rsid w:val="00AB441E"/>
    <w:rsid w:val="00AB6293"/>
    <w:rsid w:val="00AE0928"/>
    <w:rsid w:val="00AF3B82"/>
    <w:rsid w:val="00B12E95"/>
    <w:rsid w:val="00B22876"/>
    <w:rsid w:val="00B24EF8"/>
    <w:rsid w:val="00B2588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5853"/>
    <w:rsid w:val="00D058B8"/>
    <w:rsid w:val="00D56C11"/>
    <w:rsid w:val="00D834A0"/>
    <w:rsid w:val="00D872DF"/>
    <w:rsid w:val="00D91E21"/>
    <w:rsid w:val="00DA7FCD"/>
    <w:rsid w:val="00DC2F64"/>
    <w:rsid w:val="00E25DBF"/>
    <w:rsid w:val="00E365E1"/>
    <w:rsid w:val="00E60F23"/>
    <w:rsid w:val="00E820A4"/>
    <w:rsid w:val="00EB006A"/>
    <w:rsid w:val="00EB4772"/>
    <w:rsid w:val="00ED169E"/>
    <w:rsid w:val="00ED4235"/>
    <w:rsid w:val="00F04346"/>
    <w:rsid w:val="00F075DC"/>
    <w:rsid w:val="00F149E9"/>
    <w:rsid w:val="00F506E0"/>
    <w:rsid w:val="00F5134D"/>
    <w:rsid w:val="00F74202"/>
    <w:rsid w:val="00F77587"/>
    <w:rsid w:val="00F87713"/>
    <w:rsid w:val="00FB4360"/>
    <w:rsid w:val="00FD0C70"/>
  </w:rsids>
  <w:docVars>
    <w:docVar w:name="dvdocse" w:val="B10-0238, 0240, 0241 a 0281/2026"/>
    <w:docVar w:name="dvlangue" w:val="SK"/>
    <w:docVar w:name="dvnumam" w:val="0"/>
    <w:docVar w:name="dvpe" w:val="783.281"/>
    <w:docVar w:name="dvtitre" w:val="Uznesenie Európskeho parlamentu z/zo xx. xxx 2026 o vykonávaní smernice o čistení komunálnych odpadových vôd a rizikách pre bezpečnosť dodávok liekov(2026/2652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8AADA11"/>
  <w15:chartTrackingRefBased/>
  <w15:docId w15:val="{45657FB9-46E6-4917-AA41-8B20824DA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B592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B592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7B5920"/>
    <w:rPr>
      <w:sz w:val="24"/>
      <w:lang w:val="sk-SK"/>
    </w:rPr>
  </w:style>
  <w:style w:type="character" w:styleId="Hyperlink">
    <w:name w:val="Hyperlink"/>
    <w:basedOn w:val="DefaultParagraphFont"/>
    <w:rsid w:val="007B5920"/>
    <w:rPr>
      <w:color w:val="0000FF"/>
      <w:u w:val="single"/>
    </w:rPr>
  </w:style>
  <w:style w:type="paragraph" w:styleId="Revision">
    <w:name w:val="Revision"/>
    <w:hidden/>
    <w:uiPriority w:val="99"/>
    <w:semiHidden/>
    <w:rsid w:val="001F38E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3019/oj" TargetMode="External" /><Relationship Id="rId2" Type="http://schemas.openxmlformats.org/officeDocument/2006/relationships/hyperlink" Target="http://data.europa.eu/eli/dir/2000/60/oj" TargetMode="External" /><Relationship Id="rId3" Type="http://schemas.openxmlformats.org/officeDocument/2006/relationships/hyperlink" Target="http://data.europa.eu/eli/dir/2006/118/oj" TargetMode="External" /><Relationship Id="rId4" Type="http://schemas.openxmlformats.org/officeDocument/2006/relationships/hyperlink" Target="http://data.europa.eu/eli/dir/2008/105/oj" TargetMode="External" /><Relationship Id="rId5" Type="http://schemas.openxmlformats.org/officeDocument/2006/relationships/hyperlink" Target="http://data.europa.eu/eli/dec/2022/59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3625</Words>
  <Characters>20663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2026-06-18T13:50:00Z</dcterms:created>
  <dcterms:modified xsi:type="dcterms:W3CDTF">2026-06-18T13:50:00Z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B10-0238, 0240, 0241 a 0281/2026</vt:lpwstr>
  </property>
  <property fmtid="{D5CDD505-2E9C-101B-9397-08002B2CF9AE}" pid="4" name="&lt;Type&gt;">
    <vt:lpwstr>RR</vt:lpwstr>
  </property>
</Properties>
</file>