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7400BF5B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7661ED" w:rsidP="0010095E" w14:paraId="35FBC5B2" w14:textId="7EF2369B">
            <w:pPr>
              <w:pStyle w:val="EPName"/>
            </w:pPr>
            <w:r w:rsidRPr="007661ED">
              <w:t>Европейски</w:t>
            </w:r>
            <w:r w:rsidRPr="007661ED" w:rsidR="00BF44D6">
              <w:t xml:space="preserve"> парламент</w:t>
            </w:r>
          </w:p>
          <w:p w:rsidR="00751A4A" w:rsidRPr="007661ED" w:rsidP="00271794" w14:paraId="16DC0D17" w14:textId="74144050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661ED">
              <w:t>2024</w:t>
            </w:r>
            <w:r w:rsidR="00271794">
              <w:rPr>
                <w:lang w:val="en-GB"/>
              </w:rPr>
              <w:t> – </w:t>
            </w:r>
            <w:r w:rsidRPr="007661ED" w:rsidR="00817416">
              <w:t>202</w:t>
            </w:r>
            <w:r w:rsidRPr="007661ED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7661ED" w:rsidP="0010095E" w14:paraId="12EEF384" w14:textId="77777777">
            <w:pPr>
              <w:pStyle w:val="EPLogo"/>
            </w:pPr>
            <w:r w:rsidRPr="007661ED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7661ED" w:rsidP="004C5D52" w14:paraId="5BB9ECEF" w14:textId="77777777">
      <w:pPr>
        <w:pStyle w:val="LineTop"/>
      </w:pPr>
    </w:p>
    <w:p w:rsidR="00680577" w:rsidRPr="007661ED" w:rsidP="00680577" w14:paraId="06C375CD" w14:textId="77777777">
      <w:pPr>
        <w:pStyle w:val="EPBodyTA1"/>
      </w:pPr>
      <w:r w:rsidRPr="007661ED">
        <w:t>ПРИЕТИ ТЕКСТОВЕ</w:t>
      </w:r>
    </w:p>
    <w:p w:rsidR="00D058B8" w:rsidRPr="007661ED" w:rsidP="00D058B8" w14:paraId="138AFF4F" w14:textId="77777777">
      <w:pPr>
        <w:pStyle w:val="LineBottom"/>
      </w:pPr>
    </w:p>
    <w:p w:rsidR="00BF44D6" w:rsidRPr="007661ED" w:rsidP="00BF44D6" w14:paraId="56713843" w14:textId="1E07DFC3">
      <w:pPr>
        <w:pStyle w:val="ATHeading1"/>
      </w:pPr>
      <w:bookmarkStart w:id="0" w:name="TANumber"/>
      <w:r w:rsidRPr="007661ED">
        <w:t>P10_TA(2026)0</w:t>
      </w:r>
      <w:bookmarkEnd w:id="0"/>
      <w:r w:rsidR="009A24AD">
        <w:t>229</w:t>
      </w:r>
    </w:p>
    <w:p w:rsidR="00BF44D6" w:rsidRPr="007661ED" w:rsidP="00BF44D6" w14:paraId="508855E1" w14:textId="77777777">
      <w:pPr>
        <w:pStyle w:val="ATHeading2"/>
      </w:pPr>
      <w:bookmarkStart w:id="1" w:name="title"/>
      <w:r w:rsidRPr="007661ED">
        <w:t>Политическите репресии и хуманитарната ситуация в Куба</w:t>
      </w:r>
      <w:bookmarkEnd w:id="1"/>
    </w:p>
    <w:p w:rsidR="00BF44D6" w:rsidRPr="007661ED" w:rsidP="00BF44D6" w14:paraId="19537607" w14:textId="510BAB27">
      <w:pPr>
        <w:rPr>
          <w:i/>
          <w:vanish/>
        </w:rPr>
      </w:pPr>
      <w:r>
        <w:rPr>
          <w:i/>
        </w:rPr>
        <w:fldChar w:fldCharType="begin"/>
      </w:r>
      <w:r w:rsidRPr="007661ED">
        <w:rPr>
          <w:i/>
        </w:rPr>
        <w:instrText xml:space="preserve"> TC"(</w:instrText>
      </w:r>
      <w:bookmarkStart w:id="2" w:name="DocNumber"/>
      <w:r w:rsidRPr="007661ED">
        <w:rPr>
          <w:i/>
        </w:rPr>
        <w:instrText xml:space="preserve">B10-0285, 0286 </w:instrText>
      </w:r>
      <w:r w:rsidR="00271794">
        <w:rPr>
          <w:i/>
        </w:rPr>
        <w:instrText>и</w:instrText>
      </w:r>
      <w:r w:rsidRPr="007661ED">
        <w:rPr>
          <w:i/>
        </w:rPr>
        <w:instrText xml:space="preserve"> 0291/2026</w:instrText>
      </w:r>
      <w:bookmarkEnd w:id="2"/>
      <w:r w:rsidRPr="007661ED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BF44D6" w:rsidRPr="007661ED" w:rsidP="00BF44D6" w14:paraId="31E3A37D" w14:textId="77777777">
      <w:pPr>
        <w:rPr>
          <w:vanish/>
        </w:rPr>
      </w:pPr>
      <w:bookmarkStart w:id="3" w:name="PE"/>
      <w:r w:rsidRPr="007661ED">
        <w:rPr>
          <w:vanish/>
        </w:rPr>
        <w:t>PE783.341</w:t>
      </w:r>
      <w:bookmarkEnd w:id="3"/>
    </w:p>
    <w:p w:rsidR="00BF44D6" w:rsidRPr="007661ED" w:rsidP="00BF44D6" w14:paraId="0503CE0D" w14:textId="394F5E69">
      <w:pPr>
        <w:pStyle w:val="ATHeading3"/>
      </w:pPr>
      <w:bookmarkStart w:id="4" w:name="Sujet"/>
      <w:r w:rsidRPr="007661ED">
        <w:t xml:space="preserve">Резолюция на Европейския парламент от </w:t>
      </w:r>
      <w:r w:rsidRPr="00A053B8" w:rsidR="00271794">
        <w:rPr>
          <w:lang w:val="ru-RU"/>
        </w:rPr>
        <w:t xml:space="preserve">18 </w:t>
      </w:r>
      <w:r w:rsidR="00271794">
        <w:t>юни</w:t>
      </w:r>
      <w:r w:rsidRPr="007661ED">
        <w:t xml:space="preserve"> 2026 г. относно политическите репресии и хуманитарната ситуация в Куба</w:t>
      </w:r>
      <w:bookmarkEnd w:id="4"/>
      <w:r w:rsidRPr="007661ED">
        <w:t xml:space="preserve"> </w:t>
      </w:r>
      <w:bookmarkStart w:id="5" w:name="References"/>
      <w:r w:rsidRPr="007661ED">
        <w:t>(2026/2735(RSP))</w:t>
      </w:r>
      <w:bookmarkEnd w:id="5"/>
    </w:p>
    <w:p w:rsidR="007835D4" w:rsidRPr="007661ED" w:rsidP="007835D4" w14:paraId="39450DA5" w14:textId="77777777">
      <w:pPr>
        <w:pStyle w:val="EPComma"/>
      </w:pPr>
      <w:bookmarkStart w:id="6" w:name="TextBodyBegin"/>
      <w:bookmarkEnd w:id="6"/>
      <w:r w:rsidRPr="007661ED">
        <w:rPr>
          <w:i/>
        </w:rPr>
        <w:t>Европейският парламент</w:t>
      </w:r>
      <w:r w:rsidRPr="007661ED">
        <w:t>,</w:t>
      </w:r>
    </w:p>
    <w:p w:rsidR="007835D4" w:rsidRPr="007661ED" w:rsidP="007835D4" w14:paraId="29293B53" w14:textId="77777777">
      <w:pPr>
        <w:pStyle w:val="NormalHanging12a"/>
      </w:pPr>
      <w:r w:rsidRPr="007661ED">
        <w:t>–</w:t>
      </w:r>
      <w:r w:rsidRPr="007661ED">
        <w:tab/>
        <w:t>като взе предвид предишните си резолюции относно положението в Куба, и по-специално резолюцията от 19 септември 2024 г. относно случая на Хосе Даниел Ферер Гарсия в Куба</w:t>
      </w:r>
      <w:r>
        <w:rPr>
          <w:rStyle w:val="FootnoteReference"/>
        </w:rPr>
        <w:footnoteReference w:id="2"/>
      </w:r>
      <w:r w:rsidRPr="007661ED">
        <w:t>, от 29 февруари 2024 г. относно критичното положение в Куба</w:t>
      </w:r>
      <w:r>
        <w:rPr>
          <w:rStyle w:val="FootnoteReference"/>
        </w:rPr>
        <w:footnoteReference w:id="3"/>
      </w:r>
      <w:r w:rsidRPr="007661ED">
        <w:t xml:space="preserve"> и от 12 юли 2023 г. относно състоянието на споразумението за политически диалог и сътрудничество между Европейския съюз и Куба в светлината на неотдавнашното посещение на върховния представител в Куба</w:t>
      </w:r>
      <w:r>
        <w:rPr>
          <w:rStyle w:val="FootnoteReference"/>
        </w:rPr>
        <w:footnoteReference w:id="4"/>
      </w:r>
      <w:r w:rsidRPr="007661ED">
        <w:t>,</w:t>
      </w:r>
    </w:p>
    <w:p w:rsidR="007835D4" w:rsidRPr="007661ED" w:rsidP="007835D4" w14:paraId="2DD5A476" w14:textId="77777777">
      <w:pPr>
        <w:pStyle w:val="NormalHanging12a"/>
      </w:pPr>
      <w:r w:rsidRPr="007661ED">
        <w:t>–</w:t>
      </w:r>
      <w:r w:rsidRPr="007661ED">
        <w:tab/>
        <w:t>като взе предвид Споразумението за политически диалог и сътрудничество (СПДС) между Европейския съюз и неговите държави членки, от една страна, и Република Куба, от друга страна</w:t>
      </w:r>
      <w:r>
        <w:rPr>
          <w:rStyle w:val="FootnoteReference"/>
        </w:rPr>
        <w:footnoteReference w:id="5"/>
      </w:r>
      <w:r w:rsidRPr="007661ED">
        <w:t>, подписано през декември 2016 г. и прилагано временно от 1 ноември 2017 г., и по-специално клаузата за съществените елементи съгласно член 1, параграф 5 от него и клаузата за спиране съгласно член 85, параграф 3, буква б) от него,</w:t>
      </w:r>
    </w:p>
    <w:p w:rsidR="007835D4" w:rsidRPr="007661ED" w:rsidP="007835D4" w14:paraId="78131D61" w14:textId="77777777">
      <w:pPr>
        <w:pStyle w:val="NormalHanging12a"/>
      </w:pPr>
      <w:r w:rsidRPr="007661ED">
        <w:t>–</w:t>
      </w:r>
      <w:r w:rsidRPr="007661ED">
        <w:tab/>
        <w:t>като взе предвид даденото на 5 юли 2017 г. от Парламента одобрение на СПДС, при условие че се постигне осезаемо подобрение в областта на правата на човека и основните свободи в Куба,</w:t>
      </w:r>
    </w:p>
    <w:p w:rsidR="007835D4" w:rsidRPr="007661ED" w:rsidP="007835D4" w14:paraId="105AFC44" w14:textId="77777777">
      <w:pPr>
        <w:pStyle w:val="NormalHanging12a"/>
      </w:pPr>
      <w:r w:rsidRPr="007661ED">
        <w:t>—</w:t>
      </w:r>
      <w:r w:rsidRPr="007661ED">
        <w:tab/>
        <w:t>като взе предвид глобалния режим на ЕС на санкции за нарушения на правата на човека (т.нар. „закон „</w:t>
      </w:r>
      <w:r w:rsidRPr="007661ED">
        <w:t>Магнитски</w:t>
      </w:r>
      <w:r w:rsidRPr="007661ED">
        <w:t>“ на ЕС“),</w:t>
      </w:r>
    </w:p>
    <w:p w:rsidR="007835D4" w:rsidRPr="007661ED" w:rsidP="007835D4" w14:paraId="0D8C7115" w14:textId="77777777">
      <w:pPr>
        <w:pStyle w:val="NormalHanging12a"/>
      </w:pPr>
      <w:r w:rsidRPr="007661ED">
        <w:t>–</w:t>
      </w:r>
      <w:r w:rsidRPr="007661ED">
        <w:tab/>
        <w:t>като взе предвид Всеобщата декларация за правата на човека, Международния пакт за граждански и политически права, Конвенцията на ООН против изтезанията и други форми на жестоко, нечовешко или унизително отнасяне или наказание и Конвенцията на ООН за правата на детето, по които Куба е страна,</w:t>
      </w:r>
    </w:p>
    <w:p w:rsidR="007835D4" w:rsidRPr="007661ED" w:rsidP="007835D4" w14:paraId="5FDAE4D4" w14:textId="77777777">
      <w:pPr>
        <w:pStyle w:val="NormalHanging12a"/>
      </w:pPr>
      <w:r w:rsidRPr="007661ED">
        <w:t>–</w:t>
      </w:r>
      <w:r w:rsidRPr="007661ED">
        <w:tab/>
        <w:t xml:space="preserve">като взе предвид докладите на неправителствената организация (НПО) „Защитници на затворите“, и по-специално изданието от май 2026 г. на нейния </w:t>
      </w:r>
      <w:r w:rsidRPr="007661ED">
        <w:t>месечен доклад, публикуван на 11 юни 2026 г., относно изтезанията, структурното нарушение на справедливия съдебен процес, „обществената опасност преди извършването на престъпление“, цифровото наблюдение и принудителното недохранване в кубинските затвори,</w:t>
      </w:r>
    </w:p>
    <w:p w:rsidR="007835D4" w:rsidRPr="007661ED" w:rsidP="007835D4" w14:paraId="6B898DAD" w14:textId="77777777">
      <w:pPr>
        <w:pStyle w:val="NormalHanging12a"/>
      </w:pPr>
      <w:r w:rsidRPr="007661ED">
        <w:t>–</w:t>
      </w:r>
      <w:r w:rsidRPr="007661ED">
        <w:tab/>
        <w:t xml:space="preserve">като взе предвид съвместното изслушване на комисията по външни работи и подкомисията по правата на човека относно положението в Куба, проведено на 5 май 2026 г., и свидетелските показания, представени от докладчика за Куба на Междуамериканската комисия по правата на човека </w:t>
      </w:r>
      <w:r w:rsidRPr="007661ED">
        <w:t>Стуардо</w:t>
      </w:r>
      <w:r w:rsidRPr="007661ED">
        <w:t xml:space="preserve"> </w:t>
      </w:r>
      <w:r w:rsidRPr="007661ED">
        <w:t>Ралон</w:t>
      </w:r>
      <w:r w:rsidRPr="007661ED">
        <w:t xml:space="preserve"> </w:t>
      </w:r>
      <w:r w:rsidRPr="007661ED">
        <w:t>Ореляна</w:t>
      </w:r>
      <w:r w:rsidRPr="007661ED">
        <w:t xml:space="preserve"> и от кубинския опозиционен лидер и бивш политически затворник Хосе Даниел Ферер,</w:t>
      </w:r>
    </w:p>
    <w:p w:rsidR="007835D4" w:rsidRPr="007661ED" w:rsidP="007835D4" w14:paraId="170D1EEF" w14:textId="77777777">
      <w:pPr>
        <w:pStyle w:val="NormalHanging12a"/>
      </w:pPr>
      <w:r w:rsidRPr="007661ED">
        <w:t>–</w:t>
      </w:r>
      <w:r w:rsidRPr="007661ED">
        <w:tab/>
        <w:t>като взе предвид речите на заместник-председателя на Комисията/върховен представител на Съюза по въпросите на външните работи и политиката на сигурност Кая Калас на пленарните заседания на Парламента, по-специално от 6 май 2025 г. и 19 май 2026 г., както и диалозите по правата на човека между ЕС и Куба,</w:t>
      </w:r>
    </w:p>
    <w:p w:rsidR="007835D4" w:rsidRPr="007661ED" w:rsidP="007835D4" w14:paraId="6D687EAE" w14:textId="77777777">
      <w:pPr>
        <w:pStyle w:val="NormalHanging12a"/>
      </w:pPr>
      <w:r w:rsidRPr="007661ED">
        <w:t>–</w:t>
      </w:r>
      <w:r w:rsidRPr="007661ED">
        <w:tab/>
        <w:t>като взе предвид изявленията на Междуамериканската комисия по правата на човека относно Куба от 25 март 2026 г.,</w:t>
      </w:r>
    </w:p>
    <w:p w:rsidR="007835D4" w:rsidRPr="007661ED" w:rsidP="007835D4" w14:paraId="5CD0BA77" w14:textId="77777777">
      <w:pPr>
        <w:pStyle w:val="NormalHanging12a"/>
      </w:pPr>
      <w:r w:rsidRPr="007661ED">
        <w:t>–</w:t>
      </w:r>
      <w:r w:rsidRPr="007661ED">
        <w:tab/>
        <w:t xml:space="preserve">като взе предвид Споразумението за свобода (Споразумението за освобождение), подписано в Маями на 2 март 2026 г. от кубинските опозиционни коалиции </w:t>
      </w:r>
      <w:r w:rsidRPr="007661ED">
        <w:t>Pasos</w:t>
      </w:r>
      <w:r w:rsidRPr="007661ED">
        <w:t xml:space="preserve"> </w:t>
      </w:r>
      <w:r w:rsidRPr="007661ED">
        <w:t>de</w:t>
      </w:r>
      <w:r w:rsidRPr="007661ED">
        <w:t xml:space="preserve"> </w:t>
      </w:r>
      <w:r w:rsidRPr="007661ED">
        <w:t>Cambio</w:t>
      </w:r>
      <w:r w:rsidRPr="007661ED">
        <w:t xml:space="preserve"> и </w:t>
      </w:r>
      <w:r w:rsidRPr="007661ED">
        <w:t>Asamblea</w:t>
      </w:r>
      <w:r w:rsidRPr="007661ED">
        <w:t xml:space="preserve"> </w:t>
      </w:r>
      <w:r w:rsidRPr="007661ED">
        <w:t>de</w:t>
      </w:r>
      <w:r w:rsidRPr="007661ED">
        <w:t xml:space="preserve"> </w:t>
      </w:r>
      <w:r w:rsidRPr="007661ED">
        <w:t>la</w:t>
      </w:r>
      <w:r w:rsidRPr="007661ED">
        <w:t xml:space="preserve"> </w:t>
      </w:r>
      <w:r w:rsidRPr="007661ED">
        <w:t>Resistencia</w:t>
      </w:r>
      <w:r w:rsidRPr="007661ED">
        <w:t xml:space="preserve"> </w:t>
      </w:r>
      <w:r w:rsidRPr="007661ED">
        <w:t>Cubana</w:t>
      </w:r>
      <w:r w:rsidRPr="007661ED">
        <w:t xml:space="preserve"> (ARC),</w:t>
      </w:r>
    </w:p>
    <w:p w:rsidR="007835D4" w:rsidRPr="007661ED" w:rsidP="007835D4" w14:paraId="4E8E5EBE" w14:textId="77777777">
      <w:pPr>
        <w:pStyle w:val="NormalHanging12a"/>
        <w:rPr>
          <w:rStyle w:val="doceo-font-family-base"/>
          <w:color w:val="000000"/>
        </w:rPr>
      </w:pPr>
      <w:r w:rsidRPr="007661ED">
        <w:rPr>
          <w:rStyle w:val="doceo-font-family-base"/>
          <w:color w:val="000000"/>
        </w:rPr>
        <w:t>–</w:t>
      </w:r>
      <w:r w:rsidRPr="007661ED">
        <w:rPr>
          <w:rStyle w:val="doceo-font-family-base"/>
          <w:color w:val="000000"/>
        </w:rPr>
        <w:tab/>
        <w:t xml:space="preserve">като взе предвид доклада на Междуамериканската комисия по правата на човека от 12 юни 2023 г. относно случая на правозащитниците Освалдо Пая и Харолд </w:t>
      </w:r>
      <w:r w:rsidRPr="007661ED">
        <w:rPr>
          <w:rStyle w:val="doceo-font-family-base"/>
          <w:color w:val="000000"/>
        </w:rPr>
        <w:t>Сеперо</w:t>
      </w:r>
      <w:r w:rsidRPr="007661ED">
        <w:rPr>
          <w:rStyle w:val="doceo-font-family-base"/>
          <w:color w:val="000000"/>
        </w:rPr>
        <w:t xml:space="preserve"> в Куба,</w:t>
      </w:r>
    </w:p>
    <w:p w:rsidR="007835D4" w:rsidRPr="007661ED" w:rsidP="007835D4" w14:paraId="46D56DFF" w14:textId="77777777">
      <w:pPr>
        <w:pStyle w:val="NormalHanging12a"/>
        <w:rPr>
          <w:rStyle w:val="doceo-font-family-base"/>
          <w:color w:val="000000"/>
        </w:rPr>
      </w:pPr>
      <w:r w:rsidRPr="007661ED">
        <w:rPr>
          <w:rStyle w:val="doceo-font-family-base"/>
          <w:color w:val="000000"/>
        </w:rPr>
        <w:t>–</w:t>
      </w:r>
      <w:r w:rsidRPr="007661ED">
        <w:rPr>
          <w:rStyle w:val="doceo-font-family-base"/>
          <w:color w:val="000000"/>
        </w:rPr>
        <w:tab/>
        <w:t>като взе предвид обвинителния акт, оповестен на 20 май 2026 г. от Окръжния съд на САЩ за Южния окръг на Флорида, с който на Раул Кастро и на петима други длъжностни лица се повдигат обвинения във връзка със свалянето на два граждански самолета, принадлежащи на организацията „Братя на спасението“ през 1996 г.,</w:t>
      </w:r>
    </w:p>
    <w:p w:rsidR="007835D4" w:rsidRPr="007661ED" w:rsidP="007835D4" w14:paraId="04E9BAB7" w14:textId="77777777">
      <w:pPr>
        <w:pStyle w:val="NormalHanging12a"/>
      </w:pPr>
      <w:r w:rsidRPr="007661ED">
        <w:t>–</w:t>
      </w:r>
      <w:r w:rsidRPr="007661ED">
        <w:tab/>
        <w:t>като взе предвид член 136, параграфи 2 и 4 от своя Правилник за дейността,</w:t>
      </w:r>
    </w:p>
    <w:p w:rsidR="007835D4" w:rsidRPr="007661ED" w:rsidP="007835D4" w14:paraId="15ACA140" w14:textId="77777777">
      <w:pPr>
        <w:pStyle w:val="NormalHanging12a"/>
      </w:pPr>
      <w:r w:rsidRPr="007661ED">
        <w:t>А.</w:t>
      </w:r>
      <w:r w:rsidRPr="007661ED">
        <w:tab/>
        <w:t xml:space="preserve">като има предвид, че над пет десетилетия политически и икономически решения на кубинския комунистически режим доведоха страната до дълбока криза, белязана от прекъсвания на електроснабдяването до 22 часа на ден, остър недостиг на храна, вода, гориво и лекарства и от повсеместна бедност, при конституционно утвърден еднопартиен режим, който продължава над 67 години и в който комунистическата партия е единствената разрешена политическа сила; като има предвид, че този срив на политическия и икономическия модел, изграден върху инертност, репресии и съпротива срещу промяната, утежнен от липсата на свободни, честни и конкурентни избори и забраната на политическия плурализъм, все повече доближава Куба до характеристиките на </w:t>
      </w:r>
      <w:r w:rsidRPr="007661ED">
        <w:t>нефункционираща</w:t>
      </w:r>
      <w:r w:rsidRPr="007661ED">
        <w:t xml:space="preserve"> държава и представлява антидемократична аномалия в нейния регион;</w:t>
      </w:r>
    </w:p>
    <w:p w:rsidR="007835D4" w:rsidRPr="007661ED" w:rsidP="007835D4" w14:paraId="1AB2D285" w14:textId="77777777">
      <w:pPr>
        <w:pStyle w:val="NormalHanging12a"/>
      </w:pPr>
      <w:r w:rsidRPr="007661ED">
        <w:t>Б.</w:t>
      </w:r>
      <w:r w:rsidRPr="007661ED">
        <w:tab/>
        <w:t xml:space="preserve">като има предвид, че според неправителствената организация „Защитници на затворите“ в края на май 2026 г. в Куба е имало рекорден брой от 1 281 политически затворници, включително малолетни и непълнолетни лица – някои </w:t>
      </w:r>
      <w:r w:rsidRPr="007661ED">
        <w:t>от тях държани в затвори с максимална сигурност заедно с възрастни – като много от задържаните, сред които спортисти, хора на изкуството, независими журналисти и мирни активисти, са били в тежко здравословно състояние; като има предвид, че организацията документира системни изтезания, сексуално насилие и смъртни заплахи срещу задържани лица и установи в статистически представително проучване, че всеки прегледан политически затворник, включително малолетни и непълнолетни лица, е бил подложен на изтезания и са му били отказани медицински грижи в контекст на повтарящи се модели на произволно задържане и задържане в изолация, насилствено временно изчезване и тормоз на семействата; като има предвид, че случаят на Хосе Даниел Ферер, основател на Патриотичния съюз на Куба и затворник заради убежденията си, чието освобождаване Парламентът многократно е изисквал, е емблематичен за методите на режима и доведе до принудителното му изгнание през октомври 2025 г.;</w:t>
      </w:r>
    </w:p>
    <w:p w:rsidR="007835D4" w:rsidRPr="007661ED" w:rsidP="007835D4" w14:paraId="5942E99E" w14:textId="77777777">
      <w:pPr>
        <w:pStyle w:val="NormalHanging12a"/>
      </w:pPr>
      <w:r w:rsidRPr="007661ED">
        <w:t>В.</w:t>
      </w:r>
      <w:r w:rsidRPr="007661ED">
        <w:tab/>
        <w:t>като се има предвид, че в ежедневието си обикновените кубинци се сблъскват с болници, които не са в състояние да функционират нормално, в които липсват основни лекарства и в които пациентите трябва сами да си осигурят необходимите консумативи, както и с хроничен недостиг на храна, вода и стоки от първа необходимост, които се продават само в магазини с чуждестранна валута, недостъпни за хора на обикновена държавна заплата; като има предвид, че според Обсерваторията на правата на човека в Куба 89% от семействата живеят в крайна бедност и 7 от всеки 10 кубинци трябва да пропуснат едно хранене, докато ООН докладва, че съществува списък с над 96 000 чакащи за хирургическа операция, включително 11 000 деца, а около 1 милиона души зависят от водния товарен транспорт, който е ограничен от недостига на дизелово гориво;</w:t>
      </w:r>
    </w:p>
    <w:p w:rsidR="007835D4" w:rsidRPr="007661ED" w:rsidP="007835D4" w14:paraId="7709402A" w14:textId="77777777">
      <w:pPr>
        <w:pStyle w:val="NormalHanging12a"/>
      </w:pPr>
      <w:r w:rsidRPr="007661ED">
        <w:t>Г.</w:t>
      </w:r>
      <w:r w:rsidRPr="007661ED">
        <w:tab/>
        <w:t>като има предвид, че през април 2026 г. ЕС отпусна допълнителна хуманитарна помощ в размер на 2 милиона евро към вече отпуснатите тази година 4 милиона евро за Карибския регион, за да подкрепи хуманитарните партньори, предоставящи спешна помощ на най-уязвимите; като има предвид, че актуализираният план за действие на ООН за Куба, чиято цел е да се помогне на около два милиона души, продължава да страда от сериозен недостиг на финансиране, като Организацията на обединените нации е мобилизирала 26,2 милиона щатски долара, а са необходими още 68 милиона щатски долара;</w:t>
      </w:r>
    </w:p>
    <w:p w:rsidR="007835D4" w:rsidRPr="007661ED" w:rsidP="007835D4" w14:paraId="38EF8F6F" w14:textId="77777777">
      <w:pPr>
        <w:pStyle w:val="NormalHanging12a"/>
      </w:pPr>
      <w:r w:rsidRPr="007661ED">
        <w:t>Д.</w:t>
      </w:r>
      <w:r w:rsidRPr="007661ED">
        <w:tab/>
        <w:t>като се има предвид, че кумулативната инфлация в Куба е надхвърлила 500% през последните четири години, а държавните заплати са между 15 и 25 щатски долара месечно според курса на черния пазар – единственият реалистичен курс на острова; като има предвид, че режимът направи страната зависима от вноса на гориво и че нейните традиционни доставчици Русия и Венесуела намалиха доставките, извънредната ситуация в областта на енергетиката се задълбочи, като достигна връхната си точка с пълния срив на националната електроенергийна система в продължение на няколко дни през октомври 2024 г., оставяйки 11 милиона души без електричество;</w:t>
      </w:r>
    </w:p>
    <w:p w:rsidR="007835D4" w:rsidRPr="007661ED" w:rsidP="007835D4" w14:paraId="595E58AF" w14:textId="77777777">
      <w:pPr>
        <w:pStyle w:val="NormalHanging12a"/>
      </w:pPr>
      <w:r w:rsidRPr="007661ED">
        <w:t>Е.</w:t>
      </w:r>
      <w:r w:rsidRPr="007661ED">
        <w:tab/>
        <w:t>като има предвид, че Куба днес внася над 70% от храната, която консумира – в плодородна тропическа държава, която някога е била един от най-големите производители на захар в света – срив, който е пряк резултат от десетилетия на колективизирано, контролирано от държавата и милитаризирано селско стопанство и от непродуктивен икономически модел;</w:t>
      </w:r>
    </w:p>
    <w:p w:rsidR="007835D4" w:rsidRPr="007661ED" w:rsidP="007835D4" w14:paraId="137D16BB" w14:textId="77777777">
      <w:pPr>
        <w:pStyle w:val="NormalHanging12a"/>
      </w:pPr>
      <w:r w:rsidRPr="007661ED">
        <w:t>Ж.</w:t>
      </w:r>
      <w:r w:rsidRPr="007661ED">
        <w:tab/>
        <w:t>като има предвид, че извънредната хуманитарна ситуация не е резултат от външно ембарго, а е пряка последица от модела и провала на режима, а именно милитаризация и държавен монопол над икономиката, потискане на частното предприемачество и отклоняване на ресурси към силовия апарат, а не към храната, лекарствата и електроенергията, от които се нуждае кубинският народ; като има предвид, че този модел е въплътен в корумпирания военен конгломерат GAESA, който контролира близо половината от икономиката на острова, не носи отговорност пред никого и прихваща доходите на режима в твърда валута – включително от медицинските мисии, които ООН приравни с принудителен труд – дори когато болниците остават без основни доставки; като има предвид, че тази криза не може да бъде отделена от десетилетия държавни репресии и че по-нататъшната нестабилност рискува да влоши хуманитарните и миграционните последици и последиците за сигурността;</w:t>
      </w:r>
    </w:p>
    <w:p w:rsidR="007835D4" w:rsidRPr="007661ED" w:rsidP="007835D4" w14:paraId="40DDBFA7" w14:textId="77777777">
      <w:pPr>
        <w:pStyle w:val="NormalHanging12a"/>
      </w:pPr>
      <w:r w:rsidRPr="007661ED">
        <w:t>З.</w:t>
      </w:r>
      <w:r w:rsidRPr="007661ED">
        <w:tab/>
        <w:t>като има предвид, че отношенията между ЕС и Куба се уреждат от СПДС, чиято заявена цел беше режимът постепенно да отвори и подобри положението на своите граждани; като има предвид, че почти девет години след като Парламентът даде одобрението си за СПДС, режимът не е показал никакво значително отваряне, а вместо това е засилил репресиите, преследвал е несъгласието и е увеличил броя на политическите затворници, докато икономическото положение се е влошило до неприемливи равнища; като има предвид, че споразумението не успя да постигне основната си цел и ЗП/ВП призна, че споразумението не е постигнало целите си и понастоящем е в процес на преразглеждане;</w:t>
      </w:r>
    </w:p>
    <w:p w:rsidR="007835D4" w:rsidRPr="007661ED" w:rsidP="007835D4" w14:paraId="160E3A98" w14:textId="77777777">
      <w:pPr>
        <w:pStyle w:val="NormalHanging12a"/>
      </w:pPr>
      <w:r w:rsidRPr="007661ED">
        <w:t>И.</w:t>
      </w:r>
      <w:r w:rsidRPr="007661ED">
        <w:tab/>
        <w:t>като има предвид, че отхвърлянето на режима е широко разпространено както на острова, така и извън него – за което свидетелстват повтарящите се демонстрации и протести с удряне на тенджери (</w:t>
      </w:r>
      <w:r w:rsidRPr="007661ED">
        <w:rPr>
          <w:i/>
        </w:rPr>
        <w:t>cacerolazo</w:t>
      </w:r>
      <w:r w:rsidRPr="007661ED">
        <w:t>) и най-голямото изселване в историята на Куба, като стотици хиляди напускат страната в търсене на по-добро бъдеще – докато на много хора, които са избягали или са били принудени да напуснат страната, не се разрешава да се завърнат, а да останат в изгнание; като има предвид, че единственият отговор на режима на исканията за промяна е да заеме още по-твърди позиции и да засили репресиите;</w:t>
      </w:r>
    </w:p>
    <w:p w:rsidR="007835D4" w:rsidRPr="007661ED" w:rsidP="007835D4" w14:paraId="3AEA934A" w14:textId="77777777">
      <w:pPr>
        <w:pStyle w:val="NormalHanging12a"/>
        <w:rPr>
          <w:bCs/>
        </w:rPr>
      </w:pPr>
      <w:r w:rsidRPr="007661ED">
        <w:t>Й.</w:t>
      </w:r>
      <w:r w:rsidRPr="007661ED">
        <w:tab/>
        <w:t>като има предвид, че бруталните и непрестанни репресии са единственият механизъм, който поддържа режима жив; като има предвид, че през юли 2021 г. в над петдесет населени места хиляди граждани излязоха по улиците, скандирайки „Свобода!“ – най-голямата вълна от протести от 1994 г. насам, – но протестът им беше смазан от полицията, паравоенните групировки и Комитетите за защита на революцията; като има предвид, че стотици хора бяха произволно задържани и че над 700 бяха съдени в рамките на бързи производства, които Парламентът заклейми като „съдебен фарс“ и които завършиха с присъди до 25 години, което може да представлява престъпления срещу човечеството; като има предвид, че това имаше за цел да послужи като пример и да изпрати следното послание: всеки, който протестира, рискува работата, свободата, семейството или живота си;</w:t>
      </w:r>
    </w:p>
    <w:p w:rsidR="007835D4" w:rsidRPr="007661ED" w:rsidP="007835D4" w14:paraId="54214EF4" w14:textId="77777777">
      <w:pPr>
        <w:pStyle w:val="NormalHanging12a"/>
      </w:pPr>
      <w:r w:rsidRPr="007661ED">
        <w:t>К.</w:t>
      </w:r>
      <w:r w:rsidRPr="007661ED">
        <w:tab/>
        <w:t>като има предвид, че режимът постоянно отказва достъп на делегации на Европейския парламент, на специални докладчици на ООН и на независими наблюдатели, и настоява за изключване на демократичната опозиция и независимото гражданско общество от всякакъв политически диалог;</w:t>
      </w:r>
    </w:p>
    <w:p w:rsidR="007835D4" w:rsidRPr="007661ED" w:rsidP="007835D4" w14:paraId="1CDED503" w14:textId="77777777">
      <w:pPr>
        <w:pStyle w:val="NormalHanging12a"/>
      </w:pPr>
      <w:r w:rsidRPr="007661ED">
        <w:t>Л.</w:t>
      </w:r>
      <w:r w:rsidRPr="007661ED">
        <w:tab/>
        <w:t xml:space="preserve">като има предвид, че през последните месеци се проведоха преговори между режима и администрацията на САЩ, чието съдържание остава неразкрито, и че </w:t>
      </w:r>
      <w:r w:rsidRPr="007661ED">
        <w:t>режимът призна, че преговаря с Вашингтон; като има предвид, че Съединените щати приеха целенасочени санкции срещу висши представители на режима и срещу институциите на неговия апарат за сигурност и армията му, като се позоваха на репресиите на режима в страната и враждебните му дейности в чужбина; като има предвид, че процесът на нормализиране не трябва да бъде за сметка на правата на човека или да води до освобождаване на режима от отговорност;</w:t>
      </w:r>
    </w:p>
    <w:p w:rsidR="007835D4" w:rsidRPr="007661ED" w:rsidP="007835D4" w14:paraId="2B9E9CEC" w14:textId="77777777">
      <w:pPr>
        <w:pStyle w:val="NormalHanging12a"/>
      </w:pPr>
      <w:r w:rsidRPr="007661ED">
        <w:t>М.</w:t>
      </w:r>
      <w:r w:rsidRPr="007661ED">
        <w:tab/>
        <w:t>като има предвид, че режимът поддържа тясно военно сътрудничество с Руската федерация, което включва набирането на хиляди кубински граждани за участие в агресивната война на Русия срещу Украйна, и че това е несъвместимо с духа на Споразумението за политически диалог и сътрудничество и е в разрез с интересите на ЕС в областта на сигурността; като има предвид, че в края на март 2026 г. руски танкер, превозващ приблизително 730 000 барела суров петрол, получи разрешението да акостира на северния бряг на Куба;</w:t>
      </w:r>
    </w:p>
    <w:p w:rsidR="007835D4" w:rsidRPr="007661ED" w:rsidP="007835D4" w14:paraId="7EF6D27C" w14:textId="77777777">
      <w:pPr>
        <w:pStyle w:val="NormalHanging12a"/>
      </w:pPr>
      <w:r w:rsidRPr="007661ED">
        <w:t>Н.</w:t>
      </w:r>
      <w:r w:rsidRPr="007661ED">
        <w:tab/>
        <w:t>като има предвид, че на 2 март 2026 г. над 50 кубински опозиционни организации и организации на гражданското общество в страната или в изгнание представиха пътна карта за демократичен преход – известна като Споразумението за освобождение или Споразумението за свобода, в която се определят три етапа: освобождение, стабилизиране и възстановяване, както и демократизация, – чиято кулминация е провеждането на свободни, честни, многопартийни избори под надзора на международната общност; като има предвид, че всеки преход трябва да бъде ръководен от Куба и да включва всички кубинци от страната и от диаспората;</w:t>
      </w:r>
    </w:p>
    <w:p w:rsidR="007835D4" w:rsidRPr="007661ED" w:rsidP="007835D4" w14:paraId="5DF5ED8F" w14:textId="77777777">
      <w:pPr>
        <w:pStyle w:val="NormalHanging12a"/>
        <w:rPr>
          <w:bCs/>
          <w:iCs/>
        </w:rPr>
      </w:pPr>
      <w:r w:rsidRPr="007661ED">
        <w:t>1.</w:t>
      </w:r>
      <w:r w:rsidRPr="007661ED">
        <w:tab/>
        <w:t>осъжда най-категорично системните репресии, извършвани от кубинския режим – по-специално изтезанията, сексуалното насилие, смъртните заплахи, принудителното недохранване, масовото наблюдение, принудителния труд и съдебното преследване на политически затворници, демонстранти, дисиденти, студенти, религиозни дейци и защитници на правата на човека, – и лишаването от свобода на деца; изразява пълната си солидарност с кубинския народ и с всички лица, преследвани заради защитата на основните си права, включително лидерите на историческата и нововъзникващата демократична опозиция и независимите граждански движения;</w:t>
      </w:r>
    </w:p>
    <w:p w:rsidR="007835D4" w:rsidRPr="007661ED" w:rsidP="007835D4" w14:paraId="3EA7735F" w14:textId="77777777">
      <w:pPr>
        <w:pStyle w:val="NormalHanging12a"/>
        <w:rPr>
          <w:bCs/>
          <w:iCs/>
        </w:rPr>
      </w:pPr>
      <w:r w:rsidRPr="007661ED">
        <w:t>2.</w:t>
      </w:r>
      <w:r w:rsidRPr="007661ED">
        <w:tab/>
        <w:t>изисква незабавното и безусловно освобождаване на всички политически затворници и на всички лица, произволно задържани за упражняване на основните си права, включително малолетните и непълнолетните лица, прекратяване на изтезанията и малтретирането, незабавен достъп до свободни и справедливи съдебни процеси и до медицински грижи за лицата със сериозни здравословни проблеми, както и пълно обезщетение за жертвите на изтезания; изисква режимът да предостави безпрепятствен достъп на Международния комитет на Червения кръст, специалните докладчици и процедури на ООН, делегация на Европейския парламент и независими наблюдатели до всички места за задържане и изразява съжаление във връзка с многократния му отказ да осигури такъв достъп;</w:t>
      </w:r>
    </w:p>
    <w:p w:rsidR="007835D4" w:rsidRPr="007661ED" w:rsidP="007835D4" w14:paraId="3901D6FC" w14:textId="77777777">
      <w:pPr>
        <w:pStyle w:val="NormalHanging12a"/>
      </w:pPr>
      <w:r w:rsidRPr="007661ED">
        <w:t>3.</w:t>
      </w:r>
      <w:r w:rsidRPr="007661ED">
        <w:tab/>
        <w:t xml:space="preserve">счита, че единственият изход от лишенията, бедността и изолацията, пред което е изправен кубинският народ, се състои в извършването на дълбоки икономически и политически промени, водещи незабавно до преход към напълно развита многопартийна демокрация, в която дисидентите не са преследвани, лишавани от </w:t>
      </w:r>
      <w:r w:rsidRPr="007661ED">
        <w:t>свобода, изтезавани или убивани и в която основните права и свободи се зачитат чрез приобщаващ национален диалог за този преход без ограничения;</w:t>
      </w:r>
    </w:p>
    <w:p w:rsidR="007835D4" w:rsidP="007835D4" w14:paraId="16A1425D" w14:textId="77777777">
      <w:pPr>
        <w:pStyle w:val="NormalHanging12a"/>
      </w:pPr>
      <w:r w:rsidRPr="007661ED">
        <w:t>4.</w:t>
      </w:r>
      <w:r w:rsidRPr="007661ED">
        <w:tab/>
        <w:t>настоятелно призовава кубинския режим да предложи устойчиви и съдържателни икономически реформи, които да гарантират правна сигурност и подкрепа за независимите икономически организации, частните инициативи, инвестициите и свободите, като основни начини за избягване на срив;</w:t>
      </w:r>
    </w:p>
    <w:p w:rsidR="009A24AD" w:rsidRPr="007661ED" w:rsidP="007835D4" w14:paraId="41FE1E81" w14:textId="506929A1">
      <w:pPr>
        <w:pStyle w:val="NormalHanging12a"/>
        <w:rPr>
          <w:bCs/>
          <w:iCs/>
        </w:rPr>
      </w:pPr>
      <w:r>
        <w:rPr>
          <w:bCs/>
          <w:iCs/>
        </w:rPr>
        <w:t>5</w:t>
      </w:r>
      <w:r w:rsidRPr="009A24AD">
        <w:rPr>
          <w:bCs/>
          <w:iCs/>
        </w:rPr>
        <w:t>.</w:t>
      </w:r>
      <w:r w:rsidRPr="009A24AD">
        <w:rPr>
          <w:bCs/>
          <w:iCs/>
        </w:rPr>
        <w:tab/>
        <w:t>призовава кубинските органи да защитават правата на човека и да гарантират правото на мирни събрания и свободата на изразяване на мнение без дискриминация въз основа на политическите възгледи; решително осъжда всички нарушения на гражданските и политическите права и свободи, включително произволното задържане, малтретирането, изтезанията, ограниченията на свободата на изразяване на мнение, на сдружаване и на мирни събрания, тормоза на независими журналисти, защитници на правата на човека и участници от гражданското общество, както и непропорционалното използване на наказателни санкции срещу мирни демонстранти;</w:t>
      </w:r>
    </w:p>
    <w:p w:rsidR="007835D4" w:rsidRPr="007661ED" w:rsidP="007835D4" w14:paraId="437BA1D5" w14:textId="0B4E8685">
      <w:pPr>
        <w:pStyle w:val="NormalHanging12a"/>
      </w:pPr>
      <w:r>
        <w:t>6</w:t>
      </w:r>
      <w:r w:rsidRPr="007661ED">
        <w:t>.</w:t>
      </w:r>
      <w:r w:rsidRPr="007661ED">
        <w:tab/>
        <w:t>отново изразява предишните си позиции относно задействането на клаузата за спиране на действието на СПДС и призовава ЗП/ВП и държавите членки да пояснят, че освен ако не се предприемат в краткосрочен план ясни, конкретни и значителни стъпки за въвеждането на такива промени –</w:t>
      </w:r>
      <w:r w:rsidRPr="007661ED">
        <w:tab/>
        <w:t>включително ясно предложение за пътна карта за демократичен преход в Куба, незабавно и безусловно освобождаване на близо 1 300 политически затворници и за даване на разрешение на кубинците, принудени да поемат болезнения път на изгнанието, да се завърнат без репресии – ЕС следва да пристъпи без допълнително забавяне към спиране на действието на СПДС, което системно се нарушава от кубинския режим;</w:t>
      </w:r>
    </w:p>
    <w:p w:rsidR="007835D4" w:rsidRPr="007661ED" w:rsidP="007835D4" w14:paraId="78FC3D1F" w14:textId="5E8B5749">
      <w:pPr>
        <w:pStyle w:val="NormalHanging12a"/>
        <w:rPr>
          <w:bCs/>
          <w:iCs/>
        </w:rPr>
      </w:pPr>
      <w:r>
        <w:t>7</w:t>
      </w:r>
      <w:r w:rsidRPr="007661ED">
        <w:t>.</w:t>
      </w:r>
      <w:r w:rsidRPr="007661ED">
        <w:tab/>
        <w:t>призовава за целенасочени мерки съгласно закона „</w:t>
      </w:r>
      <w:r w:rsidRPr="007661ED">
        <w:t>Магнитски</w:t>
      </w:r>
      <w:r w:rsidRPr="007661ED">
        <w:t>“ на ЕС срещу лицата, отговорни за репресиите, като се започне с най-висшите длъжностни лица на режима, включително Мигел Диас-Канел и висшата командна верига на силовия апарат, съдебната система и местата за лишаване от свобода, както и срещу ръководството на GAESA;</w:t>
      </w:r>
    </w:p>
    <w:p w:rsidR="007835D4" w:rsidRPr="007661ED" w:rsidP="007835D4" w14:paraId="7FC1B8CE" w14:textId="22A0637D">
      <w:pPr>
        <w:pStyle w:val="NormalHanging12a"/>
        <w:rPr>
          <w:bCs/>
          <w:iCs/>
        </w:rPr>
      </w:pPr>
      <w:r>
        <w:t>8</w:t>
      </w:r>
      <w:r w:rsidRPr="007661ED">
        <w:t>.</w:t>
      </w:r>
      <w:r w:rsidRPr="007661ED">
        <w:tab/>
        <w:t>призовава режима да премахне във всичките им форми механизмите за преследване преди извършване на престъпление, използвани за заглушаване и произволно лишаване от свобода на граждани, и да освободи всички лица, осъдени по силата на тези механизми, без да са извършили каквото и да било престъпление;</w:t>
      </w:r>
    </w:p>
    <w:p w:rsidR="007835D4" w:rsidRPr="007661ED" w:rsidP="007835D4" w14:paraId="45DBC26D" w14:textId="7E156F53">
      <w:pPr>
        <w:pStyle w:val="NormalHanging12a"/>
        <w:rPr>
          <w:bCs/>
          <w:iCs/>
        </w:rPr>
      </w:pPr>
      <w:r>
        <w:t>9</w:t>
      </w:r>
      <w:r w:rsidRPr="007661ED">
        <w:t>.</w:t>
      </w:r>
      <w:r w:rsidRPr="007661ED">
        <w:tab/>
        <w:t>призовава за независимо международно разследване на условията в затворите, режима на принудително недохранване и смъртните случаи сред задържани;</w:t>
      </w:r>
    </w:p>
    <w:p w:rsidR="007835D4" w:rsidRPr="007661ED" w:rsidP="007835D4" w14:paraId="1ABEB8BA" w14:textId="175CB6D8">
      <w:pPr>
        <w:pStyle w:val="NormalHanging12a"/>
        <w:rPr>
          <w:bCs/>
          <w:iCs/>
        </w:rPr>
      </w:pPr>
      <w:r>
        <w:t>10</w:t>
      </w:r>
      <w:r w:rsidRPr="007661ED">
        <w:t>.</w:t>
      </w:r>
      <w:r w:rsidRPr="007661ED">
        <w:tab/>
        <w:t>осъжда материалната подкрепа на режима за агресивната война на Русия срещу Украйна, включително набирането на кубински граждани за борба срещу Украйна, и задълбочаващото се военно сътрудничество с Москва, и настоява това да се разглежда като централен елемент от прегледа на ЕС на отношенията му с Куба; осъжда също така присъединяването на режима към режима на Лукашенко в Беларус, включително тесните военни връзки и връзки в областта на сигурността, които подкопават европейската сигурност;</w:t>
      </w:r>
    </w:p>
    <w:p w:rsidR="007835D4" w:rsidRPr="007661ED" w:rsidP="007835D4" w14:paraId="21C164FB" w14:textId="5ADF4154">
      <w:pPr>
        <w:pStyle w:val="NormalHanging12a"/>
      </w:pPr>
      <w:r>
        <w:t>11</w:t>
      </w:r>
      <w:r w:rsidRPr="007661ED">
        <w:t>.</w:t>
      </w:r>
      <w:r w:rsidRPr="007661ED">
        <w:tab/>
        <w:t>настоява независимото гражданско общество и демократичната опозиция да участват, без да бъдат репресирани, във всеки диалог в рамките на СПДС – чието включване се изисква от самото споразумение – и ЕС по никакъв начин да не бъде съучастник в нарушенията на правата на човека на острова, включително в медицинските мисии, включващи принудителен труд, които той изисква режимът да прекрати във всичките им форми;</w:t>
      </w:r>
    </w:p>
    <w:p w:rsidR="007835D4" w:rsidRPr="007661ED" w:rsidP="007835D4" w14:paraId="134BA782" w14:textId="41DA0A95">
      <w:pPr>
        <w:pStyle w:val="NormalHanging12a"/>
        <w:rPr>
          <w:bCs/>
          <w:iCs/>
        </w:rPr>
      </w:pPr>
      <w:r>
        <w:t>12</w:t>
      </w:r>
      <w:r w:rsidRPr="007661ED">
        <w:t>.</w:t>
      </w:r>
      <w:r w:rsidRPr="007661ED">
        <w:tab/>
        <w:t>изразява своята дълбока и неотложна загриженост във връзка с драматичното влошаване на условията на живот в Куба и с нарастващите хуманитарни последици от липсата на достъп до горива, лекарства, храни и други основни стоки и обществени услуги, което засяга по-специално уязвимите групи; призовава Комисията и държавите членки да разработят хуманитарни канали за доставка на енергия, храна и лекарства директно на кубинския народ и независимите предприятия, заобикаляйки държавата, и призовава всички донори да увеличат хуманитарната помощ, която трябва да остане защитена, свободна от държавно посредничество и никога да не финансира режима;</w:t>
      </w:r>
    </w:p>
    <w:p w:rsidR="007835D4" w:rsidRPr="007661ED" w:rsidP="007835D4" w14:paraId="5865F427" w14:textId="64D4D283">
      <w:pPr>
        <w:pStyle w:val="NormalHanging12a"/>
        <w:rPr>
          <w:bCs/>
          <w:iCs/>
        </w:rPr>
      </w:pPr>
      <w:r>
        <w:t>13</w:t>
      </w:r>
      <w:r w:rsidRPr="007661ED">
        <w:t>.</w:t>
      </w:r>
      <w:r w:rsidRPr="007661ED">
        <w:tab/>
        <w:t>изразява готовност да предостави, заедно с международната общност, значителна помощ на Куба чрез канали, независими от правителството, веднага щом страната започне да осъществява надежден демократичен преход, така че да постигне просперитет и да осигури добруването на своите граждани; призовава ЗП/ВП и държавите членки да повдигат тези въпроси последователно на всички съответни форуми и да подкрепят отчетността и мирния, ръководен от гражданите преход;</w:t>
      </w:r>
    </w:p>
    <w:p w:rsidR="007661ED" w:rsidRPr="007661ED" w:rsidP="007661ED" w14:paraId="5A545269" w14:textId="539CEA5E">
      <w:pPr>
        <w:pStyle w:val="NormalHanging12a"/>
      </w:pPr>
      <w:r>
        <w:t>14</w:t>
      </w:r>
      <w:r w:rsidRPr="007661ED" w:rsidR="007835D4">
        <w:t>.</w:t>
      </w:r>
      <w:r w:rsidRPr="007661ED" w:rsidR="007835D4">
        <w:tab/>
        <w:t>възлага на своя председател да предаде настоящата резолюция на Съвета, на Комисията, на ротационното председателство на Съвета, на заместник-председателя на Комисията/върховен представител на Съюза по въпросите на външните работи и политиката на сигурност, на специалния представител на ЕС за правата на човека, на правителствата и парламентите на държавите членки, на Организацията на американските държави, на Организацията на обединените нации, на Евро-латиноамериканската парламентарна асамблея, на Общността на латиноамериканските и карибските държави и на кубинския режим.</w:t>
      </w:r>
    </w:p>
    <w:p w:rsidR="00E365E1" w:rsidRPr="007661ED" w:rsidP="007835D4" w14:paraId="0EB9BDCB" w14:textId="48A82273"/>
    <w:sectPr w:rsidSect="007661ED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BF44D6" w:rsidRPr="007661ED" w14:paraId="053475F0" w14:textId="77777777">
      <w:r w:rsidRPr="007661ED">
        <w:separator/>
      </w:r>
    </w:p>
  </w:footnote>
  <w:footnote w:type="continuationSeparator" w:id="1">
    <w:p w:rsidR="00BF44D6" w:rsidRPr="007661ED" w14:paraId="5321ED97" w14:textId="77777777">
      <w:r w:rsidRPr="007661ED">
        <w:continuationSeparator/>
      </w:r>
    </w:p>
  </w:footnote>
  <w:footnote w:id="2">
    <w:p w:rsidR="007835D4" w:rsidRPr="007661ED" w:rsidP="005C0AB1" w14:paraId="5A5B6FFB" w14:textId="471A1EA7">
      <w:pPr>
        <w:pStyle w:val="FootnoteText"/>
        <w:ind w:left="567" w:hanging="567"/>
        <w:rPr>
          <w:sz w:val="24"/>
          <w:lang w:val="bg-BG"/>
        </w:rPr>
      </w:pPr>
      <w:r w:rsidRPr="007661ED">
        <w:rPr>
          <w:rStyle w:val="FootnoteReference"/>
          <w:sz w:val="24"/>
          <w:lang w:val="bg-BG"/>
        </w:rPr>
        <w:footnoteRef/>
      </w:r>
      <w:r w:rsidRPr="007661ED" w:rsidR="007661ED">
        <w:rPr>
          <w:sz w:val="24"/>
          <w:lang w:val="bg-BG"/>
        </w:rPr>
        <w:t xml:space="preserve"> </w:t>
      </w:r>
      <w:r w:rsidRPr="007661ED" w:rsidR="007661ED">
        <w:rPr>
          <w:sz w:val="24"/>
          <w:lang w:val="bg-BG"/>
        </w:rPr>
        <w:tab/>
      </w:r>
      <w:r w:rsidRPr="007661ED">
        <w:rPr>
          <w:sz w:val="24"/>
          <w:lang w:val="bg-BG"/>
        </w:rPr>
        <w:t xml:space="preserve">ОВ C, C/2024/7213, 10.12.2024 г., ELI: </w:t>
      </w:r>
      <w:hyperlink r:id="rId1" w:history="1">
        <w:r w:rsidR="005C0AB1">
          <w:rPr>
            <w:rStyle w:val="Hyperlink"/>
            <w:sz w:val="24"/>
            <w:lang w:val="bg-BG"/>
          </w:rPr>
          <w:t>http://data.europa.eu/eli/C/2024/7213/oj</w:t>
        </w:r>
      </w:hyperlink>
      <w:r w:rsidRPr="007661ED">
        <w:rPr>
          <w:sz w:val="24"/>
          <w:lang w:val="bg-BG"/>
        </w:rPr>
        <w:t xml:space="preserve"> .</w:t>
      </w:r>
    </w:p>
  </w:footnote>
  <w:footnote w:id="3">
    <w:p w:rsidR="007835D4" w:rsidRPr="007661ED" w:rsidP="005C0AB1" w14:paraId="00E3D27E" w14:textId="3315DEAF">
      <w:pPr>
        <w:pStyle w:val="FootnoteText"/>
        <w:ind w:left="567" w:hanging="567"/>
        <w:rPr>
          <w:sz w:val="24"/>
          <w:lang w:val="bg-BG"/>
        </w:rPr>
      </w:pPr>
      <w:r w:rsidRPr="007661ED">
        <w:rPr>
          <w:rStyle w:val="FootnoteReference"/>
          <w:sz w:val="24"/>
          <w:lang w:val="bg-BG"/>
        </w:rPr>
        <w:footnoteRef/>
      </w:r>
      <w:r w:rsidRPr="007661ED" w:rsidR="007661ED">
        <w:rPr>
          <w:sz w:val="24"/>
          <w:lang w:val="bg-BG"/>
        </w:rPr>
        <w:t xml:space="preserve"> </w:t>
      </w:r>
      <w:r w:rsidRPr="007661ED" w:rsidR="007661ED">
        <w:rPr>
          <w:sz w:val="24"/>
          <w:lang w:val="bg-BG"/>
        </w:rPr>
        <w:tab/>
      </w:r>
      <w:r w:rsidRPr="007661ED">
        <w:rPr>
          <w:sz w:val="24"/>
          <w:lang w:val="bg-BG"/>
        </w:rPr>
        <w:t xml:space="preserve">ОВ C, C/2024/6748, 26.11.2024 г., ELI: </w:t>
      </w:r>
      <w:hyperlink r:id="rId2" w:history="1">
        <w:r w:rsidR="005C0AB1">
          <w:rPr>
            <w:rStyle w:val="Hyperlink"/>
            <w:sz w:val="24"/>
            <w:lang w:val="bg-BG"/>
          </w:rPr>
          <w:t>http://data.europa.eu/eli/C/2024/6748/oj</w:t>
        </w:r>
      </w:hyperlink>
      <w:r w:rsidRPr="007661ED">
        <w:rPr>
          <w:sz w:val="24"/>
          <w:lang w:val="bg-BG"/>
        </w:rPr>
        <w:t>.</w:t>
      </w:r>
    </w:p>
  </w:footnote>
  <w:footnote w:id="4">
    <w:p w:rsidR="007835D4" w:rsidRPr="007661ED" w:rsidP="005C0AB1" w14:paraId="3F0EEB3D" w14:textId="29A34E95">
      <w:pPr>
        <w:pStyle w:val="FootnoteText"/>
        <w:ind w:left="567" w:hanging="567"/>
        <w:rPr>
          <w:sz w:val="24"/>
          <w:lang w:val="bg-BG"/>
        </w:rPr>
      </w:pPr>
      <w:r w:rsidRPr="007661ED">
        <w:rPr>
          <w:rStyle w:val="FootnoteReference"/>
          <w:sz w:val="24"/>
          <w:lang w:val="bg-BG"/>
        </w:rPr>
        <w:footnoteRef/>
      </w:r>
      <w:r w:rsidRPr="007661ED" w:rsidR="007661ED">
        <w:rPr>
          <w:sz w:val="24"/>
          <w:lang w:val="bg-BG"/>
        </w:rPr>
        <w:t xml:space="preserve"> </w:t>
      </w:r>
      <w:r w:rsidRPr="007661ED" w:rsidR="007661ED">
        <w:rPr>
          <w:sz w:val="24"/>
          <w:lang w:val="bg-BG"/>
        </w:rPr>
        <w:tab/>
      </w:r>
      <w:r w:rsidRPr="007661ED">
        <w:rPr>
          <w:sz w:val="24"/>
          <w:lang w:val="bg-BG"/>
        </w:rPr>
        <w:t xml:space="preserve">ОВ C, C/2024/4001, 17.7.2024 г., ELI: </w:t>
      </w:r>
      <w:hyperlink r:id="rId3" w:history="1">
        <w:r w:rsidR="005C0AB1">
          <w:rPr>
            <w:rStyle w:val="Hyperlink"/>
            <w:sz w:val="24"/>
            <w:lang w:val="bg-BG"/>
          </w:rPr>
          <w:t>http://data.europa.eu/eli/C/2024/4001/oj</w:t>
        </w:r>
      </w:hyperlink>
      <w:r w:rsidRPr="007661ED">
        <w:rPr>
          <w:sz w:val="24"/>
          <w:lang w:val="bg-BG"/>
        </w:rPr>
        <w:t>.</w:t>
      </w:r>
    </w:p>
  </w:footnote>
  <w:footnote w:id="5">
    <w:p w:rsidR="007835D4" w:rsidRPr="007661ED" w:rsidP="005C0AB1" w14:paraId="3A63573B" w14:textId="59641084">
      <w:pPr>
        <w:pStyle w:val="FootnoteText"/>
        <w:ind w:left="567" w:hanging="567"/>
        <w:rPr>
          <w:sz w:val="24"/>
          <w:lang w:val="bg-BG"/>
        </w:rPr>
      </w:pPr>
      <w:r w:rsidRPr="007661ED">
        <w:rPr>
          <w:rStyle w:val="FootnoteReference"/>
          <w:sz w:val="24"/>
          <w:lang w:val="bg-BG"/>
        </w:rPr>
        <w:footnoteRef/>
      </w:r>
      <w:r w:rsidRPr="007661ED" w:rsidR="007661ED">
        <w:rPr>
          <w:sz w:val="24"/>
          <w:lang w:val="bg-BG"/>
        </w:rPr>
        <w:t xml:space="preserve"> </w:t>
      </w:r>
      <w:r w:rsidRPr="007661ED" w:rsidR="007661ED">
        <w:rPr>
          <w:sz w:val="24"/>
          <w:lang w:val="bg-BG"/>
        </w:rPr>
        <w:tab/>
      </w:r>
      <w:r w:rsidRPr="007661ED">
        <w:rPr>
          <w:sz w:val="24"/>
          <w:lang w:val="bg-BG"/>
        </w:rPr>
        <w:t>ОВ L 337</w:t>
      </w:r>
      <w:r w:rsidR="00A053B8">
        <w:rPr>
          <w:sz w:val="24"/>
          <w:lang w:val="bg-BG"/>
        </w:rPr>
        <w:t xml:space="preserve"> </w:t>
      </w:r>
      <w:r w:rsidRPr="007661ED">
        <w:rPr>
          <w:sz w:val="24"/>
          <w:lang w:val="bg-BG"/>
        </w:rPr>
        <w:t xml:space="preserve">I, 13.12.2016 г., стр. 3, ELI: </w:t>
      </w:r>
      <w:hyperlink r:id="rId4" w:history="1">
        <w:r w:rsidR="005C0AB1">
          <w:rPr>
            <w:rStyle w:val="Hyperlink"/>
            <w:sz w:val="24"/>
            <w:lang w:val="bg-BG"/>
          </w:rPr>
          <w:t>http://data.europa.eu/eli/agree_internation/2016/2232/oj</w:t>
        </w:r>
      </w:hyperlink>
      <w:r w:rsidRPr="007661ED">
        <w:rPr>
          <w:sz w:val="24"/>
          <w:lang w:val="bg-BG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596602265">
    <w:abstractNumId w:val="9"/>
  </w:num>
  <w:num w:numId="2" w16cid:durableId="1030183372">
    <w:abstractNumId w:val="9"/>
  </w:num>
  <w:num w:numId="3" w16cid:durableId="68042261">
    <w:abstractNumId w:val="7"/>
  </w:num>
  <w:num w:numId="4" w16cid:durableId="1771512068">
    <w:abstractNumId w:val="7"/>
  </w:num>
  <w:num w:numId="5" w16cid:durableId="1626348856">
    <w:abstractNumId w:val="6"/>
  </w:num>
  <w:num w:numId="6" w16cid:durableId="780799371">
    <w:abstractNumId w:val="6"/>
  </w:num>
  <w:num w:numId="7" w16cid:durableId="1044520632">
    <w:abstractNumId w:val="5"/>
  </w:num>
  <w:num w:numId="8" w16cid:durableId="429662510">
    <w:abstractNumId w:val="5"/>
  </w:num>
  <w:num w:numId="9" w16cid:durableId="815149771">
    <w:abstractNumId w:val="4"/>
  </w:num>
  <w:num w:numId="10" w16cid:durableId="1029179331">
    <w:abstractNumId w:val="4"/>
  </w:num>
  <w:num w:numId="11" w16cid:durableId="1978802094">
    <w:abstractNumId w:val="8"/>
  </w:num>
  <w:num w:numId="12" w16cid:durableId="709576129">
    <w:abstractNumId w:val="8"/>
  </w:num>
  <w:num w:numId="13" w16cid:durableId="217672542">
    <w:abstractNumId w:val="3"/>
  </w:num>
  <w:num w:numId="14" w16cid:durableId="225458819">
    <w:abstractNumId w:val="3"/>
  </w:num>
  <w:num w:numId="15" w16cid:durableId="1527448507">
    <w:abstractNumId w:val="2"/>
  </w:num>
  <w:num w:numId="16" w16cid:durableId="1609846186">
    <w:abstractNumId w:val="2"/>
  </w:num>
  <w:num w:numId="17" w16cid:durableId="523329674">
    <w:abstractNumId w:val="1"/>
  </w:num>
  <w:num w:numId="18" w16cid:durableId="1781561077">
    <w:abstractNumId w:val="1"/>
  </w:num>
  <w:num w:numId="19" w16cid:durableId="828791644">
    <w:abstractNumId w:val="0"/>
  </w:num>
  <w:num w:numId="20" w16cid:durableId="1795557698">
    <w:abstractNumId w:val="0"/>
  </w:num>
  <w:num w:numId="21" w16cid:durableId="732855315">
    <w:abstractNumId w:val="9"/>
  </w:num>
  <w:num w:numId="22" w16cid:durableId="235433094">
    <w:abstractNumId w:val="7"/>
  </w:num>
  <w:num w:numId="23" w16cid:durableId="1192383276">
    <w:abstractNumId w:val="6"/>
  </w:num>
  <w:num w:numId="24" w16cid:durableId="668294120">
    <w:abstractNumId w:val="5"/>
  </w:num>
  <w:num w:numId="25" w16cid:durableId="968627594">
    <w:abstractNumId w:val="4"/>
  </w:num>
  <w:num w:numId="26" w16cid:durableId="797525512">
    <w:abstractNumId w:val="8"/>
  </w:num>
  <w:num w:numId="27" w16cid:durableId="1029456281">
    <w:abstractNumId w:val="3"/>
  </w:num>
  <w:num w:numId="28" w16cid:durableId="1508903234">
    <w:abstractNumId w:val="2"/>
  </w:num>
  <w:num w:numId="29" w16cid:durableId="823929503">
    <w:abstractNumId w:val="1"/>
  </w:num>
  <w:num w:numId="30" w16cid:durableId="830752627">
    <w:abstractNumId w:val="0"/>
  </w:num>
  <w:num w:numId="31" w16cid:durableId="884685265">
    <w:abstractNumId w:val="9"/>
  </w:num>
  <w:num w:numId="32" w16cid:durableId="918176839">
    <w:abstractNumId w:val="7"/>
  </w:num>
  <w:num w:numId="33" w16cid:durableId="1748647194">
    <w:abstractNumId w:val="6"/>
  </w:num>
  <w:num w:numId="34" w16cid:durableId="1568152044">
    <w:abstractNumId w:val="5"/>
  </w:num>
  <w:num w:numId="35" w16cid:durableId="1676808624">
    <w:abstractNumId w:val="4"/>
  </w:num>
  <w:num w:numId="36" w16cid:durableId="483933586">
    <w:abstractNumId w:val="8"/>
  </w:num>
  <w:num w:numId="37" w16cid:durableId="1997297143">
    <w:abstractNumId w:val="3"/>
  </w:num>
  <w:num w:numId="38" w16cid:durableId="716734309">
    <w:abstractNumId w:val="2"/>
  </w:num>
  <w:num w:numId="39" w16cid:durableId="213858937">
    <w:abstractNumId w:val="1"/>
  </w:num>
  <w:num w:numId="40" w16cid:durableId="1013606358">
    <w:abstractNumId w:val="0"/>
  </w:num>
  <w:num w:numId="41" w16cid:durableId="2043817202">
    <w:abstractNumId w:val="10"/>
  </w:num>
  <w:num w:numId="42" w16cid:durableId="245118439">
    <w:abstractNumId w:val="10"/>
  </w:num>
  <w:num w:numId="43" w16cid:durableId="1202405628">
    <w:abstractNumId w:val="10"/>
  </w:num>
  <w:num w:numId="44" w16cid:durableId="31977279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4D6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1794"/>
    <w:rsid w:val="002767FF"/>
    <w:rsid w:val="002B18FE"/>
    <w:rsid w:val="002B5493"/>
    <w:rsid w:val="00343214"/>
    <w:rsid w:val="00361C00"/>
    <w:rsid w:val="00395FA1"/>
    <w:rsid w:val="003E15D4"/>
    <w:rsid w:val="00411CCE"/>
    <w:rsid w:val="00415833"/>
    <w:rsid w:val="0041666E"/>
    <w:rsid w:val="00421060"/>
    <w:rsid w:val="00471C19"/>
    <w:rsid w:val="004867E3"/>
    <w:rsid w:val="00494A28"/>
    <w:rsid w:val="004C0004"/>
    <w:rsid w:val="004C5D52"/>
    <w:rsid w:val="004E7BF6"/>
    <w:rsid w:val="0050519A"/>
    <w:rsid w:val="005072A1"/>
    <w:rsid w:val="00514517"/>
    <w:rsid w:val="00545827"/>
    <w:rsid w:val="00560270"/>
    <w:rsid w:val="005C0AB1"/>
    <w:rsid w:val="005C2568"/>
    <w:rsid w:val="005F1B17"/>
    <w:rsid w:val="005F5940"/>
    <w:rsid w:val="006037C0"/>
    <w:rsid w:val="00616563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661ED"/>
    <w:rsid w:val="007835D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A24AD"/>
    <w:rsid w:val="009C0EC3"/>
    <w:rsid w:val="00A053B8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74F58"/>
    <w:rsid w:val="00BD48FE"/>
    <w:rsid w:val="00BD7BD8"/>
    <w:rsid w:val="00BE6ADC"/>
    <w:rsid w:val="00BF44D6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B10-0285, 0286 and 0291/2026"/>
    <w:docVar w:name="dvlangue" w:val="BG"/>
    <w:docVar w:name="dvnumam" w:val="0"/>
    <w:docVar w:name="dvpe" w:val="783.341"/>
    <w:docVar w:name="dvtitre" w:val="Резолюция на Европейския парламент от ... 2026 г. относно политическите репресии и хуманитарната ситуация в Куба(2026/2735(RSP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5B32BFDB"/>
  <w15:chartTrackingRefBased/>
  <w15:docId w15:val="{E37AB193-5BA8-48BE-A6D6-F4F2FB18C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7835D4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7835D4"/>
    <w:pPr>
      <w:spacing w:before="480" w:after="240"/>
    </w:pPr>
  </w:style>
  <w:style w:type="character" w:customStyle="1" w:styleId="EPCommaChar">
    <w:name w:val="EPComma Char"/>
    <w:basedOn w:val="DefaultParagraphFont"/>
    <w:link w:val="EPComma"/>
    <w:rsid w:val="007835D4"/>
    <w:rPr>
      <w:sz w:val="24"/>
      <w:lang w:val="bg-BG"/>
    </w:rPr>
  </w:style>
  <w:style w:type="character" w:customStyle="1" w:styleId="NormalHanging12aChar">
    <w:name w:val="NormalHanging12a Char"/>
    <w:basedOn w:val="DefaultParagraphFont"/>
    <w:link w:val="NormalHanging12a"/>
    <w:rsid w:val="007835D4"/>
    <w:rPr>
      <w:sz w:val="24"/>
      <w:lang w:val="bg-BG"/>
    </w:rPr>
  </w:style>
  <w:style w:type="character" w:customStyle="1" w:styleId="doceo-font-family-base">
    <w:name w:val="doceo-font-family-base"/>
    <w:basedOn w:val="DefaultParagraphFont"/>
    <w:rsid w:val="007835D4"/>
  </w:style>
  <w:style w:type="character" w:styleId="Hyperlink">
    <w:name w:val="Hyperlink"/>
    <w:basedOn w:val="DefaultParagraphFont"/>
    <w:rsid w:val="005C0AB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C0AB1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9A24AD"/>
    <w:rPr>
      <w:sz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C/2024/7213/oj" TargetMode="External" /><Relationship Id="rId2" Type="http://schemas.openxmlformats.org/officeDocument/2006/relationships/hyperlink" Target="http://data.europa.eu/eli/C/2024/6748/oj" TargetMode="External" /><Relationship Id="rId3" Type="http://schemas.openxmlformats.org/officeDocument/2006/relationships/hyperlink" Target="http://data.europa.eu/eli/C/2024/4001/oj" TargetMode="External" /><Relationship Id="rId4" Type="http://schemas.openxmlformats.org/officeDocument/2006/relationships/hyperlink" Target="http://data.europa.eu/eli/agree_internation/2016/2232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7</Pages>
  <Words>2923</Words>
  <Characters>17038</Characters>
  <Application>Microsoft Office Word</Application>
  <DocSecurity>0</DocSecurity>
  <Lines>681</Lines>
  <Paragraphs>138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2026-07-14T06:38:00Z</dcterms:created>
  <dcterms:modified xsi:type="dcterms:W3CDTF">2026-07-14T06:38:00Z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B10-0285, 0286 and 0291/2026</vt:lpwstr>
  </property>
  <property fmtid="{D5CDD505-2E9C-101B-9397-08002B2CF9AE}" pid="4" name="&lt;Type&gt;">
    <vt:lpwstr>RR</vt:lpwstr>
  </property>
</Properties>
</file>