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333DC85" w14:textId="77777777" w:rsidTr="0010095E">
        <w:tblPrEx>
          <w:tblW w:w="9072" w:type="dxa"/>
          <w:tblLook w:val="01E0"/>
        </w:tblPrEx>
        <w:trPr>
          <w:trHeight w:hRule="exact" w:val="1418"/>
        </w:trPr>
        <w:tc>
          <w:tcPr>
            <w:tcW w:w="6804" w:type="dxa"/>
            <w:shd w:val="clear" w:color="auto" w:fill="auto"/>
            <w:vAlign w:val="center"/>
          </w:tcPr>
          <w:p w:rsidR="00751A4A" w:rsidRPr="00E22A32" w:rsidP="0010095E" w14:paraId="68683DF7" w14:textId="77777777">
            <w:pPr>
              <w:pStyle w:val="EPName"/>
            </w:pPr>
            <w:r w:rsidRPr="00E22A32">
              <w:t>Euroopan parlamentti</w:t>
            </w:r>
          </w:p>
          <w:p w:rsidR="00751A4A" w:rsidRPr="00E22A32" w:rsidP="005F1B17" w14:paraId="021E1E8D" w14:textId="77777777">
            <w:pPr>
              <w:pStyle w:val="EPTerm"/>
              <w:rPr>
                <w:rStyle w:val="HideTWBExt"/>
                <w:noProof w:val="0"/>
                <w:vanish w:val="0"/>
                <w:color w:val="auto"/>
              </w:rPr>
            </w:pPr>
            <w:r w:rsidRPr="00E22A32">
              <w:t>2024</w:t>
            </w:r>
            <w:r w:rsidRPr="00E22A32" w:rsidR="00817416">
              <w:t>-202</w:t>
            </w:r>
            <w:r w:rsidRPr="00E22A32">
              <w:t>9</w:t>
            </w:r>
          </w:p>
        </w:tc>
        <w:tc>
          <w:tcPr>
            <w:tcW w:w="2268" w:type="dxa"/>
            <w:shd w:val="clear" w:color="auto" w:fill="auto"/>
          </w:tcPr>
          <w:p w:rsidR="00751A4A" w:rsidRPr="00E22A32" w:rsidP="0010095E" w14:paraId="5886B753" w14:textId="77777777">
            <w:pPr>
              <w:pStyle w:val="EPLogo"/>
            </w:pPr>
            <w:r w:rsidRPr="00E22A3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22A32" w:rsidP="004C5D52" w14:paraId="379FC457" w14:textId="77777777">
      <w:pPr>
        <w:pStyle w:val="LineTop"/>
      </w:pPr>
    </w:p>
    <w:p w:rsidR="00680577" w:rsidRPr="00E22A32" w:rsidP="00680577" w14:paraId="073C1846" w14:textId="77777777">
      <w:pPr>
        <w:pStyle w:val="EPBodyTA1"/>
      </w:pPr>
      <w:r w:rsidRPr="00E22A32">
        <w:t>HYVÄKSYTYT TEKSTIT</w:t>
      </w:r>
    </w:p>
    <w:p w:rsidR="00D058B8" w:rsidRPr="00E22A32" w:rsidP="00D058B8" w14:paraId="277BE0AA" w14:textId="77777777">
      <w:pPr>
        <w:pStyle w:val="LineBottom"/>
      </w:pPr>
    </w:p>
    <w:p w:rsidR="00D02743" w:rsidRPr="00E22A32" w:rsidP="00D02743" w14:paraId="5666AC2E" w14:textId="28C5C987">
      <w:pPr>
        <w:pStyle w:val="ATHeading1"/>
      </w:pPr>
      <w:bookmarkStart w:id="0" w:name="TANumber"/>
      <w:r w:rsidRPr="00E22A32">
        <w:t>P10_TA(2026)0</w:t>
      </w:r>
      <w:r w:rsidRPr="00E22A32" w:rsidR="00556DC5">
        <w:t>229</w:t>
      </w:r>
      <w:bookmarkEnd w:id="0"/>
    </w:p>
    <w:p w:rsidR="00D02743" w:rsidRPr="00E22A32" w:rsidP="00D02743" w14:paraId="3BE8330F" w14:textId="77777777">
      <w:pPr>
        <w:pStyle w:val="ATHeading2"/>
      </w:pPr>
      <w:bookmarkStart w:id="1" w:name="title"/>
      <w:r w:rsidRPr="00E22A32">
        <w:t>Poliittinen vaino ja humanitaarinen tilanne Kuubassa</w:t>
      </w:r>
      <w:bookmarkEnd w:id="1"/>
    </w:p>
    <w:p w:rsidR="00D02743" w:rsidRPr="00E22A32" w:rsidP="00D02743" w14:paraId="55FB91D3" w14:textId="38BDA6CD">
      <w:pPr>
        <w:rPr>
          <w:i/>
          <w:vanish/>
        </w:rPr>
      </w:pPr>
      <w:r>
        <w:rPr>
          <w:i/>
        </w:rPr>
        <w:fldChar w:fldCharType="begin"/>
      </w:r>
      <w:r w:rsidRPr="00E22A32">
        <w:rPr>
          <w:i/>
        </w:rPr>
        <w:instrText xml:space="preserve"> TC"(</w:instrText>
      </w:r>
      <w:bookmarkStart w:id="2" w:name="DocNumber"/>
      <w:r w:rsidRPr="00E22A32">
        <w:rPr>
          <w:i/>
        </w:rPr>
        <w:instrText>B10-0285</w:instrText>
      </w:r>
      <w:r w:rsidRPr="00E22A32" w:rsidR="007B6738">
        <w:rPr>
          <w:i/>
        </w:rPr>
        <w:instrText>, 0286 ja 0291</w:instrText>
      </w:r>
      <w:r w:rsidRPr="00E22A32">
        <w:rPr>
          <w:i/>
        </w:rPr>
        <w:instrText>/2026</w:instrText>
      </w:r>
      <w:bookmarkEnd w:id="2"/>
      <w:r w:rsidRPr="00E22A32">
        <w:rPr>
          <w:i/>
        </w:rPr>
        <w:instrText xml:space="preserve">)"\l3 \n&gt; \* MERGEFORMAT </w:instrText>
      </w:r>
      <w:r>
        <w:rPr>
          <w:i/>
        </w:rPr>
        <w:fldChar w:fldCharType="end"/>
      </w:r>
    </w:p>
    <w:p w:rsidR="00D02743" w:rsidRPr="00E22A32" w:rsidP="00D02743" w14:paraId="2F164184" w14:textId="77777777">
      <w:pPr>
        <w:rPr>
          <w:vanish/>
        </w:rPr>
      </w:pPr>
      <w:bookmarkStart w:id="3" w:name="PE"/>
      <w:r w:rsidRPr="00E22A32">
        <w:rPr>
          <w:vanish/>
        </w:rPr>
        <w:t>PE783.341</w:t>
      </w:r>
      <w:bookmarkEnd w:id="3"/>
    </w:p>
    <w:p w:rsidR="00D02743" w:rsidRPr="00E22A32" w:rsidP="00D02743" w14:paraId="03DC3415" w14:textId="77777777">
      <w:pPr>
        <w:pStyle w:val="ATHeading3"/>
      </w:pPr>
      <w:bookmarkStart w:id="4" w:name="Sujet"/>
      <w:r w:rsidRPr="00E22A32">
        <w:t>Euroopan parlamentin päätöslauselma 18. kesäkuuta 2026 poliittisesta vainosta ja humanitaarisesta tilanteesta Kuubassa</w:t>
      </w:r>
      <w:bookmarkEnd w:id="4"/>
      <w:r w:rsidRPr="00E22A32">
        <w:t xml:space="preserve"> </w:t>
      </w:r>
      <w:bookmarkStart w:id="5" w:name="References"/>
      <w:r w:rsidRPr="00E22A32">
        <w:t>(2026/2735(RSP))</w:t>
      </w:r>
      <w:bookmarkEnd w:id="5"/>
    </w:p>
    <w:p w:rsidR="005574FA" w:rsidRPr="00E22A32" w:rsidP="005574FA" w14:paraId="2BEAC60A" w14:textId="77777777">
      <w:pPr>
        <w:pStyle w:val="EPComma"/>
        <w:widowControl/>
      </w:pPr>
      <w:bookmarkStart w:id="6" w:name="TextBodyBegin"/>
      <w:bookmarkEnd w:id="6"/>
      <w:r w:rsidRPr="00E22A32">
        <w:rPr>
          <w:i/>
          <w:iCs/>
        </w:rPr>
        <w:t>Euroopan parlamentti</w:t>
      </w:r>
      <w:r w:rsidRPr="00E22A32">
        <w:t>, joka</w:t>
      </w:r>
    </w:p>
    <w:p w:rsidR="005574FA" w:rsidRPr="00E22A32" w:rsidP="005574FA" w14:paraId="68BC47C5" w14:textId="77777777">
      <w:pPr>
        <w:pStyle w:val="NormalHanging12a"/>
        <w:widowControl/>
      </w:pPr>
      <w:r w:rsidRPr="00E22A32">
        <w:t>–</w:t>
      </w:r>
      <w:r w:rsidRPr="00E22A32">
        <w:tab/>
        <w:t xml:space="preserve">ottaa huomioon Kuuban tilanteesta aiemmin antamansa päätöslauselmat, erityisesti päätöslauselmat 19. syyskuuta 2024 José Daniel </w:t>
      </w:r>
      <w:r w:rsidRPr="00E22A32">
        <w:t>Ferrer</w:t>
      </w:r>
      <w:r w:rsidRPr="00E22A32">
        <w:t xml:space="preserve"> Garcían tapauksesta Kuubassa</w:t>
      </w:r>
      <w:r>
        <w:rPr>
          <w:rStyle w:val="FootnoteReference"/>
        </w:rPr>
        <w:footnoteReference w:id="2"/>
      </w:r>
      <w:r w:rsidRPr="00E22A32">
        <w:t>, 29. helmikuuta 2024 Kuuban kriittisestä tilanteesta</w:t>
      </w:r>
      <w:r>
        <w:rPr>
          <w:rStyle w:val="FootnoteReference"/>
        </w:rPr>
        <w:footnoteReference w:id="3"/>
      </w:r>
      <w:r w:rsidRPr="00E22A32">
        <w:t xml:space="preserve"> ja 12. heinäkuuta 2023 EU:n ja Kuuban välisen poliittista vuoropuhelua ja yhteistyötä koskevan sopimuksen tilanteesta korkean edustajan vierailtua äskettäin Kuubassa</w:t>
      </w:r>
      <w:r>
        <w:rPr>
          <w:rStyle w:val="FootnoteReference"/>
        </w:rPr>
        <w:footnoteReference w:id="4"/>
      </w:r>
      <w:r w:rsidRPr="00E22A32">
        <w:t>,</w:t>
      </w:r>
    </w:p>
    <w:p w:rsidR="005574FA" w:rsidRPr="00E22A32" w:rsidP="005574FA" w14:paraId="1A1A3E1D" w14:textId="77777777">
      <w:pPr>
        <w:pStyle w:val="NormalHanging12a"/>
        <w:widowControl/>
      </w:pPr>
      <w:r w:rsidRPr="00E22A32">
        <w:t>–</w:t>
      </w:r>
      <w:r w:rsidRPr="00E22A32">
        <w:tab/>
        <w:t>ottaa huomioon poliittista vuoropuhelua ja yhteistyötä koskevan Euroopan unionin ja sen jäsenvaltioiden sekä Kuuban tasavallan välisen sopimuksen</w:t>
      </w:r>
      <w:r>
        <w:rPr>
          <w:rStyle w:val="FootnoteReference"/>
        </w:rPr>
        <w:footnoteReference w:id="5"/>
      </w:r>
      <w:r w:rsidRPr="00E22A32">
        <w:t>, joka allekirjoitettiin joulukuussa 2016 ja jota on sovellettu väliaikaisesti 1. päivästä marraskuuta 2017, ja erityisesti sen 1 artiklan 5 kohdan ihmisoikeuslausekkeen ja 85 artiklan 3 kohdan b alakohdan keskeyttämislausekkeen,</w:t>
      </w:r>
    </w:p>
    <w:p w:rsidR="005574FA" w:rsidRPr="00E22A32" w:rsidP="005574FA" w14:paraId="7BCDA770" w14:textId="77777777">
      <w:pPr>
        <w:pStyle w:val="NormalHanging12a"/>
        <w:widowControl/>
      </w:pPr>
      <w:r w:rsidRPr="00E22A32">
        <w:t>–</w:t>
      </w:r>
      <w:r w:rsidRPr="00E22A32">
        <w:tab/>
        <w:t>ottaa huomioon 5. heinäkuuta 2017 poliittista vuoropuhelua ja yhteistyötä koskevalle sopimukselle antamansa hyväksynnän, jonka edellytyksenä oli ihmisoikeuksien ja perusvapauksien konkreettinen paraneminen Kuubassa,</w:t>
      </w:r>
    </w:p>
    <w:p w:rsidR="005574FA" w:rsidRPr="00E22A32" w:rsidP="005574FA" w14:paraId="1B9D69C7" w14:textId="77777777">
      <w:pPr>
        <w:pStyle w:val="NormalHanging12a"/>
        <w:widowControl/>
      </w:pPr>
      <w:r w:rsidRPr="00E22A32">
        <w:t>–</w:t>
      </w:r>
      <w:r w:rsidRPr="00E22A32">
        <w:tab/>
        <w:t xml:space="preserve">ottaa huomioon EU:n maailmanlaajuisen ihmisoikeuspakotejärjestelmän (EU:n </w:t>
      </w:r>
      <w:r w:rsidRPr="00E22A32">
        <w:t>Magnitski</w:t>
      </w:r>
      <w:r w:rsidRPr="00E22A32">
        <w:t>-laki),</w:t>
      </w:r>
    </w:p>
    <w:p w:rsidR="005574FA" w:rsidRPr="00E22A32" w:rsidP="005574FA" w14:paraId="00EFB4F7" w14:textId="77777777">
      <w:pPr>
        <w:pStyle w:val="NormalHanging12a"/>
        <w:widowControl/>
      </w:pPr>
      <w:r w:rsidRPr="00E22A32">
        <w:t>–</w:t>
      </w:r>
      <w:r w:rsidRPr="00E22A32">
        <w:tab/>
        <w:t>ottaa huomioon ihmisoikeuksien yleismaailmallisen julistuksen, kansalaisoikeuksia ja poliittisia oikeuksia koskevan kansainvälisen yleissopimuksen, kidutuksen ja muun julman, epäinhimillisen tai halventavan kohtelun tai rangaistuksen vastaisen YK:n yleissopimuksen sekä YK:n yleissopimuksen lapsen oikeuksista, joiden kaikkien osapuoli Kuuba on,</w:t>
      </w:r>
    </w:p>
    <w:p w:rsidR="005574FA" w:rsidRPr="00E22A32" w:rsidP="005574FA" w14:paraId="06FE07A7" w14:textId="77777777">
      <w:pPr>
        <w:pStyle w:val="NormalHanging12a"/>
        <w:widowControl/>
      </w:pPr>
      <w:r w:rsidRPr="00E22A32">
        <w:t>–</w:t>
      </w:r>
      <w:r w:rsidRPr="00E22A32">
        <w:tab/>
        <w:t xml:space="preserve">ottaa huomioon </w:t>
      </w:r>
      <w:r w:rsidRPr="00E22A32">
        <w:t>Prisoners</w:t>
      </w:r>
      <w:r w:rsidRPr="00E22A32">
        <w:t xml:space="preserve"> </w:t>
      </w:r>
      <w:r w:rsidRPr="00E22A32">
        <w:t>Defenders</w:t>
      </w:r>
      <w:r w:rsidRPr="00E22A32">
        <w:t xml:space="preserve"> -kansalaisjärjestön raportit ja etenkin sen kuukausittaisen raportin toukokuulta 2026, joka julkaistiin 11. kesäkuuta 2026 ja joka käsittelee kidutusta, oikeudenmukaisen menettelyn rakenteellista rikkomista, ”rikosta </w:t>
      </w:r>
      <w:r w:rsidRPr="00E22A32">
        <w:t>edeltävästä yhteiskunnallisesta vaarallisuudesta” annettuja tuomioita, digitaalista valvontaa ja pakotettua aliravitsemusta Kuuban vankiloissa;</w:t>
      </w:r>
    </w:p>
    <w:p w:rsidR="005574FA" w:rsidRPr="00E22A32" w:rsidP="005574FA" w14:paraId="5A7853AE" w14:textId="77777777">
      <w:pPr>
        <w:pStyle w:val="NormalHanging12a"/>
        <w:widowControl/>
      </w:pPr>
      <w:r w:rsidRPr="00E22A32">
        <w:t>–</w:t>
      </w:r>
      <w:r w:rsidRPr="00E22A32">
        <w:tab/>
        <w:t xml:space="preserve">ottaa huomioon ulkoasiainvaliokuntansa ja ihmisoikeuksien alivaliokuntansa 5. toukokuuta 2026 pitämän yhteisen kuulemisen Kuuban ihmisoikeustilanteesta sekä Amerikan valtioiden ihmisoikeustoimikunnan (IACHR) Kuubasta vastaavan esittelijän </w:t>
      </w:r>
      <w:r w:rsidRPr="00E22A32">
        <w:t>Stuardo</w:t>
      </w:r>
      <w:r w:rsidRPr="00E22A32">
        <w:t xml:space="preserve"> </w:t>
      </w:r>
      <w:r w:rsidRPr="00E22A32">
        <w:t>Ralón</w:t>
      </w:r>
      <w:r w:rsidRPr="00E22A32">
        <w:t xml:space="preserve"> </w:t>
      </w:r>
      <w:r w:rsidRPr="00E22A32">
        <w:t>Orellanan</w:t>
      </w:r>
      <w:r w:rsidRPr="00E22A32">
        <w:t xml:space="preserve"> ja Kuuban oppositiojohtajan ja entisen poliittisen vangin José Daniel </w:t>
      </w:r>
      <w:r w:rsidRPr="00E22A32">
        <w:t>Ferrerin</w:t>
      </w:r>
      <w:r w:rsidRPr="00E22A32">
        <w:t xml:space="preserve"> esittämät todistajanlausunnot,</w:t>
      </w:r>
    </w:p>
    <w:p w:rsidR="005574FA" w:rsidRPr="00E22A32" w:rsidP="005574FA" w14:paraId="552F2086" w14:textId="77777777">
      <w:pPr>
        <w:pStyle w:val="NormalHanging12a"/>
        <w:widowControl/>
      </w:pPr>
      <w:r w:rsidRPr="00E22A32">
        <w:t>–</w:t>
      </w:r>
      <w:r w:rsidRPr="00E22A32">
        <w:tab/>
        <w:t xml:space="preserve">ottaa huomioon komission varapuheenjohtajan / unionin ulkoasioiden ja turvallisuuspolitiikan korkean edustajan </w:t>
      </w:r>
      <w:r w:rsidRPr="00E22A32">
        <w:t>Kaja</w:t>
      </w:r>
      <w:r w:rsidRPr="00E22A32">
        <w:t xml:space="preserve"> </w:t>
      </w:r>
      <w:r w:rsidRPr="00E22A32">
        <w:t>Kallasin</w:t>
      </w:r>
      <w:r w:rsidRPr="00E22A32">
        <w:t xml:space="preserve"> parlamentin täysistunnossa pitämät puheet, erityisesti 6. toukokuuta 2025 ja 19. toukokuuta 2026 pidetyt puheet, ja EU:n ja Kuuban ihmisoikeusvuoropuhelut,</w:t>
      </w:r>
    </w:p>
    <w:p w:rsidR="005574FA" w:rsidRPr="00E22A32" w:rsidP="005574FA" w14:paraId="0BFFA2D4" w14:textId="77777777">
      <w:pPr>
        <w:pStyle w:val="NormalHanging12a"/>
        <w:widowControl/>
      </w:pPr>
      <w:r w:rsidRPr="00E22A32">
        <w:t>–</w:t>
      </w:r>
      <w:r w:rsidRPr="00E22A32">
        <w:tab/>
        <w:t xml:space="preserve">ottaa huomioon </w:t>
      </w:r>
      <w:r w:rsidRPr="00E22A32">
        <w:t>IACHR:n</w:t>
      </w:r>
      <w:r w:rsidRPr="00E22A32">
        <w:t xml:space="preserve"> 25. maaliskuuta 2026 antaman julkilausuman Kuubasta,</w:t>
      </w:r>
    </w:p>
    <w:p w:rsidR="005574FA" w:rsidRPr="00E22A32" w:rsidP="005574FA" w14:paraId="691652F0" w14:textId="77777777">
      <w:pPr>
        <w:pStyle w:val="NormalHanging12a"/>
        <w:widowControl/>
      </w:pPr>
      <w:r w:rsidRPr="00E22A32">
        <w:t>–</w:t>
      </w:r>
      <w:r w:rsidRPr="00E22A32">
        <w:tab/>
        <w:t xml:space="preserve">ottaa huomioon Kuuban oppositiokoalitioiden eli </w:t>
      </w:r>
      <w:r w:rsidRPr="00E22A32">
        <w:t>Pasos</w:t>
      </w:r>
      <w:r w:rsidRPr="00E22A32">
        <w:t xml:space="preserve"> de </w:t>
      </w:r>
      <w:r w:rsidRPr="00E22A32">
        <w:t>Cambion</w:t>
      </w:r>
      <w:r w:rsidRPr="00E22A32">
        <w:t xml:space="preserve"> ja </w:t>
      </w:r>
      <w:r w:rsidRPr="00E22A32">
        <w:t>Asamblea</w:t>
      </w:r>
      <w:r w:rsidRPr="00E22A32">
        <w:t xml:space="preserve"> de la </w:t>
      </w:r>
      <w:r w:rsidRPr="00E22A32">
        <w:t>Resistencia</w:t>
      </w:r>
      <w:r w:rsidRPr="00E22A32">
        <w:t xml:space="preserve"> </w:t>
      </w:r>
      <w:r w:rsidRPr="00E22A32">
        <w:t>Cubanan</w:t>
      </w:r>
      <w:r w:rsidRPr="00E22A32">
        <w:t xml:space="preserve"> (</w:t>
      </w:r>
      <w:r w:rsidRPr="00E22A32">
        <w:t>ARC</w:t>
      </w:r>
      <w:r w:rsidRPr="00E22A32">
        <w:t>) Miamissa 2. maaliskuuta 2026 allekirjoittaman vapaussopimuksen (vapautussopimuksen),</w:t>
      </w:r>
    </w:p>
    <w:p w:rsidR="005574FA" w:rsidRPr="00E22A32" w:rsidP="005574FA" w14:paraId="1878BCAC" w14:textId="77777777">
      <w:pPr>
        <w:pStyle w:val="NormalHanging12a"/>
        <w:widowControl/>
      </w:pPr>
      <w:r w:rsidRPr="00E22A32">
        <w:t>–</w:t>
      </w:r>
      <w:r w:rsidRPr="00E22A32">
        <w:tab/>
        <w:t xml:space="preserve">ottaa huomioon </w:t>
      </w:r>
      <w:r w:rsidRPr="00E22A32">
        <w:t>IACHR:n</w:t>
      </w:r>
      <w:r w:rsidRPr="00E22A32">
        <w:t xml:space="preserve"> 12. kesäkuuta 2023 antaman raportin oikeuksien puolustajien </w:t>
      </w:r>
      <w:r w:rsidRPr="00E22A32">
        <w:t>Oswaldo</w:t>
      </w:r>
      <w:r w:rsidRPr="00E22A32">
        <w:t xml:space="preserve"> </w:t>
      </w:r>
      <w:r w:rsidRPr="00E22A32">
        <w:t>Payán</w:t>
      </w:r>
      <w:r w:rsidRPr="00E22A32">
        <w:t xml:space="preserve"> ja Harold </w:t>
      </w:r>
      <w:r w:rsidRPr="00E22A32">
        <w:t>Ceperon</w:t>
      </w:r>
      <w:r w:rsidRPr="00E22A32">
        <w:t xml:space="preserve"> tapauksesta Kuubassa,</w:t>
      </w:r>
    </w:p>
    <w:p w:rsidR="005574FA" w:rsidRPr="00E22A32" w:rsidP="005574FA" w14:paraId="6AEAD325" w14:textId="77777777">
      <w:pPr>
        <w:pStyle w:val="NormalHanging12a"/>
        <w:widowControl/>
      </w:pPr>
      <w:r w:rsidRPr="00E22A32">
        <w:t>–</w:t>
      </w:r>
      <w:r w:rsidRPr="00E22A32">
        <w:tab/>
        <w:t xml:space="preserve">ottaa huomioon Yhdysvaltojen Floridan eteläisen piirin alioikeudessa 20. toukokuuta 2026 julkistetun syytekirjelmän, jossa Raúl Castroa ja viittä muuta virkamiestä syytetään kahden </w:t>
      </w:r>
      <w:r w:rsidRPr="00E22A32">
        <w:t>Hermanos</w:t>
      </w:r>
      <w:r w:rsidRPr="00E22A32">
        <w:t xml:space="preserve"> </w:t>
      </w:r>
      <w:r w:rsidRPr="00E22A32">
        <w:t>al</w:t>
      </w:r>
      <w:r w:rsidRPr="00E22A32">
        <w:t xml:space="preserve"> </w:t>
      </w:r>
      <w:r w:rsidRPr="00E22A32">
        <w:t>Rescate</w:t>
      </w:r>
      <w:r w:rsidRPr="00E22A32">
        <w:t xml:space="preserve"> -järjestölle kuuluvan siviililentokoneen ampumisesta alas vuonna 1996,</w:t>
      </w:r>
    </w:p>
    <w:p w:rsidR="005574FA" w:rsidRPr="00E22A32" w:rsidP="005574FA" w14:paraId="4DB32947" w14:textId="77777777">
      <w:pPr>
        <w:pStyle w:val="NormalHanging12a"/>
        <w:widowControl/>
      </w:pPr>
      <w:r w:rsidRPr="00E22A32">
        <w:t>–</w:t>
      </w:r>
      <w:r w:rsidRPr="00E22A32">
        <w:tab/>
        <w:t>ottaa huomioon työjärjestyksen 136 artiklan 2 ja 4 kohdan,</w:t>
      </w:r>
    </w:p>
    <w:p w:rsidR="005574FA" w:rsidRPr="00E22A32" w:rsidP="005574FA" w14:paraId="6D4365ED" w14:textId="77777777">
      <w:pPr>
        <w:pStyle w:val="NormalHanging12a"/>
        <w:widowControl/>
      </w:pPr>
      <w:r w:rsidRPr="00E22A32">
        <w:t>A.</w:t>
      </w:r>
      <w:r w:rsidRPr="00E22A32">
        <w:tab/>
        <w:t>ottaa huomioon, että yli viisi vuosikymmentä jatkuneen Kuuban kommunistihallinnon toteuttamat poliittiset ja taloudelliset valinnat ovat ajaneet maan perikatoon, jota leimaavat jopa 22 tunnin päivittäiset sähkökatkokset, akuutti pula elintarvikkeista, vedestä, polttoaineista ja lääkkeistä ja laajalle levinnyt köyhyys, ja ottaa huomioon, että yksipuoluejärjestelmästä on säädetty perustuslaissa ja sitä on nyt kestänyt yli 67 vuotta ja se on ainoa sallittu poliittinen voima; ottaa huomioon, että tämän pysähtyneisyyteen, sortoon ja muutosvastaisuuteen perustuvan poliittisen ja taloudellisen mallin romahtaminen yhdistettynä vapaiden, oikeudenmukaisten ja kilpailuun perustuvien vaalien puuttumiseen ja poliittisen moniarvoisuuden kieltämiseen vie Kuuban yhä lähemmäksi toimintakykynsä menettäneen valtion ominaispiirteitä, ja toteaa, että maa on epädemokraattinen poikkeus alueella;</w:t>
      </w:r>
    </w:p>
    <w:p w:rsidR="005574FA" w:rsidRPr="00E22A32" w:rsidP="005574FA" w14:paraId="4DAA2CD5" w14:textId="77777777">
      <w:pPr>
        <w:pStyle w:val="NormalHanging12a"/>
        <w:widowControl/>
      </w:pPr>
      <w:r w:rsidRPr="00E22A32">
        <w:t>B.</w:t>
      </w:r>
      <w:r w:rsidRPr="00E22A32">
        <w:tab/>
        <w:t xml:space="preserve">ottaa huomioon, että </w:t>
      </w:r>
      <w:r w:rsidRPr="00E22A32">
        <w:t>Prisoners</w:t>
      </w:r>
      <w:r w:rsidRPr="00E22A32">
        <w:t xml:space="preserve"> </w:t>
      </w:r>
      <w:r w:rsidRPr="00E22A32">
        <w:t>Defenders</w:t>
      </w:r>
      <w:r w:rsidRPr="00E22A32">
        <w:t xml:space="preserve"> -kansalaisjärjestön mukaan Kuubassa oli toukokuun 2026 lopussa enemmän poliittisia vankeja kuin koskaan aikaisemmin, eli 1 281, joiden joukossa oli myös alaikäisiä, joista osaa pidettiin aikuisten vankien joukossa korkean turvatason vankilassa, sekä monia vakavasti sairaita vankeja, muun muassa urheilijoita, taiteilijoita, riippumattomia journalisteja ja rauhanomaisia aktivisteja; ottaa huomioon, että järjestö on dokumentoinut pidätettyihin kohdistuvia järjestelmällistä kidutusta, seksuaalista väkivaltaa ja tappouhkauksia ja todennut tilastollisesti edustavassa tutkimuksessa, että jokaista tarkasteltua poliittista vankia, myös alaikäisiä, oli kidutettu ja heiltä oli evätty lääketieteellinen hoito, tilanteessa, jota leimasivat toistuvat mielivaltaiset pidätykset ja eristysvankeus, tahdonvastaiset </w:t>
      </w:r>
      <w:r w:rsidRPr="00E22A32">
        <w:t xml:space="preserve">tilapäiset katoamiset ja perheiden häirintä; toteaa, että Kuuban isänmaallisen liiton perustajan ja mielipidevangin José Daniel </w:t>
      </w:r>
      <w:r w:rsidRPr="00E22A32">
        <w:t>Ferrerin</w:t>
      </w:r>
      <w:r w:rsidRPr="00E22A32">
        <w:t>, jonka vapauttamista parlamentti on toistuvasti vaatinut, tapaus on tyypillinen esimerkki hallinnon toimintatavoista, ja ottaa huomioon, että hän joutui lopulta lähtemään maanpakoon lokakuussa 2025;</w:t>
      </w:r>
    </w:p>
    <w:p w:rsidR="005574FA" w:rsidRPr="00E22A32" w:rsidP="005574FA" w14:paraId="1486CB69" w14:textId="77777777">
      <w:pPr>
        <w:pStyle w:val="NormalHanging12a"/>
        <w:widowControl/>
      </w:pPr>
      <w:r w:rsidRPr="00E22A32">
        <w:t>C.</w:t>
      </w:r>
      <w:r w:rsidRPr="00E22A32">
        <w:tab/>
        <w:t>ottaa huomioon, että tavalliset kuubalaiset elävät arkeaan oloissa, joissa sairaalat eivät pysty toimimaan normaalisti eikä niissä ole peruslääkkeitä ja potilaita kehotetaan tuomaan sairaalaan tullessaan mukanaan omat tarvikkeensa ja elintarvikkeista, vedestä ja välttämättömistä hyödykkeistä vallitsee krooninen pula ja niitä myydään ainoastaan dollarikaupoissa, joissa hinnat ovat valtion tavanomaisilla palkoilla elävien ulottumattomissa; panee merkille, että Kuuban ihmisoikeuksien seurantakeskuksen mukaan 89 prosenttia kuubalaisista perheistä elää äärimmäisessä köyhyydessä ja seitsemän kymmenestä kuubalaisesta joutuu jättämään väliin aterioita, kun taas YK:n mukaan leikkausjonossa odottaa yli 96 000 potilasta, joista 11 000 on lapsia, ja noin miljoona ihmistä on riippuvaisia veden rekkakuljetuksista, joita dieselpula rajoittaa vakavasti;</w:t>
      </w:r>
    </w:p>
    <w:p w:rsidR="005574FA" w:rsidRPr="00E22A32" w:rsidP="005574FA" w14:paraId="1236416E" w14:textId="77777777">
      <w:pPr>
        <w:pStyle w:val="NormalHanging12a"/>
        <w:widowControl/>
      </w:pPr>
      <w:r w:rsidRPr="00E22A32">
        <w:t>D.</w:t>
      </w:r>
      <w:r w:rsidRPr="00E22A32">
        <w:tab/>
        <w:t>ottaa huomioon, että huhtikuussa 2026 EU myönsi 2 miljoonaa euroa lisää humanitaarista apua Karibian alueelle tänä vuonna jo myönnettyjen 4 miljoonan euron lisäksi tukeakseen humanitaarisia kumppaneita, jotka toimittavat kiireellistä apua kaikkein heikoimmassa asemassa oleville; ottaa huomioon, että Kuubaa koskeva päivitetty YK:n toimintasuunnitelma, jolla pyritään auttamaan noin kahta miljoonaa ihmistä, on edelleen erittäin alirahoitettu, sillä YK:n mobilisoimista 26,2 miljoonasta Yhdysvaltain dollarista huolimatta vaje on edelleen 68 miljoonaa Yhdysvaltain dollaria;</w:t>
      </w:r>
    </w:p>
    <w:p w:rsidR="005574FA" w:rsidRPr="00E22A32" w:rsidP="005574FA" w14:paraId="4678DAF9" w14:textId="77777777">
      <w:pPr>
        <w:pStyle w:val="NormalHanging12a"/>
        <w:widowControl/>
      </w:pPr>
      <w:r w:rsidRPr="00E22A32">
        <w:t>E.</w:t>
      </w:r>
      <w:r w:rsidRPr="00E22A32">
        <w:tab/>
        <w:t>ottaa huomioon, että Kuuban kumulatiivinen inflaatio neljän viime vuoden aikana on yli 500 prosenttia, kun valtion kuukausipalkat vastaavat 15–25:tä Yhdysvaltain dollaria pimeillä valuutanvaihtomarkkinoilla, joiden tarjoama vaihtokurssi on Kuuban valuutan ainoa realistinen vaihtokurssi; ottaa huomioon, että hallinto on tehnyt maasta riippuvaisen tuontipolttoaineesta ja että sen perinteiset toimittajat Venäjä ja Venezuela ovat rajoittaneet toimituksia, mikä on syventänyt energiahätätilaa ja johtanut pahimmillaan kansallisen sähköverkon täydelliseen romahtamiseen useiden päivien ajaksi lokakuussa 2024, jolloin 11 miljoonaa ihmistä oli vailla sähköä;</w:t>
      </w:r>
    </w:p>
    <w:p w:rsidR="005574FA" w:rsidRPr="00E22A32" w:rsidP="005574FA" w14:paraId="25755D46" w14:textId="77777777">
      <w:pPr>
        <w:pStyle w:val="NormalHanging12a"/>
        <w:widowControl/>
      </w:pPr>
      <w:r w:rsidRPr="00E22A32">
        <w:t>F.</w:t>
      </w:r>
      <w:r w:rsidRPr="00E22A32">
        <w:tab/>
        <w:t>ottaa huomioon, että vaikka Kuuba trooppisena ja maaperältään hedelmällisenä maana oli aiemmin yksi maailman suurimmista sokerintuottajista, se tuo nykyään yli 70 prosenttia kuluttamistaan elintarvikkeista, ja toteaa, että tämä romahdus on suoraa seurausta maassa vuosikymmeniä voimassa olleista kollektiivisesta, valtion valvomasta ja militarisoidusta maatalousjärjestelmästä sekä tuottamattomasta talousmallista;</w:t>
      </w:r>
    </w:p>
    <w:p w:rsidR="005574FA" w:rsidRPr="00E22A32" w:rsidP="005574FA" w14:paraId="2287FF9A" w14:textId="77777777">
      <w:pPr>
        <w:pStyle w:val="NormalHanging12a"/>
        <w:widowControl/>
      </w:pPr>
      <w:r w:rsidRPr="00E22A32">
        <w:t>G.</w:t>
      </w:r>
      <w:r w:rsidRPr="00E22A32">
        <w:tab/>
        <w:t xml:space="preserve">ottaa huomioon, että humanitaarinen hätätilanne ei johdu mistään ulkoisesta kauppasaarrosta vaan on suoraa seurausta hallinnon omasta mallista ja epäonnistumisista eli siitä, että valtio on militarisoinut ja monopolisoinut talouden, tukahduttanut yksityisyritykset ja ohjannut resurssit turvallisuuskoneistolle ihmisten tarvitsemien elintarvikkeiden, lääkkeiden ja sähkön sijasta; ottaa huomioon, että tätä mallia ilmentää korruptoitunut sotilas- ja </w:t>
      </w:r>
      <w:r w:rsidRPr="00E22A32">
        <w:t>liiketoimintakonglomeratti</w:t>
      </w:r>
      <w:r w:rsidRPr="00E22A32">
        <w:t xml:space="preserve"> </w:t>
      </w:r>
      <w:r w:rsidRPr="00E22A32">
        <w:t>GAESA</w:t>
      </w:r>
      <w:r w:rsidRPr="00E22A32">
        <w:t>, joka hallitsee lähes puolta Kuuban taloudesta eikä ole vastuussa kenellekään ja pitää itsellään hallinnon kovan valuutan tulot, mukaan lukien YK:n pakkotyöksi rinnastamista lääkintähenkilöstön ulkomaankomennuksista saadut tulot, tilanteessa, jossa sairaaloilla ei ole edes perustarvikkeita; toteaa, että tätä kriisiä ei voida erottaa vuosikymmeniä kestäneestä valtion harjoittamasta sorrosta ja että epävakauden lisääntyminen uhkaa voimistaa humanitaarisia ja maastamuuttoon ja turvallisuuteen liittyviä seurauksia;</w:t>
      </w:r>
    </w:p>
    <w:p w:rsidR="005574FA" w:rsidRPr="00E22A32" w:rsidP="005574FA" w14:paraId="56658120" w14:textId="77777777">
      <w:pPr>
        <w:pStyle w:val="NormalHanging12a"/>
        <w:widowControl/>
      </w:pPr>
      <w:r w:rsidRPr="00E22A32">
        <w:t>H.</w:t>
      </w:r>
      <w:r w:rsidRPr="00E22A32">
        <w:tab/>
        <w:t>ottaa huomioon, että EU:n ja Kuuban suhteita säännellään poliittista vuoropuhelua ja yhteistyötä koskevalla sopimuksella, jonka tavoitteena oli, että hallinto avautuu asteittain ja parantaa kansalaistensa tilannetta; ottaa huomioon, että lähes yhdeksän vuotta sen jälkeen, kun parlamentti antoi hyväksyntänsä poliittista vuoropuhelua ja yhteistyötä koskevalle sopimukselle, hallinto ei ole vieläkään edistynyt avautumisessa millään tavoin merkittävästi ja että se on sen sijaan voimistanut sortoa, vainonnut toisinajattelijoita ja lisännyt poliittisten vankien määrää samalla, kun taloudellinen tilanne on heikentynyt kestämättömälle tasolle; ottaa huomioon, että sopimuksen ydintarkoitus on epäonnistunut ja että komission varapuheenjohtaja / unionin ulkoasioiden ja turvallisuuspolitiikan korkea edustaja on todennut, että sopimuksen tavoitteita ei ole saavutettu ja että sopimusta tarkastellaankin parhaillaan uudelleen;</w:t>
      </w:r>
    </w:p>
    <w:p w:rsidR="005574FA" w:rsidRPr="00E22A32" w:rsidP="005574FA" w14:paraId="0F177BB9" w14:textId="77777777">
      <w:pPr>
        <w:pStyle w:val="NormalHanging12a"/>
        <w:widowControl/>
      </w:pPr>
      <w:r w:rsidRPr="00E22A32">
        <w:t>I.</w:t>
      </w:r>
      <w:r w:rsidRPr="00E22A32">
        <w:tab/>
        <w:t>ottaa huomioon, että hallinnon vastustus on laajalle levinnyttä sekä Kuubassa että sen ulkopuolella, mistä ovat osoituksena toistuvat mielenosoitukset ja ns. kattilamielenosoitukset sekä Kuuban historian laajamittaisin maastapako, kun sadat tuhannet ovat lähteneet paremman tulevaisuuden toivossa ulkomaille, kun taas monet paenneet tai lähtemään pakotetut eivät saa palata ja jäävät maanpakoon; ottaa huomioon, että hallinnon ainoa vastaus muutosvaatimuksiin on pitää vallasta kiinni kynsin hampain ja lisätä sortotoimia;</w:t>
      </w:r>
    </w:p>
    <w:p w:rsidR="005574FA" w:rsidRPr="00E22A32" w:rsidP="005574FA" w14:paraId="12F22C8B" w14:textId="77777777">
      <w:pPr>
        <w:pStyle w:val="NormalHanging12a"/>
        <w:widowControl/>
        <w:rPr>
          <w:bCs/>
        </w:rPr>
      </w:pPr>
      <w:r w:rsidRPr="00E22A32">
        <w:t>J.</w:t>
      </w:r>
      <w:r w:rsidRPr="00E22A32">
        <w:tab/>
        <w:t>ottaa huomioon, että hallinto pysyy vallassa enää vain raakojen ja jatkuvien sortotoimien ansiosta; toteaa, että heinäkuussa 2021 tuhannet kansalaiset lähtivät kaduille yli 50 paikkakunnalla vaatimaan vapautta ja että siviilipoliisi, puolisotilaalliset joukot ja vallankumouksen puolustuskomiteat tukahduttivat tämän mielenosoitusaallon, joka oli suurin sitten vuoden 1994; ottaa huomioon, että satoja ihmisiä pidätettiin mielivaltaisesti ja yli 700 ihmistä tuomittiin summittaisissa oikeudenkäynneissä, jotka parlamentti tuomitsi ”oikeudelliseksi farssiksi” ja joissa langetettiin jopa 25 vuoden tuomioita pelkästään rauhanomaisiin mielenosoituksiin osallistumisesta, mikä voi täyttää rikosta ihmisyyttä vastaan koskevat tunnusmerkit; toteaa, että näin haluttiin tarkoituksella antaa viesti siitä, että mielenosoittajat vaarantavat työpaikkansa, vapautensa, perheensä ja jopa henkensä;</w:t>
      </w:r>
    </w:p>
    <w:p w:rsidR="005574FA" w:rsidRPr="00E22A32" w:rsidP="005574FA" w14:paraId="6FA39D25" w14:textId="77777777">
      <w:pPr>
        <w:pStyle w:val="NormalHanging12a"/>
        <w:widowControl/>
      </w:pPr>
      <w:r w:rsidRPr="00E22A32">
        <w:t>K.</w:t>
      </w:r>
      <w:r w:rsidRPr="00E22A32">
        <w:tab/>
        <w:t>ottaa huomioon, että hallinto epää jatkuvasti pääsyn Euroopan parlamentin valtuuskunnilta, YK:n erityisraportoijilta ja riippumattomilta tarkkailijoilta ja vaatii sulkemaan demokraattisen opposition ja riippumattoman kansalaisyhteiskunnan poliittisen vuoropuhelun ulkopuolelle;</w:t>
      </w:r>
    </w:p>
    <w:p w:rsidR="005574FA" w:rsidRPr="00E22A32" w:rsidP="005574FA" w14:paraId="72D08DAC" w14:textId="77777777">
      <w:pPr>
        <w:pStyle w:val="NormalHanging12a"/>
        <w:widowControl/>
      </w:pPr>
      <w:r w:rsidRPr="00E22A32">
        <w:t>L.</w:t>
      </w:r>
      <w:r w:rsidRPr="00E22A32">
        <w:tab/>
        <w:t>ottaa huomioon, että Kuuban hallinnon ja Yhdysvaltojen hallinnon välillä on viime kuukausina käyty keskusteluja, joiden sisällöstä ei ole kerrottu julkisuuteen, ja että hallinto on myöntänyt, että Yhdysvaltojen kanssa käydään neuvotteluja; ottaa huomioon, että Yhdysvallat on määrännyt kohdennettuja pakotteita hallinnon korkea</w:t>
      </w:r>
      <w:r w:rsidRPr="00E22A32">
        <w:noBreakHyphen/>
        <w:t>arvoisia henkilöitä ja turvallisuus- ja sotilaskoneiston instituutioita vastaan ja ilmoittanut pakotteiden syyksi hallinnon sortotoimet kotimaassa ja vihamielisen toiminnan ulkomailla; katsoo, että tapahtui suhteiden normalisointi sitten millä tavalla tahansa, se ei saa tapahtua ihmisoikeuksien kustannuksella eikä vapauttaa hallintoa vastuusta;</w:t>
      </w:r>
    </w:p>
    <w:p w:rsidR="005574FA" w:rsidRPr="00E22A32" w:rsidP="005574FA" w14:paraId="45D7FBCA" w14:textId="77777777">
      <w:pPr>
        <w:pStyle w:val="NormalHanging12a"/>
        <w:widowControl/>
      </w:pPr>
      <w:r w:rsidRPr="00E22A32">
        <w:t>M.</w:t>
      </w:r>
      <w:r w:rsidRPr="00E22A32">
        <w:tab/>
        <w:t xml:space="preserve">ottaa huomioon, että hallinto jatkaa tiivistä sotilaallista yhteistyötä Venäjän federaation kanssa, mukaan lukien tuhansien Kuuban kansalaisten raportoitu värvääminen taistelemaan Venäjän hyökkäyssodassa Ukrainaa vastaan, mikä on vastoin poliittista vuoropuhelua ja yhteistyötä koskevan sopimuksen henkeä ja EU:n turvallisuusetuja; </w:t>
      </w:r>
      <w:r w:rsidRPr="00E22A32">
        <w:t>ottaa huomioon, että maaliskuun 2026 lopussa venäläisomistuksessa oleva säiliöalus, jonka lastina oli arviolta 730 000 tynnyriä raakaöljyä, sai luvan ankkuroitua Kuuban pohjoisrannikolle;</w:t>
      </w:r>
    </w:p>
    <w:p w:rsidR="005574FA" w:rsidRPr="00E22A32" w:rsidP="005574FA" w14:paraId="09E35B6A" w14:textId="77777777">
      <w:pPr>
        <w:pStyle w:val="NormalHanging12a"/>
        <w:widowControl/>
      </w:pPr>
      <w:r w:rsidRPr="00E22A32">
        <w:t>N.</w:t>
      </w:r>
      <w:r w:rsidRPr="00E22A32">
        <w:tab/>
        <w:t>ottaa huomioon, että 2. maaliskuuta 2026 yli 50 Kuuban oppositiojärjestöä ja kansalaisjärjestöä, joista osa toimii maassa ja osa maanpaossa, esitteli vapautussopimukseksi tai vapaussopimukseksi kutsumansa demokratiaan siirtymistä koskevan etenemissuunnitelman; ottaa huomioon, että kyseisessä sopimuksessa esitellään kolme vaihetta, jotka ovat vapauttaminen, vakauttaminen ja jälleenrakentaminen sekä demokratisointi, ja se johtaa kansainvälisen yhteisön valvomiin vapaisiin ja oikeudenmukaisiin monipuoluevaaleihin; katsoo, että siirtymän on tapahduttava Kuuban johdolla ja siten, että kaikki niin maassa kuin ulkomailla asuvat kuubalaiset osallistetaan siihen;</w:t>
      </w:r>
    </w:p>
    <w:p w:rsidR="005574FA" w:rsidRPr="00E22A32" w:rsidP="005574FA" w14:paraId="72369B9D" w14:textId="77777777">
      <w:pPr>
        <w:pStyle w:val="NormalHanging12a"/>
        <w:widowControl/>
        <w:rPr>
          <w:bCs/>
          <w:iCs/>
        </w:rPr>
      </w:pPr>
      <w:r w:rsidRPr="00E22A32">
        <w:t>1.</w:t>
      </w:r>
      <w:r w:rsidRPr="00E22A32">
        <w:tab/>
        <w:t>tuomitsee mitä jyrkimmin Kuuban hallinnon harjoittaman järjestelmällisen sorron, erityisesti kidutuksen, seksuaalisen väkivallan, tappouhkaukset, pakotetun aliravitsemuksen, joukkovalvonnan, pakkotyön ja poliittisten vankien, mielenosoittajien, toisinajattelijoiden, opiskelijoiden, uskonnollisten johtajien ja ihmisoikeuksien puolustajien oikeudellisen vainon, sekä lasten vangitsemisen; ilmaisee täyden solidaarisuutensa Kuuban kansalle ja kaikille niille, joita vainotaan siksi, että he puolustavat perusoikeuksiaan, myös historiallisen ja kehittyvän demokraattisen opposition johtajille ja riippumattomille kansalaisliikkeille;</w:t>
      </w:r>
    </w:p>
    <w:p w:rsidR="005574FA" w:rsidRPr="00E22A32" w:rsidP="005574FA" w14:paraId="33FCD963" w14:textId="77777777">
      <w:pPr>
        <w:pStyle w:val="NormalHanging12a"/>
        <w:widowControl/>
        <w:rPr>
          <w:bCs/>
          <w:iCs/>
        </w:rPr>
      </w:pPr>
      <w:r w:rsidRPr="00E22A32">
        <w:t>2.</w:t>
      </w:r>
      <w:r w:rsidRPr="00E22A32">
        <w:tab/>
        <w:t>vaatii vapauttamaan välittömästi ja ehdoitta kaikki poliittiset vangit ja kaikki perusoikeuksiensa käyttämisen vuoksi mielivaltaisesti pidätetyt henkilöt, myös alaikäiset, vaatii lopettamaan kidutuksen ja kaltoinkohtelun, takaamaan välittömästi mahdollisuuden maksuttomaan ja oikeudenmukaiseen oikeudenkäyntiin ja pääsyn sairaanhoitoon vakavasta sairaudesta kärsiville ja vaatii täyttä hyvitystä kidutuksen uhreille; vaatii, että hallinto myöntää Punaisen Ristin kansainväliselle komitealle, YK:n erityisraportoijille ja -menettelyille, Euroopan parlamentin valtuuskunnalle ja riippumattomille tarkkailijoille esteettömän pääsyn, ja pitää valitettavana, että se on toistuvasti evännyt pääsyn;</w:t>
      </w:r>
    </w:p>
    <w:p w:rsidR="005574FA" w:rsidRPr="00E22A32" w:rsidP="005574FA" w14:paraId="062C6E7B" w14:textId="77777777">
      <w:pPr>
        <w:pStyle w:val="NormalHanging12a"/>
        <w:widowControl/>
      </w:pPr>
      <w:r w:rsidRPr="00E22A32">
        <w:t>3.</w:t>
      </w:r>
      <w:r w:rsidRPr="00E22A32">
        <w:tab/>
        <w:t>katsoo, että ainoa keino, miten Kuuban kansa voi päästä pois nykyisestä ahdingosta, köyhyydestä ja eristyneisyydestä, ovat perustavanlaatuiset taloudelliset ja poliittiset muutokset, jotka johtavat nopeasti siirtymiseen kohti täyttä monipuoluedemokratiaa, jossa toisinajattelijoita ei vainota, vangita, kiduteta tai murhata ja jossa kunnioitetaan perusoikeuksia ja -vapauksia, osallistavalla ja rajoituksettomalla kansallisella vuoropuhelulla;</w:t>
      </w:r>
    </w:p>
    <w:p w:rsidR="005574FA" w:rsidRPr="00E22A32" w:rsidP="005574FA" w14:paraId="71970B0B" w14:textId="77777777">
      <w:pPr>
        <w:pStyle w:val="NormalHanging12a"/>
        <w:widowControl/>
      </w:pPr>
      <w:r w:rsidRPr="00E22A32">
        <w:t>4.</w:t>
      </w:r>
      <w:r w:rsidRPr="00E22A32">
        <w:tab/>
        <w:t>kehottaa Kuuban hallintoa esittämään kestäviä ja merkityksellisiä talousuudistuksia, joilla varmistetaan oikeusvarmuus ja tuetaan riippumattomia talouden toimijoita, yksityisiä aloitteita, investointeja ja vapauksia olennaisina keinoina välttää romahdus;</w:t>
      </w:r>
    </w:p>
    <w:p w:rsidR="009D72C7" w:rsidRPr="00E22A32" w:rsidP="005574FA" w14:paraId="542E5932" w14:textId="7EBC7E8C">
      <w:pPr>
        <w:pStyle w:val="NormalHanging12a"/>
        <w:widowControl/>
        <w:rPr>
          <w:bCs/>
          <w:iCs/>
        </w:rPr>
      </w:pPr>
      <w:r w:rsidRPr="00E22A32">
        <w:rPr>
          <w:bCs/>
          <w:iCs/>
        </w:rPr>
        <w:t>5.</w:t>
      </w:r>
      <w:r w:rsidRPr="00E22A32">
        <w:rPr>
          <w:bCs/>
          <w:iCs/>
        </w:rPr>
        <w:tab/>
        <w:t>kehottaa Kuuban vallanpitäjiä suojelemaan ihmisoikeuksia ja takaamaan oikeuden rauhanomaiseen kokoontumiseen ja sananvapauden ilman poliittisiin näkemyksiin perustuvaa syrjintää; tuomitsee jyrkästi kaikki kansalais- ja poliittisten oikeuksien ja -vapauksien loukkaukset, mukaan lukien mielivaltaiset pidätykset, kaltoinkohtelun, kidutuksen, sananvapauden, yhdistymisvapauden ja rauhanomaisen kokoontumisvapauden rajoitukset, riippumattomien toimittajien, ihmisoikeuksien puolustajien ja kansalaisyhteiskunnan toimijoiden häirinnän sekä rikosoikeudellisten seuraamusten suhteettoman käytön rauhanomaisia mielenosoittajia vastaan;</w:t>
      </w:r>
    </w:p>
    <w:p w:rsidR="005574FA" w:rsidRPr="00E22A32" w:rsidP="005574FA" w14:paraId="4A8FA533" w14:textId="568A0B0A">
      <w:pPr>
        <w:pStyle w:val="NormalHanging12a"/>
        <w:widowControl/>
      </w:pPr>
      <w:r w:rsidRPr="00E22A32">
        <w:t>6</w:t>
      </w:r>
      <w:r w:rsidRPr="00E22A32">
        <w:t>.</w:t>
      </w:r>
      <w:r w:rsidRPr="00E22A32">
        <w:tab/>
        <w:t>toistaa aiemmat kantansa, joiden mukaan poliittista vuoropuhelua ja yhteistyötä koskevan sopimuksen keskeyttämislauseke olisi aktivoitava, ja kehottaa komission varapuheenjohtajaa / unionin ulkoasioiden ja turvallisuuspolitiikan korkeaa edustajaa ja jäsenvaltioita tekemään selväksi, että ellei lyhyellä aikavälillä toteuteta selkeitä, konkreettisia ja merkittäviä toimia tällaisten muutosten toteuttamiseksi, mukaan lukien selkeä ehdotus siirtymisestä demokraattiseen järjestelmään, lähes 1 300 poliittisen vangin välitön ja ehdoton vapauttaminen ja se, että maanpakoon ajetuille kuubalaisille annetaan lupa palata kotimaahan ilman pelkoa kostotoimista, EU:n olisi viipymättä keskeytettävä poliittista vuoropuhelua ja yhteistyötä koskevan sopimuksen – jota Kuuban hallinto on järjestelmällisesti rikkonut – soveltaminen;</w:t>
      </w:r>
    </w:p>
    <w:p w:rsidR="005574FA" w:rsidRPr="00E22A32" w:rsidP="005574FA" w14:paraId="03C16747" w14:textId="71D2D940">
      <w:pPr>
        <w:pStyle w:val="NormalHanging12a"/>
        <w:widowControl/>
        <w:rPr>
          <w:bCs/>
          <w:iCs/>
        </w:rPr>
      </w:pPr>
      <w:r w:rsidRPr="00E22A32">
        <w:t>7</w:t>
      </w:r>
      <w:r w:rsidRPr="00E22A32">
        <w:t>.</w:t>
      </w:r>
      <w:r w:rsidRPr="00E22A32">
        <w:tab/>
        <w:t xml:space="preserve">kehottaa toteuttamaan EU:n </w:t>
      </w:r>
      <w:r w:rsidRPr="00E22A32">
        <w:t>Magnitski</w:t>
      </w:r>
      <w:r w:rsidRPr="00E22A32">
        <w:t>-lain mukaisia kohdennettuja toimenpiteitä sortotoimista vastuussa olevia vastaan, alkaen hallinnon korkeimmista virkamiehistä, mukaan lukien Miguel Díaz-</w:t>
      </w:r>
      <w:r w:rsidRPr="00E22A32">
        <w:t>Canel</w:t>
      </w:r>
      <w:r w:rsidRPr="00E22A32">
        <w:t xml:space="preserve"> ja turvallisuus-, oikeus- ja vankeinhoitolaitoksen ylempi komentoketju, sekä </w:t>
      </w:r>
      <w:r w:rsidRPr="00E22A32">
        <w:t>GAESAn</w:t>
      </w:r>
      <w:r w:rsidRPr="00E22A32">
        <w:t xml:space="preserve"> johtoa vastaan;</w:t>
      </w:r>
    </w:p>
    <w:p w:rsidR="005574FA" w:rsidRPr="00E22A32" w:rsidP="005574FA" w14:paraId="2DA3C8CA" w14:textId="5DB6AB70">
      <w:pPr>
        <w:pStyle w:val="NormalHanging12a"/>
        <w:widowControl/>
        <w:rPr>
          <w:bCs/>
          <w:iCs/>
        </w:rPr>
      </w:pPr>
      <w:r w:rsidRPr="00E22A32">
        <w:t>8</w:t>
      </w:r>
      <w:r w:rsidRPr="00E22A32">
        <w:t>.</w:t>
      </w:r>
      <w:r w:rsidRPr="00E22A32">
        <w:tab/>
        <w:t>kehottaa hallintoa lakkauttamaan kaikissa muodoissaan rikosta edeltävät mekanismit, joita valtio käyttää vaientaakseen ja vangitakseen mielivaltaisesti kansalaisia, ja vapauttamaan kaikki henkilöt, jotka on tuomittu niiden nojalla rikoksista, joita ei ole koskaan edes tapahtunut;</w:t>
      </w:r>
    </w:p>
    <w:p w:rsidR="005574FA" w:rsidRPr="00E22A32" w:rsidP="005574FA" w14:paraId="7F5AB77C" w14:textId="20A8B54B">
      <w:pPr>
        <w:pStyle w:val="NormalHanging12a"/>
        <w:widowControl/>
        <w:rPr>
          <w:bCs/>
          <w:iCs/>
        </w:rPr>
      </w:pPr>
      <w:r w:rsidRPr="00E22A32">
        <w:t>9</w:t>
      </w:r>
      <w:r w:rsidRPr="00E22A32">
        <w:t>.</w:t>
      </w:r>
      <w:r w:rsidRPr="00E22A32">
        <w:tab/>
        <w:t>kehottaa suorittamaan riippumattoman kansainvälisen tutkinnan vankilaoloista, pakotettuun aliravitsemukseen perustuvasta järjestelmästä ja vankilakuolemista;</w:t>
      </w:r>
    </w:p>
    <w:p w:rsidR="005574FA" w:rsidRPr="00E22A32" w:rsidP="005574FA" w14:paraId="563E0289" w14:textId="1F3C9C4F">
      <w:pPr>
        <w:pStyle w:val="NormalHanging12a"/>
        <w:widowControl/>
        <w:rPr>
          <w:bCs/>
          <w:iCs/>
        </w:rPr>
      </w:pPr>
      <w:r w:rsidRPr="00E22A32">
        <w:t>10</w:t>
      </w:r>
      <w:r w:rsidRPr="00E22A32">
        <w:t>.</w:t>
      </w:r>
      <w:r w:rsidRPr="00E22A32">
        <w:tab/>
        <w:t>tuomitsee hallinnon aineellisen tuen Venäjän hyökkäyssodalle Ukrainaa vastaan, mukaan lukien Kuuban kansalaisten värväämisen taistelemaan Ukrainaa vastaan, ja sen sotilaallisen yhteistyön syvenemisen Venäjän kanssa, ja vaatii, että tätä kysymystä pidetään keskeisenä osana EU:n ja Kuuban suhteiden uudelleentarkastelua; tuomitsee myös sen, että hallinto toimii yhteistyössä Lukašenkan hallinnon kanssa Valko</w:t>
      </w:r>
      <w:r w:rsidRPr="00E22A32">
        <w:noBreakHyphen/>
        <w:t>Venäjällä, mukaan lukien tiiviit sotilaalliset ja turvallisuussuhteet, jotka heikentävät Euroopan turvallisuutta;</w:t>
      </w:r>
    </w:p>
    <w:p w:rsidR="005574FA" w:rsidRPr="00E22A32" w:rsidP="005574FA" w14:paraId="23F43097" w14:textId="23110282">
      <w:pPr>
        <w:pStyle w:val="NormalHanging12a"/>
        <w:widowControl/>
      </w:pPr>
      <w:r w:rsidRPr="00E22A32">
        <w:t>1</w:t>
      </w:r>
      <w:r w:rsidRPr="00E22A32" w:rsidR="009D72C7">
        <w:t>1</w:t>
      </w:r>
      <w:r w:rsidRPr="00E22A32">
        <w:t>.</w:t>
      </w:r>
      <w:r w:rsidRPr="00E22A32">
        <w:tab/>
        <w:t>vaatii, että riippumattoman kansalaisyhteiskunnan ja demokraattisen opposition on saatava osallistua ilman pelkoa kostotoimista kaikkiin poliittista vuoropuhelua ja yhteistyötä koskevan sopimuksen mukaisiin vuoropuheluihin, ja toteaa, että sopimuksessa edellytetään näiden osallistamista, ja vaatii, että EU ei millään tavoin saa osallistua ihmisoikeusloukkauksiin Kuubassa, mukaan lukien lääkintähenkilöstön ulkomaankomennukset, joihin liittyy pakkotyötä, jonka se vaatii hallintoa lopettamaan kaikissa muodoissaan;</w:t>
      </w:r>
    </w:p>
    <w:p w:rsidR="005574FA" w:rsidRPr="00E22A32" w:rsidP="005574FA" w14:paraId="69F8DD21" w14:textId="01C3C829">
      <w:pPr>
        <w:pStyle w:val="NormalHanging12a"/>
        <w:widowControl/>
        <w:rPr>
          <w:bCs/>
          <w:iCs/>
        </w:rPr>
      </w:pPr>
      <w:r w:rsidRPr="00E22A32">
        <w:t>1</w:t>
      </w:r>
      <w:r w:rsidRPr="00E22A32" w:rsidR="009D72C7">
        <w:t>2</w:t>
      </w:r>
      <w:r w:rsidRPr="00E22A32">
        <w:t>.</w:t>
      </w:r>
      <w:r w:rsidRPr="00E22A32">
        <w:tab/>
        <w:t>ilmaisee syvän ja kiireellisen huolensa elinolojen dramaattisesta heikkenemisestä Kuubassa ja polttoaineen, lääkkeiden, elintarvikkeiden ja muiden välttämättömien hyödykkeiden ja julkisten palvelujen puutteen pahentuvista humanitaarisista vaikutuksista etenkin haavoittuvassa asemassa oleviin ryhmiin; kehottaa komissiota ja jäsenvaltioita kehittämään humanitaarisia kanavia energian, elintarvikkeiden ja lääkkeiden toimittamiseksi suoraan Kuuban kansalle ja riippumattomille yrityksille valtion ohi ja kehottaa kaikkia avunantajia lisäämään humanitaarista apua, jota on suojeltava ja johon ei saa liittyä valtion välitystoimintaa ja joka ei saa koskaan rahoittaa hallintoa;</w:t>
      </w:r>
    </w:p>
    <w:p w:rsidR="005574FA" w:rsidRPr="00E22A32" w:rsidP="005574FA" w14:paraId="0B4837BF" w14:textId="38B47567">
      <w:pPr>
        <w:pStyle w:val="NormalHanging12a"/>
        <w:widowControl/>
        <w:rPr>
          <w:bCs/>
          <w:iCs/>
        </w:rPr>
      </w:pPr>
      <w:r w:rsidRPr="00E22A32">
        <w:t>1</w:t>
      </w:r>
      <w:r w:rsidRPr="00E22A32" w:rsidR="009D72C7">
        <w:t>3</w:t>
      </w:r>
      <w:r w:rsidRPr="00E22A32">
        <w:t>.</w:t>
      </w:r>
      <w:r w:rsidRPr="00E22A32">
        <w:tab/>
        <w:t xml:space="preserve">on valmis yhdessä kansainvälisen yhteisön kanssa antamaan Kuuballe merkittävää apua hallituksesta riippumattomien kanavien kautta, kun Kuuba aloittaa uskottavan </w:t>
      </w:r>
      <w:r w:rsidRPr="00E22A32">
        <w:t>demokratiaan siirtymisen, jotta maasta voi tulla vauras ja jotta voidaan taata sen kansalaisten hyvinvointi; kehottaa komission varapuheenjohtajaa / unionin ulkoasioiden ja turvallisuuspolitiikan korkeaa edustajaa ja jäsenvaltioita ottamaan nämä tapaukset johdonmukaisesti esiin kaikilla asiaankuuluvilla foorumeilla ja tukemaan vastuuvelvollisuutta ja rauhanomaista, kansalaisjohtoista siirtymää;</w:t>
      </w:r>
    </w:p>
    <w:p w:rsidR="00E365E1" w:rsidRPr="00E22A32" w:rsidP="00A72987" w14:paraId="68394091" w14:textId="2F64FD20">
      <w:pPr>
        <w:pStyle w:val="NormalHanging12a"/>
        <w:widowControl/>
      </w:pPr>
      <w:r w:rsidRPr="00E22A32">
        <w:t>1</w:t>
      </w:r>
      <w:r w:rsidRPr="00E22A32" w:rsidR="009D72C7">
        <w:t>4</w:t>
      </w:r>
      <w:r w:rsidRPr="00E22A32">
        <w:t>.</w:t>
      </w:r>
      <w:r w:rsidRPr="00E22A32">
        <w:tab/>
        <w:t>kehottaa puhemiestä välittämään tämän päätöslauselman neuvostolle, komissiolle, vuorossa olevalle neuvoston puheenjohtajavaltiolle, komission varapuheenjohtajalle / unionin ulkoasioiden ja turvallisuuspolitiikan korkealle edustajalle, ihmisoikeuksista vastaavalle EU:n erityisedustajalle, jäsenvaltioiden hallituksille ja parlamenteille, Amerikan valtioiden järjestölle, Yhdistyneille kansakunnille, EU:n ja Latinalaisen Amerikan parlamentaariselle edustajakokoukselle, Latinalaisen Amerikan ja Karibian valtioiden yhteisön maille sekä Kuuban hallinnolle.</w:t>
      </w:r>
    </w:p>
    <w:sectPr w:rsidSect="0044737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02743" w:rsidRPr="00447377" w14:paraId="19ED9575" w14:textId="77777777">
      <w:r w:rsidRPr="00447377">
        <w:separator/>
      </w:r>
    </w:p>
  </w:footnote>
  <w:footnote w:type="continuationSeparator" w:id="1">
    <w:p w:rsidR="00D02743" w:rsidRPr="00447377" w14:paraId="5F32FE16" w14:textId="77777777">
      <w:r w:rsidRPr="00447377">
        <w:continuationSeparator/>
      </w:r>
    </w:p>
  </w:footnote>
  <w:footnote w:id="2">
    <w:p w:rsidR="005574FA" w:rsidRPr="00447377" w:rsidP="00447377" w14:paraId="53262C60" w14:textId="5FD01144">
      <w:pPr>
        <w:pStyle w:val="FootnoteText"/>
        <w:ind w:left="567" w:hanging="567"/>
        <w:rPr>
          <w:sz w:val="24"/>
          <w:lang w:val="fi-FI"/>
        </w:rPr>
      </w:pPr>
      <w:r w:rsidRPr="00447377">
        <w:rPr>
          <w:rStyle w:val="FootnoteReference"/>
          <w:sz w:val="24"/>
          <w:lang w:val="fi-FI"/>
        </w:rPr>
        <w:footnoteRef/>
      </w:r>
      <w:r w:rsidRPr="00447377" w:rsidR="00447377">
        <w:rPr>
          <w:sz w:val="24"/>
          <w:lang w:val="fi-FI"/>
        </w:rPr>
        <w:t xml:space="preserve"> </w:t>
      </w:r>
      <w:r w:rsidRPr="00447377" w:rsidR="00447377">
        <w:rPr>
          <w:sz w:val="24"/>
          <w:lang w:val="fi-FI"/>
        </w:rPr>
        <w:tab/>
      </w:r>
      <w:r w:rsidRPr="00447377">
        <w:rPr>
          <w:sz w:val="24"/>
          <w:lang w:val="fi-FI"/>
        </w:rPr>
        <w:t>EUVL C, C/2024/7213, 10.12.2024, ELI: http://data.europa.eu/eli/C/2024/7213/oj.</w:t>
      </w:r>
    </w:p>
  </w:footnote>
  <w:footnote w:id="3">
    <w:p w:rsidR="005574FA" w:rsidRPr="00447377" w:rsidP="00447377" w14:paraId="7A81424D" w14:textId="66DD7F06">
      <w:pPr>
        <w:pStyle w:val="FootnoteText"/>
        <w:ind w:left="567" w:hanging="567"/>
        <w:rPr>
          <w:sz w:val="24"/>
          <w:lang w:val="fi-FI"/>
        </w:rPr>
      </w:pPr>
      <w:r w:rsidRPr="00447377">
        <w:rPr>
          <w:rStyle w:val="FootnoteReference"/>
          <w:sz w:val="24"/>
          <w:lang w:val="fi-FI"/>
        </w:rPr>
        <w:footnoteRef/>
      </w:r>
      <w:r w:rsidRPr="00447377" w:rsidR="00447377">
        <w:rPr>
          <w:sz w:val="24"/>
          <w:lang w:val="fi-FI"/>
        </w:rPr>
        <w:t xml:space="preserve"> </w:t>
      </w:r>
      <w:r w:rsidRPr="00447377" w:rsidR="00447377">
        <w:rPr>
          <w:sz w:val="24"/>
          <w:lang w:val="fi-FI"/>
        </w:rPr>
        <w:tab/>
      </w:r>
      <w:r w:rsidRPr="00447377">
        <w:rPr>
          <w:sz w:val="24"/>
          <w:lang w:val="fi-FI"/>
        </w:rPr>
        <w:t>EUVL C, C/2024/6748, 26.11.2024, ELI: http://data.europa.eu/eli/C/2024/6748/oj.</w:t>
      </w:r>
    </w:p>
  </w:footnote>
  <w:footnote w:id="4">
    <w:p w:rsidR="005574FA" w:rsidRPr="00447377" w:rsidP="00447377" w14:paraId="4BD98599" w14:textId="08D59ED9">
      <w:pPr>
        <w:pStyle w:val="FootnoteText"/>
        <w:ind w:left="567" w:hanging="567"/>
        <w:rPr>
          <w:sz w:val="24"/>
          <w:lang w:val="fi-FI"/>
        </w:rPr>
      </w:pPr>
      <w:r w:rsidRPr="00447377">
        <w:rPr>
          <w:rStyle w:val="FootnoteReference"/>
          <w:sz w:val="24"/>
          <w:lang w:val="fi-FI"/>
        </w:rPr>
        <w:footnoteRef/>
      </w:r>
      <w:r w:rsidRPr="00447377" w:rsidR="00447377">
        <w:rPr>
          <w:sz w:val="24"/>
          <w:lang w:val="fi-FI"/>
        </w:rPr>
        <w:t xml:space="preserve"> </w:t>
      </w:r>
      <w:r w:rsidRPr="00447377" w:rsidR="00447377">
        <w:rPr>
          <w:sz w:val="24"/>
          <w:lang w:val="fi-FI"/>
        </w:rPr>
        <w:tab/>
      </w:r>
      <w:r w:rsidRPr="00447377">
        <w:rPr>
          <w:sz w:val="24"/>
          <w:lang w:val="fi-FI"/>
        </w:rPr>
        <w:t>EUVL C, C/2024/4001, 17.7.2024, ELI: http://data.europa.eu/eli/C/2024/4001/oj.</w:t>
      </w:r>
    </w:p>
  </w:footnote>
  <w:footnote w:id="5">
    <w:p w:rsidR="005574FA" w:rsidRPr="00447377" w:rsidP="00447377" w14:paraId="72E721B6" w14:textId="76B7AABD">
      <w:pPr>
        <w:pStyle w:val="FootnoteText"/>
        <w:ind w:left="567" w:hanging="567"/>
        <w:rPr>
          <w:sz w:val="24"/>
          <w:lang w:val="fi-FI"/>
        </w:rPr>
      </w:pPr>
      <w:r w:rsidRPr="00447377">
        <w:rPr>
          <w:rStyle w:val="FootnoteReference"/>
          <w:sz w:val="24"/>
          <w:lang w:val="fi-FI"/>
        </w:rPr>
        <w:footnoteRef/>
      </w:r>
      <w:r w:rsidRPr="00447377" w:rsidR="00447377">
        <w:rPr>
          <w:sz w:val="24"/>
          <w:lang w:val="fi-FI"/>
        </w:rPr>
        <w:t xml:space="preserve"> </w:t>
      </w:r>
      <w:r w:rsidRPr="00447377" w:rsidR="00447377">
        <w:rPr>
          <w:sz w:val="24"/>
          <w:lang w:val="fi-FI"/>
        </w:rPr>
        <w:tab/>
      </w:r>
      <w:r w:rsidRPr="00447377">
        <w:rPr>
          <w:sz w:val="24"/>
          <w:lang w:val="fi-FI"/>
        </w:rPr>
        <w:t>EUVL L 337</w:t>
      </w:r>
      <w:r w:rsidR="00245F3B">
        <w:rPr>
          <w:sz w:val="24"/>
          <w:lang w:val="fi-FI"/>
        </w:rPr>
        <w:t xml:space="preserve"> </w:t>
      </w:r>
      <w:r w:rsidRPr="00447377">
        <w:rPr>
          <w:sz w:val="24"/>
          <w:lang w:val="fi-FI"/>
        </w:rPr>
        <w:t>I, 13.12.2016, s. 3, ELI: http://data.europa.eu/eli/agree_internation/2016/2232/oj.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3241037">
    <w:abstractNumId w:val="9"/>
  </w:num>
  <w:num w:numId="2" w16cid:durableId="1665814763">
    <w:abstractNumId w:val="9"/>
  </w:num>
  <w:num w:numId="3" w16cid:durableId="453057686">
    <w:abstractNumId w:val="7"/>
  </w:num>
  <w:num w:numId="4" w16cid:durableId="1789861074">
    <w:abstractNumId w:val="7"/>
  </w:num>
  <w:num w:numId="5" w16cid:durableId="1809055958">
    <w:abstractNumId w:val="6"/>
  </w:num>
  <w:num w:numId="6" w16cid:durableId="69888600">
    <w:abstractNumId w:val="6"/>
  </w:num>
  <w:num w:numId="7" w16cid:durableId="717970035">
    <w:abstractNumId w:val="5"/>
  </w:num>
  <w:num w:numId="8" w16cid:durableId="1462846373">
    <w:abstractNumId w:val="5"/>
  </w:num>
  <w:num w:numId="9" w16cid:durableId="2007856211">
    <w:abstractNumId w:val="4"/>
  </w:num>
  <w:num w:numId="10" w16cid:durableId="1889146741">
    <w:abstractNumId w:val="4"/>
  </w:num>
  <w:num w:numId="11" w16cid:durableId="1758020493">
    <w:abstractNumId w:val="8"/>
  </w:num>
  <w:num w:numId="12" w16cid:durableId="301736240">
    <w:abstractNumId w:val="8"/>
  </w:num>
  <w:num w:numId="13" w16cid:durableId="292828678">
    <w:abstractNumId w:val="3"/>
  </w:num>
  <w:num w:numId="14" w16cid:durableId="1776435380">
    <w:abstractNumId w:val="3"/>
  </w:num>
  <w:num w:numId="15" w16cid:durableId="1032681505">
    <w:abstractNumId w:val="2"/>
  </w:num>
  <w:num w:numId="16" w16cid:durableId="1624843765">
    <w:abstractNumId w:val="2"/>
  </w:num>
  <w:num w:numId="17" w16cid:durableId="587151739">
    <w:abstractNumId w:val="1"/>
  </w:num>
  <w:num w:numId="18" w16cid:durableId="1856993454">
    <w:abstractNumId w:val="1"/>
  </w:num>
  <w:num w:numId="19" w16cid:durableId="1366980284">
    <w:abstractNumId w:val="0"/>
  </w:num>
  <w:num w:numId="20" w16cid:durableId="1117260427">
    <w:abstractNumId w:val="0"/>
  </w:num>
  <w:num w:numId="21" w16cid:durableId="1580866655">
    <w:abstractNumId w:val="9"/>
  </w:num>
  <w:num w:numId="22" w16cid:durableId="2007635505">
    <w:abstractNumId w:val="7"/>
  </w:num>
  <w:num w:numId="23" w16cid:durableId="1811557825">
    <w:abstractNumId w:val="6"/>
  </w:num>
  <w:num w:numId="24" w16cid:durableId="1546793990">
    <w:abstractNumId w:val="5"/>
  </w:num>
  <w:num w:numId="25" w16cid:durableId="831604215">
    <w:abstractNumId w:val="4"/>
  </w:num>
  <w:num w:numId="26" w16cid:durableId="1414619448">
    <w:abstractNumId w:val="8"/>
  </w:num>
  <w:num w:numId="27" w16cid:durableId="120345997">
    <w:abstractNumId w:val="3"/>
  </w:num>
  <w:num w:numId="28" w16cid:durableId="1253272092">
    <w:abstractNumId w:val="2"/>
  </w:num>
  <w:num w:numId="29" w16cid:durableId="1027873925">
    <w:abstractNumId w:val="1"/>
  </w:num>
  <w:num w:numId="30" w16cid:durableId="1501192231">
    <w:abstractNumId w:val="0"/>
  </w:num>
  <w:num w:numId="31" w16cid:durableId="1832793339">
    <w:abstractNumId w:val="9"/>
  </w:num>
  <w:num w:numId="32" w16cid:durableId="17506621">
    <w:abstractNumId w:val="7"/>
  </w:num>
  <w:num w:numId="33" w16cid:durableId="445925710">
    <w:abstractNumId w:val="6"/>
  </w:num>
  <w:num w:numId="34" w16cid:durableId="1526409625">
    <w:abstractNumId w:val="5"/>
  </w:num>
  <w:num w:numId="35" w16cid:durableId="361368527">
    <w:abstractNumId w:val="4"/>
  </w:num>
  <w:num w:numId="36" w16cid:durableId="703873182">
    <w:abstractNumId w:val="8"/>
  </w:num>
  <w:num w:numId="37" w16cid:durableId="1093477020">
    <w:abstractNumId w:val="3"/>
  </w:num>
  <w:num w:numId="38" w16cid:durableId="1723168307">
    <w:abstractNumId w:val="2"/>
  </w:num>
  <w:num w:numId="39" w16cid:durableId="1213805565">
    <w:abstractNumId w:val="1"/>
  </w:num>
  <w:num w:numId="40" w16cid:durableId="1616018712">
    <w:abstractNumId w:val="0"/>
  </w:num>
  <w:num w:numId="41" w16cid:durableId="1562012362">
    <w:abstractNumId w:val="10"/>
  </w:num>
  <w:num w:numId="42" w16cid:durableId="384256312">
    <w:abstractNumId w:val="10"/>
  </w:num>
  <w:num w:numId="43" w16cid:durableId="215513610">
    <w:abstractNumId w:val="10"/>
  </w:num>
  <w:num w:numId="44" w16cid:durableId="17151524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7"/>
  <w:mirrorMargins/>
  <w:bordersDoNotSurroundHeader/>
  <w:bordersDoNotSurroundFooter/>
  <w:proofState w:spelling="clean" w:grammar="clean"/>
  <w:stylePaneFormatFilter w:val="3F08" w:allStyles="0" w:alternateStyleNames="0" w:clearFormatting="1" w:customStyles="0" w:directFormattingOnNumbering="1" w:directFormattingOnParagraphs="1" w:directFormattingOnRuns="1" w:directFormattingOnTables="1" w:headingStyles="0" w:latentStyles="0" w:numberingStyles="0" w:stylesInUse="1"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743"/>
    <w:rsid w:val="00002272"/>
    <w:rsid w:val="0004599A"/>
    <w:rsid w:val="00064002"/>
    <w:rsid w:val="000677B9"/>
    <w:rsid w:val="000831BA"/>
    <w:rsid w:val="000A42CC"/>
    <w:rsid w:val="000E7DD9"/>
    <w:rsid w:val="0010095E"/>
    <w:rsid w:val="00125B37"/>
    <w:rsid w:val="00187494"/>
    <w:rsid w:val="001F32AE"/>
    <w:rsid w:val="00245F3B"/>
    <w:rsid w:val="002767FF"/>
    <w:rsid w:val="002A47A4"/>
    <w:rsid w:val="002B18FE"/>
    <w:rsid w:val="002B5493"/>
    <w:rsid w:val="00343214"/>
    <w:rsid w:val="00361C00"/>
    <w:rsid w:val="00395FA1"/>
    <w:rsid w:val="003E15D4"/>
    <w:rsid w:val="00411CCE"/>
    <w:rsid w:val="0041666E"/>
    <w:rsid w:val="00421060"/>
    <w:rsid w:val="00447377"/>
    <w:rsid w:val="00471C19"/>
    <w:rsid w:val="004867E3"/>
    <w:rsid w:val="00494A28"/>
    <w:rsid w:val="004C0004"/>
    <w:rsid w:val="004C5D52"/>
    <w:rsid w:val="0050519A"/>
    <w:rsid w:val="005072A1"/>
    <w:rsid w:val="00514517"/>
    <w:rsid w:val="00545827"/>
    <w:rsid w:val="00556DC5"/>
    <w:rsid w:val="005574FA"/>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673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72C7"/>
    <w:rsid w:val="00A1687D"/>
    <w:rsid w:val="00A26E54"/>
    <w:rsid w:val="00A43E52"/>
    <w:rsid w:val="00A4678D"/>
    <w:rsid w:val="00A72987"/>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2743"/>
    <w:rsid w:val="00D058B8"/>
    <w:rsid w:val="00D56C11"/>
    <w:rsid w:val="00D834A0"/>
    <w:rsid w:val="00D872DF"/>
    <w:rsid w:val="00D91E21"/>
    <w:rsid w:val="00DA7FCD"/>
    <w:rsid w:val="00E22A32"/>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285/2026"/>
    <w:docVar w:name="dvlangue" w:val="FI"/>
    <w:docVar w:name="dvnumam" w:val="0"/>
    <w:docVar w:name="dvpe" w:val="783.341"/>
    <w:docVar w:name="dvtitre" w:val="Euroopan parlamentin päätöslauselma 18. kesäkuuta 2026 poliittisesta vainosta ja humanitaarisesta tilanteesta Kuubassa(2026/273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1550CEE"/>
  <w15:chartTrackingRefBased/>
  <w15:docId w15:val="{6300DCEE-1945-459F-9061-EFF3E465C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72987"/>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574FA"/>
    <w:pPr>
      <w:spacing w:after="240"/>
      <w:ind w:left="567" w:hanging="567"/>
    </w:pPr>
  </w:style>
  <w:style w:type="paragraph" w:customStyle="1" w:styleId="EPComma">
    <w:name w:val="EPComma"/>
    <w:basedOn w:val="Normal"/>
    <w:link w:val="EPCommaChar"/>
    <w:rsid w:val="005574FA"/>
    <w:pPr>
      <w:spacing w:before="480" w:after="240"/>
    </w:pPr>
  </w:style>
  <w:style w:type="character" w:customStyle="1" w:styleId="EPCommaChar">
    <w:name w:val="EPComma Char"/>
    <w:basedOn w:val="DefaultParagraphFont"/>
    <w:link w:val="EPComma"/>
    <w:rsid w:val="005574FA"/>
    <w:rPr>
      <w:sz w:val="24"/>
      <w:lang w:val="fi-FI"/>
    </w:rPr>
  </w:style>
  <w:style w:type="character" w:customStyle="1" w:styleId="NormalHanging12aChar">
    <w:name w:val="NormalHanging12a Char"/>
    <w:basedOn w:val="DefaultParagraphFont"/>
    <w:link w:val="NormalHanging12a"/>
    <w:rsid w:val="005574FA"/>
    <w:rPr>
      <w:sz w:val="24"/>
      <w:lang w:val="fi-FI"/>
    </w:rPr>
  </w:style>
  <w:style w:type="character" w:customStyle="1" w:styleId="doceo-font-family-base">
    <w:name w:val="doceo-font-family-base"/>
    <w:basedOn w:val="DefaultParagraphFont"/>
    <w:rsid w:val="005574FA"/>
  </w:style>
  <w:style w:type="paragraph" w:styleId="Footer">
    <w:name w:val="footer"/>
    <w:basedOn w:val="Normal"/>
    <w:link w:val="FooterChar"/>
    <w:rsid w:val="00A72987"/>
    <w:pPr>
      <w:tabs>
        <w:tab w:val="center" w:pos="4513"/>
        <w:tab w:val="right" w:pos="9026"/>
      </w:tabs>
    </w:pPr>
  </w:style>
  <w:style w:type="character" w:customStyle="1" w:styleId="FooterChar">
    <w:name w:val="Footer Char"/>
    <w:basedOn w:val="DefaultParagraphFont"/>
    <w:link w:val="Footer"/>
    <w:rsid w:val="00A72987"/>
    <w:rPr>
      <w:sz w:val="24"/>
      <w:lang w:val="fi-FI"/>
    </w:rPr>
  </w:style>
  <w:style w:type="paragraph" w:styleId="Revision">
    <w:name w:val="Revision"/>
    <w:hidden/>
    <w:uiPriority w:val="99"/>
    <w:semiHidden/>
    <w:rsid w:val="009D72C7"/>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2251</Words>
  <Characters>18501</Characters>
  <Application>Microsoft Office Word</Application>
  <DocSecurity>0</DocSecurity>
  <Lines>154</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2026-07-14T07:52:00Z</dcterms:created>
  <dcterms:modified xsi:type="dcterms:W3CDTF">2026-07-14T07:52:00Z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B10-0285/2026</vt:lpwstr>
  </property>
  <property fmtid="{D5CDD505-2E9C-101B-9397-08002B2CF9AE}" pid="4" name="&lt;Type&gt;">
    <vt:lpwstr>RR</vt:lpwstr>
  </property>
</Properties>
</file>