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B3A50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22B6" w:rsidP="0010095E" w14:paraId="2A7B3AD1" w14:textId="77777777">
            <w:pPr>
              <w:pStyle w:val="EPName"/>
            </w:pPr>
            <w:r w:rsidRPr="003F22B6">
              <w:t>Europski parlament</w:t>
            </w:r>
          </w:p>
          <w:p w:rsidR="00751A4A" w:rsidRPr="003F22B6" w:rsidP="005F1B17" w14:paraId="548C3E4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22B6">
              <w:t>2024</w:t>
            </w:r>
            <w:r w:rsidRPr="003F22B6" w:rsidR="00817416">
              <w:t>-202</w:t>
            </w:r>
            <w:r w:rsidRPr="003F22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F22B6" w:rsidP="0010095E" w14:paraId="233E78F9" w14:textId="77777777">
            <w:pPr>
              <w:pStyle w:val="EPLogo"/>
            </w:pPr>
            <w:r w:rsidRPr="003F22B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22B6" w:rsidP="004C5D52" w14:paraId="3CCDC1D9" w14:textId="77777777">
      <w:pPr>
        <w:pStyle w:val="LineTop"/>
      </w:pPr>
    </w:p>
    <w:p w:rsidR="00680577" w:rsidRPr="003F22B6" w:rsidP="00680577" w14:paraId="3C927B4C" w14:textId="77777777">
      <w:pPr>
        <w:pStyle w:val="EPBodyTA1"/>
      </w:pPr>
      <w:r w:rsidRPr="003F22B6">
        <w:t>USVOJENI TEKSTOVI</w:t>
      </w:r>
    </w:p>
    <w:p w:rsidR="00D058B8" w:rsidRPr="003F22B6" w:rsidP="00D058B8" w14:paraId="5A90E7CD" w14:textId="77777777">
      <w:pPr>
        <w:pStyle w:val="LineBottom"/>
      </w:pPr>
    </w:p>
    <w:p w:rsidR="00C35FAC" w:rsidRPr="003F22B6" w:rsidP="00C35FAC" w14:paraId="04199179" w14:textId="05CCAB14">
      <w:pPr>
        <w:pStyle w:val="ATHeading1"/>
      </w:pPr>
      <w:bookmarkStart w:id="0" w:name="TANumber"/>
      <w:r w:rsidRPr="003F22B6">
        <w:t>P10_TA(2026)0</w:t>
      </w:r>
      <w:r w:rsidR="00564BA3">
        <w:t>229</w:t>
      </w:r>
      <w:bookmarkEnd w:id="0"/>
    </w:p>
    <w:p w:rsidR="00C35FAC" w:rsidRPr="003F22B6" w:rsidP="00C35FAC" w14:paraId="63EE74F2" w14:textId="77777777">
      <w:pPr>
        <w:pStyle w:val="ATHeading2"/>
      </w:pPr>
      <w:bookmarkStart w:id="1" w:name="title"/>
      <w:r w:rsidRPr="003F22B6">
        <w:t>Politička represija i humanitarna situacija na Kubi</w:t>
      </w:r>
      <w:bookmarkEnd w:id="1"/>
    </w:p>
    <w:p w:rsidR="00C35FAC" w:rsidRPr="003F22B6" w:rsidP="00C35FAC" w14:paraId="4E094546" w14:textId="1EEC6327">
      <w:pPr>
        <w:rPr>
          <w:i/>
          <w:vanish/>
        </w:rPr>
      </w:pPr>
      <w:r>
        <w:rPr>
          <w:i/>
        </w:rPr>
        <w:fldChar w:fldCharType="begin"/>
      </w:r>
      <w:r w:rsidRPr="003F22B6">
        <w:rPr>
          <w:i/>
        </w:rPr>
        <w:instrText xml:space="preserve"> TC"(</w:instrText>
      </w:r>
      <w:bookmarkStart w:id="2" w:name="DocNumber"/>
      <w:r w:rsidRPr="003F22B6">
        <w:rPr>
          <w:i/>
        </w:rPr>
        <w:instrText>B10-0285</w:instrText>
      </w:r>
      <w:r w:rsidR="003F22B6">
        <w:rPr>
          <w:i/>
        </w:rPr>
        <w:instrText>, 0286 i 0291</w:instrText>
      </w:r>
      <w:r w:rsidRPr="003F22B6">
        <w:rPr>
          <w:i/>
        </w:rPr>
        <w:instrText>/2026</w:instrText>
      </w:r>
      <w:bookmarkEnd w:id="2"/>
      <w:r w:rsidRPr="003F22B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35FAC" w:rsidRPr="003F22B6" w:rsidP="00C35FAC" w14:paraId="54B374B5" w14:textId="77777777">
      <w:pPr>
        <w:rPr>
          <w:vanish/>
        </w:rPr>
      </w:pPr>
      <w:bookmarkStart w:id="3" w:name="PE"/>
      <w:r w:rsidRPr="003F22B6">
        <w:rPr>
          <w:vanish/>
        </w:rPr>
        <w:t>PE783.341</w:t>
      </w:r>
      <w:bookmarkEnd w:id="3"/>
    </w:p>
    <w:p w:rsidR="00C35FAC" w:rsidRPr="003F22B6" w:rsidP="00C35FAC" w14:paraId="03911B46" w14:textId="42962F22">
      <w:pPr>
        <w:pStyle w:val="ATHeading3"/>
      </w:pPr>
      <w:bookmarkStart w:id="4" w:name="Sujet"/>
      <w:r w:rsidRPr="003F22B6">
        <w:t xml:space="preserve">Rezolucija Europskog parlamenta od </w:t>
      </w:r>
      <w:r w:rsidR="003F22B6">
        <w:t>18</w:t>
      </w:r>
      <w:r w:rsidRPr="003F22B6">
        <w:t xml:space="preserve">. </w:t>
      </w:r>
      <w:r w:rsidR="003F22B6">
        <w:t xml:space="preserve">lipnja </w:t>
      </w:r>
      <w:r w:rsidRPr="003F22B6">
        <w:t>2026. o političkoj represiji i humanitarnoj situaciji na Kubi</w:t>
      </w:r>
      <w:bookmarkEnd w:id="4"/>
      <w:r w:rsidRPr="003F22B6">
        <w:t xml:space="preserve"> </w:t>
      </w:r>
      <w:bookmarkStart w:id="5" w:name="References"/>
      <w:r w:rsidRPr="003F22B6">
        <w:t>(2026/2735(RSP))</w:t>
      </w:r>
      <w:bookmarkEnd w:id="5"/>
    </w:p>
    <w:p w:rsidR="00D738FA" w:rsidRPr="003F22B6" w:rsidP="00D738FA" w14:paraId="14520CBE" w14:textId="77777777">
      <w:pPr>
        <w:spacing w:before="480" w:after="240"/>
      </w:pPr>
      <w:bookmarkStart w:id="6" w:name="TextBodyBegin"/>
      <w:bookmarkEnd w:id="6"/>
      <w:r w:rsidRPr="003F22B6">
        <w:rPr>
          <w:i/>
          <w:iCs/>
        </w:rPr>
        <w:t>Europski parlament</w:t>
      </w:r>
      <w:r w:rsidRPr="003F22B6">
        <w:t>,</w:t>
      </w:r>
    </w:p>
    <w:p w:rsidR="00D738FA" w:rsidRPr="003F22B6" w:rsidP="00D738FA" w14:paraId="2ABF95EA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svoje prethodne rezolucije o stanju na Kubi, posebno one od 19. rujna 2024. o slučaju Joséa Daniela Ferrera Garcíje na Kubi</w:t>
      </w:r>
      <w:r>
        <w:rPr>
          <w:vertAlign w:val="superscript"/>
        </w:rPr>
        <w:footnoteReference w:id="2"/>
      </w:r>
      <w:r w:rsidRPr="003F22B6">
        <w:t>, od 29. veljače 2024. o kritičnoj situaciji na Kubi</w:t>
      </w:r>
      <w:r>
        <w:rPr>
          <w:vertAlign w:val="superscript"/>
        </w:rPr>
        <w:footnoteReference w:id="3"/>
      </w:r>
      <w:r w:rsidRPr="003F22B6">
        <w:t xml:space="preserve"> i od 12. srpnja 2023. o stanju Sporazuma o političkom dijalogu i suradnji između EU-a i Kube u svjetlu nedavnog posjeta Visokog predstavnika toj zemlji</w:t>
      </w:r>
      <w:r>
        <w:rPr>
          <w:vertAlign w:val="superscript"/>
        </w:rPr>
        <w:footnoteReference w:id="4"/>
      </w:r>
      <w:r w:rsidRPr="003F22B6">
        <w:t>,</w:t>
      </w:r>
    </w:p>
    <w:p w:rsidR="00D738FA" w:rsidRPr="003F22B6" w:rsidP="00D738FA" w14:paraId="12E6F107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Sporazum o političkom dijalogu i suradnji (PDCA) između Europske unije i njezinih država članica, s jedne strane, i Republike Kube, s druge strane</w:t>
      </w:r>
      <w:r>
        <w:rPr>
          <w:vertAlign w:val="superscript"/>
        </w:rPr>
        <w:footnoteReference w:id="5"/>
      </w:r>
      <w:r w:rsidRPr="003F22B6">
        <w:t>, koji je potpisan u prosincu 2016. i privremeno se primjenjuje od 1. studenoga 2017., a posebno klauzulu o ključnim elementima iz njegova članka 1. stavka 5. i klauzulu o suspenziji iz članka 85. stavka 3. točke (b),</w:t>
      </w:r>
    </w:p>
    <w:p w:rsidR="00D738FA" w:rsidRPr="003F22B6" w:rsidP="00D738FA" w14:paraId="40B943CE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suglasnost Parlamenta za Sporazum o političkom dijalogu i suradnji od 5. srpnja 2017., koja se temelji na konkretnom poboljšanju ljudskih prava i temeljnih sloboda na Kubi,</w:t>
      </w:r>
    </w:p>
    <w:p w:rsidR="00D738FA" w:rsidRPr="003F22B6" w:rsidP="00D738FA" w14:paraId="1E6AFA66" w14:textId="77777777">
      <w:pPr>
        <w:spacing w:after="240"/>
        <w:ind w:left="567" w:hanging="567"/>
      </w:pPr>
      <w:r w:rsidRPr="003F22B6">
        <w:t>—</w:t>
      </w:r>
      <w:r w:rsidRPr="003F22B6">
        <w:tab/>
        <w:t xml:space="preserve">uzimajući u obzir Globalni režim sankcija EU-a u području ljudskih prava (europski Zakon </w:t>
      </w:r>
      <w:r w:rsidRPr="003F22B6">
        <w:t>Magnicki</w:t>
      </w:r>
      <w:r w:rsidRPr="003F22B6">
        <w:t>),</w:t>
      </w:r>
    </w:p>
    <w:p w:rsidR="00D738FA" w:rsidRPr="003F22B6" w:rsidP="00D738FA" w14:paraId="0914D640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Opću deklaraciju o ljudskim pravima, Međunarodni pakt o građanskim i političkim pravima, Konvenciju protiv mučenja i drugog okrutnog, neljudskog ili ponižavajućeg postupanja ili kažnjavanja te Konvenciju UN-a o pravima djeteta, kojih je Kuba potpisnica,</w:t>
      </w:r>
    </w:p>
    <w:p w:rsidR="00D738FA" w:rsidRPr="003F22B6" w:rsidP="00D738FA" w14:paraId="7F6C1BC1" w14:textId="77777777">
      <w:pPr>
        <w:spacing w:after="240"/>
        <w:ind w:left="567" w:hanging="567"/>
      </w:pPr>
      <w:r w:rsidRPr="003F22B6">
        <w:t>–</w:t>
      </w:r>
      <w:r w:rsidRPr="003F22B6">
        <w:tab/>
        <w:t xml:space="preserve">uzimajući u obzir izvješća nevladine organizacije </w:t>
      </w:r>
      <w:r w:rsidRPr="003F22B6">
        <w:t>Prisoners</w:t>
      </w:r>
      <w:r w:rsidRPr="003F22B6">
        <w:t xml:space="preserve"> </w:t>
      </w:r>
      <w:r w:rsidRPr="003F22B6">
        <w:t>Defenders</w:t>
      </w:r>
      <w:r w:rsidRPr="003F22B6">
        <w:t xml:space="preserve">, posebno njegovo mjesečno izvješće iz svibnja 2026., objavljeno 11. lipnja 2026., o mučenju, strukturnom </w:t>
      </w:r>
      <w:r w:rsidRPr="003F22B6">
        <w:t>kršenju pravičnog postupka, „</w:t>
      </w:r>
      <w:r w:rsidRPr="003F22B6">
        <w:t>pretkaznenoj</w:t>
      </w:r>
      <w:r w:rsidRPr="003F22B6">
        <w:t xml:space="preserve"> društvenoj opasnosti”, digitalnom nadzoru i prisilnoj pothranjenosti u kubanskim zatvorima,</w:t>
      </w:r>
    </w:p>
    <w:p w:rsidR="00D738FA" w:rsidRPr="003F22B6" w:rsidP="00D738FA" w14:paraId="7171B864" w14:textId="77777777">
      <w:pPr>
        <w:spacing w:after="240"/>
        <w:ind w:left="567" w:hanging="567"/>
      </w:pPr>
      <w:r w:rsidRPr="003F22B6">
        <w:t>–</w:t>
      </w:r>
      <w:r w:rsidRPr="003F22B6">
        <w:tab/>
        <w:t xml:space="preserve">uzimajući u obzir zajedničko saslušanje Odbora za vanjske poslove i Pododbora za ljudska prava o stanju na Kubi održano 5. svibnja 2026. te svjedočanstva koja su predstavili izvjestitelj za Kubu Međuameričke komisije za ljudska prava (IACHR) </w:t>
      </w:r>
      <w:r w:rsidRPr="003F22B6">
        <w:t>Stuardo</w:t>
      </w:r>
      <w:r w:rsidRPr="003F22B6">
        <w:t xml:space="preserve"> </w:t>
      </w:r>
      <w:r w:rsidRPr="003F22B6">
        <w:t>Ralón</w:t>
      </w:r>
      <w:r w:rsidRPr="003F22B6">
        <w:t xml:space="preserve"> </w:t>
      </w:r>
      <w:r w:rsidRPr="003F22B6">
        <w:t>Orellana</w:t>
      </w:r>
      <w:r w:rsidRPr="003F22B6">
        <w:t xml:space="preserve"> te kubanski vođa oporbe i bivši politički zatvorenik José Daniel </w:t>
      </w:r>
      <w:r w:rsidRPr="003F22B6">
        <w:t>Ferrer</w:t>
      </w:r>
      <w:r w:rsidRPr="003F22B6">
        <w:t>,</w:t>
      </w:r>
    </w:p>
    <w:p w:rsidR="00D738FA" w:rsidRPr="003F22B6" w:rsidP="00D738FA" w14:paraId="32BBC924" w14:textId="77777777">
      <w:pPr>
        <w:spacing w:after="240"/>
        <w:ind w:left="567" w:hanging="567"/>
      </w:pPr>
      <w:r w:rsidRPr="003F22B6">
        <w:t>–</w:t>
      </w:r>
      <w:r w:rsidRPr="003F22B6">
        <w:tab/>
        <w:t xml:space="preserve">uzimajući u obzir govore potpredsjednice Komisije / visoke predstavnica Unije za vanjske poslove i sigurnosnu politiku Kaje </w:t>
      </w:r>
      <w:r w:rsidRPr="003F22B6">
        <w:t>Kallas</w:t>
      </w:r>
      <w:r w:rsidRPr="003F22B6">
        <w:t xml:space="preserve"> na plenarnoj sjednici Parlamenta, posebno one od 6. svibnja 2025. i 19. svibnja 2026., te dijaloge o ljudskim pravima između EU-a i Kube,</w:t>
      </w:r>
    </w:p>
    <w:p w:rsidR="00D738FA" w:rsidRPr="003F22B6" w:rsidP="00D738FA" w14:paraId="69204ACF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izjave IACHR-a o Kubi od 25. ožujka 2026.,</w:t>
      </w:r>
    </w:p>
    <w:p w:rsidR="00D738FA" w:rsidRPr="003F22B6" w:rsidP="00D738FA" w14:paraId="16E2D426" w14:textId="77777777">
      <w:pPr>
        <w:spacing w:after="240"/>
        <w:ind w:left="567" w:hanging="567"/>
      </w:pPr>
      <w:r w:rsidRPr="003F22B6">
        <w:t>–</w:t>
      </w:r>
      <w:r w:rsidRPr="003F22B6">
        <w:tab/>
        <w:t xml:space="preserve">uzimajući u obzir Sporazum o slobodi (Sporazum o oslobođenju) koji su 2. ožujka 2026. u Miamiju potpisale kubanske oporbene koalicije </w:t>
      </w:r>
      <w:r w:rsidRPr="003F22B6">
        <w:t>Pasos</w:t>
      </w:r>
      <w:r w:rsidRPr="003F22B6">
        <w:t xml:space="preserve"> de </w:t>
      </w:r>
      <w:r w:rsidRPr="003F22B6">
        <w:t>Cambio</w:t>
      </w:r>
      <w:r w:rsidRPr="003F22B6">
        <w:t xml:space="preserve"> i </w:t>
      </w:r>
      <w:r w:rsidRPr="003F22B6">
        <w:t>Asamblea</w:t>
      </w:r>
      <w:r w:rsidRPr="003F22B6">
        <w:t xml:space="preserve"> de la </w:t>
      </w:r>
      <w:r w:rsidRPr="003F22B6">
        <w:t>Resistencia</w:t>
      </w:r>
      <w:r w:rsidRPr="003F22B6">
        <w:t xml:space="preserve"> </w:t>
      </w:r>
      <w:r w:rsidRPr="003F22B6">
        <w:t>Cubana</w:t>
      </w:r>
      <w:r w:rsidRPr="003F22B6">
        <w:t xml:space="preserve"> (ARC),</w:t>
      </w:r>
    </w:p>
    <w:p w:rsidR="00D738FA" w:rsidRPr="003F22B6" w:rsidP="00D738FA" w14:paraId="16F16D54" w14:textId="77777777">
      <w:pPr>
        <w:spacing w:after="240"/>
        <w:ind w:left="567" w:hanging="567"/>
        <w:rPr>
          <w:color w:val="000000"/>
        </w:rPr>
      </w:pPr>
      <w:r w:rsidRPr="003F22B6">
        <w:rPr>
          <w:color w:val="000000"/>
        </w:rPr>
        <w:t>–</w:t>
      </w:r>
      <w:r w:rsidRPr="003F22B6">
        <w:rPr>
          <w:color w:val="000000"/>
        </w:rPr>
        <w:tab/>
        <w:t xml:space="preserve">uzimajući u obzir izvješće Međuameričke komisije za ljudska prava od 12. lipnja 2023. o slučaju branitelja ljudskih prava Oswalda </w:t>
      </w:r>
      <w:r w:rsidRPr="003F22B6">
        <w:rPr>
          <w:color w:val="000000"/>
        </w:rPr>
        <w:t>Payáe</w:t>
      </w:r>
      <w:r w:rsidRPr="003F22B6">
        <w:rPr>
          <w:color w:val="000000"/>
        </w:rPr>
        <w:t xml:space="preserve"> i Harolda </w:t>
      </w:r>
      <w:r w:rsidRPr="003F22B6">
        <w:rPr>
          <w:color w:val="000000"/>
        </w:rPr>
        <w:t>Ceperoa</w:t>
      </w:r>
      <w:r w:rsidRPr="003F22B6">
        <w:rPr>
          <w:color w:val="000000"/>
        </w:rPr>
        <w:t xml:space="preserve"> na Kubi,</w:t>
      </w:r>
    </w:p>
    <w:p w:rsidR="00D738FA" w:rsidRPr="003F22B6" w:rsidP="00D738FA" w14:paraId="46FBF9D8" w14:textId="77777777">
      <w:pPr>
        <w:spacing w:after="240"/>
        <w:ind w:left="567" w:hanging="567"/>
        <w:rPr>
          <w:color w:val="000000"/>
        </w:rPr>
      </w:pPr>
      <w:r w:rsidRPr="003F22B6">
        <w:rPr>
          <w:color w:val="000000"/>
        </w:rPr>
        <w:t>–</w:t>
      </w:r>
      <w:r w:rsidRPr="003F22B6">
        <w:rPr>
          <w:color w:val="000000"/>
        </w:rPr>
        <w:tab/>
        <w:t xml:space="preserve">uzimajući u obzir optužnicu koja je 20. svibnja 2026. podignuta na Okružnom sudu Sjedinjenih Američkih Država za južni okrug države Floride, u kojoj se </w:t>
      </w:r>
      <w:r w:rsidRPr="003F22B6">
        <w:rPr>
          <w:color w:val="000000"/>
        </w:rPr>
        <w:t>Raúl</w:t>
      </w:r>
      <w:r w:rsidRPr="003F22B6">
        <w:rPr>
          <w:color w:val="000000"/>
        </w:rPr>
        <w:t xml:space="preserve"> Castro i petero drugih dužnosnika optužuju za rušenje dvaju civilnih zrakoplova koji pripadaju organizaciji </w:t>
      </w:r>
      <w:r w:rsidRPr="003F22B6">
        <w:rPr>
          <w:color w:val="000000"/>
        </w:rPr>
        <w:t>Brothers</w:t>
      </w:r>
      <w:r w:rsidRPr="003F22B6">
        <w:rPr>
          <w:color w:val="000000"/>
        </w:rPr>
        <w:t xml:space="preserve"> to </w:t>
      </w:r>
      <w:r w:rsidRPr="003F22B6">
        <w:rPr>
          <w:color w:val="000000"/>
        </w:rPr>
        <w:t>the</w:t>
      </w:r>
      <w:r w:rsidRPr="003F22B6">
        <w:rPr>
          <w:color w:val="000000"/>
        </w:rPr>
        <w:t xml:space="preserve"> </w:t>
      </w:r>
      <w:r w:rsidRPr="003F22B6">
        <w:rPr>
          <w:color w:val="000000"/>
        </w:rPr>
        <w:t>Rescue</w:t>
      </w:r>
      <w:r w:rsidRPr="003F22B6">
        <w:rPr>
          <w:color w:val="000000"/>
        </w:rPr>
        <w:t>, koje se dogodilo 1996.,</w:t>
      </w:r>
    </w:p>
    <w:p w:rsidR="00D738FA" w:rsidRPr="003F22B6" w:rsidP="00D738FA" w14:paraId="4BACB480" w14:textId="77777777">
      <w:pPr>
        <w:spacing w:after="240"/>
        <w:ind w:left="567" w:hanging="567"/>
      </w:pPr>
      <w:r w:rsidRPr="003F22B6">
        <w:t>–</w:t>
      </w:r>
      <w:r w:rsidRPr="003F22B6">
        <w:tab/>
        <w:t>uzimajući u obzir članak 136. stavke 2. i 4. Poslovnika,</w:t>
      </w:r>
    </w:p>
    <w:p w:rsidR="00D738FA" w:rsidRPr="003F22B6" w:rsidP="00D738FA" w14:paraId="3B9574F5" w14:textId="77777777">
      <w:pPr>
        <w:spacing w:after="240"/>
        <w:ind w:left="567" w:hanging="567"/>
      </w:pPr>
      <w:r w:rsidRPr="003F22B6">
        <w:t>A.</w:t>
      </w:r>
      <w:r w:rsidRPr="003F22B6">
        <w:tab/>
        <w:t>budući da je nakon više od pet desetljeća političkih i gospodarskih odluka kubanskog komunističkog režima ta zemlja zapala u duboku krizu obilježenu prekidima opskrbe električnom energijom i do 22 sata dnevno, akutnim nestašicama hrane, vode, goriva i lijekova te raširenim siromaštvom, pod vodstvom jednostranačkog režima koji je čvrsto ukorijenjen ustavom koji traje više od 67 godina te u kojem je to jedina dopuštena politička sila; budući da zbog kolapsa političkog i gospodarskog modela izgrađenog na nepomičnosti, represiji i otporu prema promjenama, zajedno s nepostojanjem slobodnih, poštenih i konkurentnih izbora i zabranom političkog pluralizma, Kuba sve više nalikuje na propalu državu i predstavlja antidemokratsku anomaliju u svojoj regiji;</w:t>
      </w:r>
    </w:p>
    <w:p w:rsidR="00D738FA" w:rsidRPr="003F22B6" w:rsidP="00D738FA" w14:paraId="6FB4A867" w14:textId="77777777">
      <w:pPr>
        <w:spacing w:after="240"/>
        <w:ind w:left="567" w:hanging="567"/>
      </w:pPr>
      <w:r w:rsidRPr="003F22B6">
        <w:t>B.</w:t>
      </w:r>
      <w:r w:rsidRPr="003F22B6">
        <w:tab/>
        <w:t xml:space="preserve">budući da se prema podacima nevladine organizacije </w:t>
      </w:r>
      <w:r w:rsidRPr="003F22B6">
        <w:t>Prisoners</w:t>
      </w:r>
      <w:r w:rsidRPr="003F22B6">
        <w:t xml:space="preserve"> </w:t>
      </w:r>
      <w:r w:rsidRPr="003F22B6">
        <w:t>Defenders</w:t>
      </w:r>
      <w:r w:rsidRPr="003F22B6">
        <w:t xml:space="preserve"> na Kubi krajem svibnja 2026. u zatvoru nalazilo rekordnih 1281 političkih zatvorenika, uključujući maloljetnike, od kojih su neki smješteni u zatvorima s najvećom razinom sigurnosti zajedno s odraslima, pri čemu su mnogi pritvorenici teško bolesni, a među njima se nalaze i sportaši, umjetnici, neovisni novinari i mirni aktivisti; budući da je ta nevladina organizacija dokumentirala sustavna mučenja, seksualno nasilje i prijetnje smrću pritvorenika te je u statistički reprezentativnoj studiji utvrdila da je svaki pregledani politički zatvorenik, uključujući maloljetnike, pretrpio mučenje i da mu je bila uskraćena zdravstvena skrb, u kontekstu opetovanih obrazaca proizvoljnog pritvaranja i pritvaranja u izolaciji, prisilnog privremenog nestanka i uznemiravanja obitelji; budući da je slučaj Joséa Daniela Ferrera, osnivača Domoljubnog saveza Kube i zatvorenika savjesti, čije je puštanje na slobodu Europski parlament više puta zatražio, </w:t>
      </w:r>
      <w:r w:rsidRPr="003F22B6">
        <w:t>simptomatičan za metode kojima se koristi režim, što je rezultiralo njegovim prisilnim egzilom u listopadu 2025.;</w:t>
      </w:r>
    </w:p>
    <w:p w:rsidR="00D738FA" w:rsidRPr="003F22B6" w:rsidP="00D738FA" w14:paraId="00AD699D" w14:textId="77777777">
      <w:pPr>
        <w:spacing w:after="240"/>
        <w:ind w:left="567" w:hanging="567"/>
      </w:pPr>
      <w:r w:rsidRPr="003F22B6">
        <w:t>C.</w:t>
      </w:r>
      <w:r w:rsidRPr="003F22B6">
        <w:tab/>
        <w:t>budući da se obični Kubanci u svakodnevnom životu susreću s bolnicama koje ne mogu normalno funkcionirati i u kojima nema osnovnih lijekova te se od pacijenata traži da ponesu vlastite zalihe, uz kroničnu nestašicu hrane i vode i osnovnih proizvoda koji se prodaju samo u trgovinama u kojima se plaća stranim valutama, što je nedostižno onima koji primaju redovne državne plaće; budući da prema podacima Kubanskog opservatorija za ljudska prava 89 % obitelji živi u ekstremnom siromaštvu, a sedam od deset Kubanaca mora preskočiti obroke, dok UN bilježi čekanja za više od 96 000 operacija, uključujući 11 000 operacija za djecu, dok oko milijun ljudi ovisi o kamionima s vodom koji su ograničeni zbog nestašice goriva;</w:t>
      </w:r>
    </w:p>
    <w:p w:rsidR="00D738FA" w:rsidRPr="003F22B6" w:rsidP="00D738FA" w14:paraId="17B9589F" w14:textId="77777777">
      <w:pPr>
        <w:spacing w:after="240"/>
        <w:ind w:left="567" w:hanging="567"/>
      </w:pPr>
      <w:r w:rsidRPr="003F22B6">
        <w:t>D.</w:t>
      </w:r>
      <w:r w:rsidRPr="003F22B6">
        <w:tab/>
        <w:t>budući da je EU u travnju 2026. oslobodio dodatna 2 milijuna EUR humanitarne pomoći, uz 4 milijuna EUR koji su ove godine već dodijeljeni karipskoj regiji, za potporu humanitarnim partnerima koji pružaju hitnu pomoć najranjivijim skupinama; budući da je ažurirani akcijski plan UN-a za Kubu, kojim se nastoji pomoći oko dva milijuna ljudi, i dalje u velikoj mjeri nedovoljno financiran s obzirom na to da je UN mobilizirao 26,2 milijuna USD, ali i dalje postoji manjak od 68 milijuna USD;</w:t>
      </w:r>
    </w:p>
    <w:p w:rsidR="00D738FA" w:rsidRPr="003F22B6" w:rsidP="00D738FA" w14:paraId="3C898229" w14:textId="77777777">
      <w:pPr>
        <w:spacing w:after="240"/>
        <w:ind w:left="567" w:hanging="567"/>
      </w:pPr>
      <w:r w:rsidRPr="003F22B6">
        <w:t>E.</w:t>
      </w:r>
      <w:r w:rsidRPr="003F22B6">
        <w:tab/>
        <w:t>budući da kumulativna inflacija na Kubi tijekom posljednje četiri godine premašuje 500 %, dok vrijednost državnih plaća iznosi između 15 i 25 USD mjesečno po stopi na crnom tržištu, što je jedina realistična stopa u toj zemlji; budući da je režim učinio tu zemlju ovisnom o uvezenom gorivu i da su Rusija i Venezuela, kao njezini tradicionalni dobavljači, ograničile isporuke te se energetska kriza produbila, što je dovelo do potpunog kolapsa nacionalnog elektroenergetskog sustava u trajanju od nekoliko dana u listopadu 2024., zbog čega je 11 milijuna ljudi ostalo bez električne energije;</w:t>
      </w:r>
    </w:p>
    <w:p w:rsidR="00D738FA" w:rsidRPr="003F22B6" w:rsidP="00D738FA" w14:paraId="02533F4B" w14:textId="77777777">
      <w:pPr>
        <w:spacing w:after="240"/>
        <w:ind w:left="567" w:hanging="567"/>
      </w:pPr>
      <w:r w:rsidRPr="003F22B6">
        <w:t>F.</w:t>
      </w:r>
      <w:r w:rsidRPr="003F22B6">
        <w:tab/>
        <w:t>budući da Kuba danas uvozi više od 70 % hrane koju konzumira, unatoč tome što je to tropska zemlja s plodnim tlom koja je nekad bila jedan od najvećih svjetskih proizvođača šećera, a taj je kolaps izravna posljedica desetljeća kolektivizirane i militarizirane poljoprivrede pod kontrolom države te neproduktivnog gospodarskog modela;</w:t>
      </w:r>
    </w:p>
    <w:p w:rsidR="00D738FA" w:rsidRPr="003F22B6" w:rsidP="00D738FA" w14:paraId="4EAFDAB1" w14:textId="77777777">
      <w:pPr>
        <w:spacing w:after="240"/>
        <w:ind w:left="567" w:hanging="567"/>
      </w:pPr>
      <w:r w:rsidRPr="003F22B6">
        <w:t>G.</w:t>
      </w:r>
      <w:r w:rsidRPr="003F22B6">
        <w:tab/>
        <w:t>budući da humanitarna kriza nije rezultat vanjskog embarga, već izravna posljedica modela i neuspjeha vlasti, odnosno militarizacije i državne monopolizacije gospodarstva, gušenja privatnog poduzetništva i preusmjeravanja resursa u sigurnosni aparat, a ne u hranu, lijekove i električnu energiju koji su potrebni njegovu stanovništvu; budući da je taj model utjelovljen u korumpiranom vojnom konglomeratu GAESA, koji kontrolira gotovo polovicu kubanskog gospodarstva, nikome ne polaže račune i prisvaja prihode režima koji se ostvaruju u čvrstim valutama, među ostalim od medicinskih misija koje je UN usporedio s prisilnim radom, dok se bolnice suočavaju s nestašicom osnovnih zaliha; budući da se ta kriza ne može odvojiti od desetljeća državne represije i da bi daljnja nestabilnost mogla imati ozbiljnije humanitarne, migracijske i sigurnosne posljedice;</w:t>
      </w:r>
    </w:p>
    <w:p w:rsidR="00D738FA" w:rsidRPr="003F22B6" w:rsidP="00D738FA" w14:paraId="4B6585DB" w14:textId="77777777">
      <w:pPr>
        <w:spacing w:after="240"/>
        <w:ind w:left="567" w:hanging="567"/>
      </w:pPr>
      <w:r w:rsidRPr="003F22B6">
        <w:t>H.</w:t>
      </w:r>
      <w:r w:rsidRPr="003F22B6">
        <w:tab/>
        <w:t xml:space="preserve">budući da su odnosi EU-a i Kube uređeni Sporazumom o političkom dijalogu i suradnji, čiji je navedeni cilj bio postupno otvaranje režima i poboljšanje položaja njegovih građana; budući da gotovo devet godina nakon što je Parlament dao suglasnost za Sporazum o političkom dijalogu i suradnji režim nije započeo s nikakvim značajnim otvaranjem, već je umjesto toga pojačao represiju, progonio one koji izražavaju neslaganje i povećao broj političkih zatvorenika, dok se gospodarska situacija pogoršala </w:t>
      </w:r>
      <w:r w:rsidRPr="003F22B6">
        <w:t>do neprihvatljivih razina; budući da Sporazum nije ispunio svoju osnovnu svrhu i da je potpredsjednica Komisije / visoka predstavnica Unije za vanjske poslove i sigurnosnu politiku potvrdila da Sporazum nije ispunio svoje ciljeve i da se trenutačno preispituje;</w:t>
      </w:r>
    </w:p>
    <w:p w:rsidR="00D738FA" w:rsidRPr="003F22B6" w:rsidP="00D738FA" w14:paraId="10CCECF7" w14:textId="77777777">
      <w:pPr>
        <w:spacing w:after="240"/>
        <w:ind w:left="567" w:hanging="567"/>
      </w:pPr>
      <w:r w:rsidRPr="003F22B6">
        <w:t>I.</w:t>
      </w:r>
      <w:r w:rsidRPr="003F22B6">
        <w:tab/>
        <w:t>budući da mnogi odbacuju režim, i na otoku i drugdje, o čemu svjedoče opetovani prosvjedi i „udaranje o lonce” (</w:t>
      </w:r>
      <w:r w:rsidRPr="003F22B6">
        <w:rPr>
          <w:i/>
        </w:rPr>
        <w:t>cacerolazo</w:t>
      </w:r>
      <w:r w:rsidRPr="003F22B6">
        <w:t>), kao i najveći egzodus u kubanskoj povijesti, pri čemu stotine tisuća ljudi odlazi u potrazi za boljom budućnošću, a mnogi koji su pobjegli ili su protjerani spriječeni su da se vrate i ostaju u egzilu; budući da je jedini odgovor režima na zahtjeve za promjenama učvrstiti se i pojačati represiju;</w:t>
      </w:r>
    </w:p>
    <w:p w:rsidR="00D738FA" w:rsidRPr="003F22B6" w:rsidP="00D738FA" w14:paraId="20AB815F" w14:textId="77777777">
      <w:pPr>
        <w:spacing w:after="240"/>
        <w:ind w:left="567" w:hanging="567"/>
        <w:rPr>
          <w:bCs/>
        </w:rPr>
      </w:pPr>
      <w:r w:rsidRPr="003F22B6">
        <w:t>J.</w:t>
      </w:r>
      <w:r w:rsidRPr="003F22B6">
        <w:tab/>
        <w:t xml:space="preserve">budući da je brutalna i neumoljiva represija jedini mehanizam kojim se režim održava na životu; budući da su u srpnju 2021. tisuće izašle na ulice na više od pedeset mjesta izvikujući „Sloboda!”, što je bio najveći val prosvjeda od 1994., a ugušili su ga policija u civilu, </w:t>
      </w:r>
      <w:r w:rsidRPr="003F22B6">
        <w:t>paravojneskupine</w:t>
      </w:r>
      <w:r w:rsidRPr="003F22B6">
        <w:t xml:space="preserve"> i Odbori za obranu revolucije; budući da su stotine osoba proizvoljno pritvorene, a više od 700 osoba bilo je podvrgnuto skraćenim sudskim postupcima koje je Parlament osudio kao „pravosudnu farsu” i u kojima su izrečene kazne u trajanju do 25 godina samo zbog mirnog prosvjedovanja, što može predstavljati zločin protiv čovječnosti; budući da je ta poruka namjerno služila kao primjer: tko god prosvjeduje riskira svoj posao, slobodu, obitelj ili život;</w:t>
      </w:r>
    </w:p>
    <w:p w:rsidR="00D738FA" w:rsidRPr="003F22B6" w:rsidP="00D738FA" w14:paraId="6E8ED17B" w14:textId="77777777">
      <w:pPr>
        <w:spacing w:after="240"/>
        <w:ind w:left="567" w:hanging="567"/>
      </w:pPr>
      <w:r w:rsidRPr="003F22B6">
        <w:t>K.</w:t>
      </w:r>
      <w:r w:rsidRPr="003F22B6">
        <w:tab/>
        <w:t>budući da režim uporno odbija ulazak izaslanstvima Europskog parlamenta, posebnim izvjestiteljima UN-a i neovisnim promatračima te ustraje u isključivanju demokratske oporbe i neovisnog civilnog društva iz svakog političkog dijaloga;</w:t>
      </w:r>
    </w:p>
    <w:p w:rsidR="00D738FA" w:rsidRPr="003F22B6" w:rsidP="00D738FA" w14:paraId="78074FD2" w14:textId="77777777">
      <w:pPr>
        <w:spacing w:after="240"/>
        <w:ind w:left="567" w:hanging="567"/>
      </w:pPr>
      <w:r w:rsidRPr="003F22B6">
        <w:t>L.</w:t>
      </w:r>
      <w:r w:rsidRPr="003F22B6">
        <w:tab/>
        <w:t>budući da su posljednjih mjeseci održani pregovori između režima i vlade Sjedinjenih Američkih Država, pri čemu sadržaj i dalje neotkriven, a režim je priznao pregovore s Washingtonom; budući da su Sjedinjene Države uvele ciljane sankcije protiv visokih dužnosnika režima i protiv institucija njegova sigurnosnog i vojnog aparata, navodeći kao razlog represiju režima nad vlastitim narodom i neprijateljske aktivnosti režima u inozemstvu; budući da niti jedan proces normalizacije odnosa ne smije biti nauštrb ljudskih prava niti izuzet od odgovornosti;</w:t>
      </w:r>
    </w:p>
    <w:p w:rsidR="00D738FA" w:rsidRPr="003F22B6" w:rsidP="00D738FA" w14:paraId="4B8E1A1C" w14:textId="77777777">
      <w:pPr>
        <w:spacing w:after="240"/>
        <w:ind w:left="567" w:hanging="567"/>
      </w:pPr>
      <w:r w:rsidRPr="003F22B6">
        <w:t>M.</w:t>
      </w:r>
      <w:r w:rsidRPr="003F22B6">
        <w:tab/>
        <w:t>budući da režim održava blisku vojnu suradnju s Ruskom Federacijom, uključujući navode o novačenju više od 1000 kubanskih državljana za borbu u ruskoj ratnoj agresiji na Ukrajinu, što nije u skladu s duhom Sporazuma o političkom dijalogu i suradnji te je u suprotnosti sa sigurnosnim interesima EU-a; budući da je krajem ožujka 2026. tankeru u ruskom vlasništvu, koji je prema procjenama prevozio 730 000 barela sirove nafte, dopušteno pristajanje na sjevernu obalu Kube;</w:t>
      </w:r>
    </w:p>
    <w:p w:rsidR="00D738FA" w:rsidRPr="003F22B6" w:rsidP="00D738FA" w14:paraId="258C7087" w14:textId="77777777">
      <w:pPr>
        <w:spacing w:after="240"/>
        <w:ind w:left="567" w:hanging="567"/>
      </w:pPr>
      <w:r w:rsidRPr="003F22B6">
        <w:t>N.</w:t>
      </w:r>
      <w:r w:rsidRPr="003F22B6">
        <w:tab/>
        <w:t>budući da je 2. ožujka 2026. više od 50 kubanskih oporbenih organizacija i organizacija civilnog društva na Kubi i u egzilu predstavilo plan za demokratsku tranziciju poznat kao Sporazum o oslobođenju ili Dogovor o slobodi, u kojem su definirane tri faze, odnosno oslobođenje, stabilizacija i obnova te demokratizacija, i koje kulminiraju slobodnim, poštenim i višestranačkim izborima pod nadzorom međunarodne zajednice; budući da svaku tranziciju moraju predvoditi građani Kube i da u njoj moraju sudjelovati svi Kubanci, kako na otoku tako i u dijaspori;</w:t>
      </w:r>
    </w:p>
    <w:p w:rsidR="00D738FA" w:rsidRPr="003F22B6" w:rsidP="00D738FA" w14:paraId="17C5A20B" w14:textId="77777777">
      <w:pPr>
        <w:spacing w:after="240"/>
        <w:ind w:left="567" w:hanging="567"/>
        <w:rPr>
          <w:bCs/>
          <w:iCs/>
        </w:rPr>
      </w:pPr>
      <w:r w:rsidRPr="003F22B6">
        <w:t>1.</w:t>
      </w:r>
      <w:r w:rsidRPr="003F22B6">
        <w:tab/>
        <w:t xml:space="preserve">najoštrije osuđuje sustavnu represiju koju provodi kubanski režim, posebno mučenje, seksualno nasilje, prijetnje smrću, prisilnu pothranjenost, masovni nadzor, prisilni rad i sudski progon političkih zatvorenika, prosvjednika, disidenata, studenata, vjerskih vođa i boraca za ljudska prava, te zatvaranje djece; izražava punu solidarnost s kubanskim narodom i svima koji su progonjeni zbog obrane svojih temeljnih prava, uključujući </w:t>
      </w:r>
      <w:r w:rsidRPr="003F22B6">
        <w:t>čelnike tradicionalne i nove demokratske oporbe te neovisne građanske pokrete;</w:t>
      </w:r>
    </w:p>
    <w:p w:rsidR="00D738FA" w:rsidRPr="003F22B6" w:rsidP="00D738FA" w14:paraId="13E63FEA" w14:textId="77777777">
      <w:pPr>
        <w:spacing w:after="240"/>
        <w:ind w:left="567" w:hanging="567"/>
        <w:rPr>
          <w:bCs/>
          <w:iCs/>
        </w:rPr>
      </w:pPr>
      <w:r w:rsidRPr="003F22B6">
        <w:t>2.</w:t>
      </w:r>
      <w:r w:rsidRPr="003F22B6">
        <w:tab/>
        <w:t>zahtijeva trenutačno i bezuvjetno puštanje na slobodu svih političkih zatvorenika i svih osoba koje su proizvoljno pritvorene zbog ostvarivanja svojih temeljnih prava, uključujući maloljetnike, okončanje mučenja i zlostavljanja, trenutačan pristup slobodnim i poštenim suđenjima i zdravstvenoj skrbi za teško bolesne osobe te potpunu odštetu za žrtve mučenja; zahtijeva da režim omogući nesmetan pristup do svih prostora za pritvor Međunarodnom odboru Crvenog križa, posebnim izvjestiteljima i voditeljima postupaka UN-a, izaslanstvima Europskog parlamenta i neovisnim promatračima te žali zbog njegova opetovanog odbijanja da to učini;</w:t>
      </w:r>
    </w:p>
    <w:p w:rsidR="00D738FA" w:rsidRPr="003F22B6" w:rsidP="00D738FA" w14:paraId="032EA52A" w14:textId="77777777">
      <w:pPr>
        <w:spacing w:after="240"/>
        <w:ind w:left="567" w:hanging="567"/>
      </w:pPr>
      <w:r w:rsidRPr="003F22B6">
        <w:t>3.</w:t>
      </w:r>
      <w:r w:rsidRPr="003F22B6">
        <w:tab/>
        <w:t>smatra da su jedini način da kubanski narod izađe iz poteškoća, siromaštva i izolacije duboke gospodarske i političke promjene koje odmah vode do prijelaza na potpunu višestranačku demokraciju u kojoj nema progona, zatvaranja, mučenja ili ubijanja disidenata i u kojoj se poštuju temeljna prava i slobode putem uključivog nacionalnog dijaloga prema toj tranziciji bez ograničenja;</w:t>
      </w:r>
    </w:p>
    <w:p w:rsidR="00D738FA" w:rsidRPr="003F22B6" w:rsidP="00D738FA" w14:paraId="2F82F5BB" w14:textId="77777777">
      <w:pPr>
        <w:spacing w:after="240"/>
        <w:ind w:left="567" w:hanging="567"/>
        <w:rPr>
          <w:bCs/>
          <w:iCs/>
        </w:rPr>
      </w:pPr>
      <w:r w:rsidRPr="003F22B6">
        <w:t>4.</w:t>
      </w:r>
      <w:r w:rsidRPr="003F22B6">
        <w:tab/>
        <w:t>potiče kubanski režim da predloži održive i smislene gospodarske reforme kojima se osigurava pravna sigurnost i podupiru neovisni gospodarski akteri, privatne inicijative, ulaganja i slobode, kao ključne načine za izbjegavanje kolapsa;</w:t>
      </w:r>
    </w:p>
    <w:p w:rsidR="00737747" w:rsidRPr="00737747" w:rsidP="00D738FA" w14:paraId="58F4B83D" w14:textId="636979F0">
      <w:pPr>
        <w:spacing w:after="240"/>
        <w:ind w:left="567" w:hanging="567"/>
        <w:rPr>
          <w:bCs/>
          <w:iCs/>
        </w:rPr>
      </w:pPr>
      <w:r w:rsidRPr="00320864">
        <w:rPr>
          <w:bCs/>
          <w:iCs/>
        </w:rPr>
        <w:t>5.</w:t>
      </w:r>
      <w:r w:rsidRPr="00320864">
        <w:rPr>
          <w:bCs/>
          <w:iCs/>
        </w:rPr>
        <w:tab/>
        <w:t>poziva kubanske vlasti da zaštite ljudska prava i zajamče pravo na mirno okupljanje i slobodno izražavanje, bez diskriminacije na temelju političkih stajališta; oštro osuđuje sva kršenja građanskih i političkih prava i sloboda, uključujući proizvoljno pritvaranje, zlostavljanje, mučenje, ograničavanje slobode izražavanja, udruživanja i mirnog okupljanja, uznemiravanje neovisnih novinara, boraca za ljudska prava i aktera civilnog društva, kao i nerazmjernu primjenu kaznenih sankcija protiv mirnih prosvjednika;</w:t>
      </w:r>
    </w:p>
    <w:p w:rsidR="00D738FA" w:rsidRPr="003F22B6" w:rsidP="00D738FA" w14:paraId="4E19C6A0" w14:textId="094C16CE">
      <w:pPr>
        <w:spacing w:after="240"/>
        <w:ind w:left="567" w:hanging="567"/>
      </w:pPr>
      <w:r>
        <w:t>6</w:t>
      </w:r>
      <w:r w:rsidRPr="003F22B6">
        <w:t>.</w:t>
      </w:r>
      <w:r w:rsidRPr="003F22B6">
        <w:tab/>
        <w:t>ponavlja svoja prethodna stajališta o aktivaciji klauzule o suspenziji Sporazuma o političkom dijalogu i suradnji te poziva potpredsjednicu Komisije / visoku predstavnicu Unije za vanjske poslove i sigurnosnu politiku i države članice da pojasne da će, ako se ne poduzmu jasni, konkretni i značajni koraci prema uvođenju takvih promjena,</w:t>
      </w:r>
      <w:r w:rsidRPr="003F22B6">
        <w:tab/>
        <w:t>uključujući jasan prijedlog plana za demokratsku tranziciju na Kubi, trenutačno i bezuvjetno puštanje na slobodu gotovo 1300 političkih zatvorenika i odobrenje Kubancima koji su prisiljeni na bolan put egzila da se vrate bez odmazde, EU bi bez daljnje odgode trebao nastaviti s obustavom Sporazuma o političkom dijalogu i suradnji, koji kubanski režim sustavno krši;</w:t>
      </w:r>
    </w:p>
    <w:p w:rsidR="00D738FA" w:rsidRPr="003F22B6" w:rsidP="00D738FA" w14:paraId="4DE5C1BD" w14:textId="4713A54B">
      <w:pPr>
        <w:spacing w:after="240"/>
        <w:ind w:left="567" w:hanging="567"/>
        <w:rPr>
          <w:bCs/>
          <w:iCs/>
        </w:rPr>
      </w:pPr>
      <w:r>
        <w:t>7</w:t>
      </w:r>
      <w:r w:rsidRPr="003F22B6">
        <w:t>.</w:t>
      </w:r>
      <w:r w:rsidRPr="003F22B6">
        <w:tab/>
        <w:t xml:space="preserve">poziva na ciljane mjere u okviru Zakona </w:t>
      </w:r>
      <w:r w:rsidRPr="003F22B6">
        <w:t>Magnicki</w:t>
      </w:r>
      <w:r w:rsidRPr="003F22B6">
        <w:t xml:space="preserve"> EU-a protiv onih koji su odgovorni za represiju, počevši od najviših dužnosnika režima, uključujući Miguela Díaz-</w:t>
      </w:r>
      <w:r w:rsidRPr="003F22B6">
        <w:t>Canela</w:t>
      </w:r>
      <w:r w:rsidRPr="003F22B6">
        <w:t xml:space="preserve"> i višeg zapovjednog lanca sigurnosnog, pravosudnog i zatvorskog aparata, te protiv vodstva GAESA-e;</w:t>
      </w:r>
    </w:p>
    <w:p w:rsidR="00D738FA" w:rsidRPr="003F22B6" w:rsidP="00D738FA" w14:paraId="024652CB" w14:textId="57B8FA86">
      <w:pPr>
        <w:spacing w:after="240"/>
        <w:ind w:left="567" w:hanging="567"/>
        <w:rPr>
          <w:bCs/>
          <w:iCs/>
        </w:rPr>
      </w:pPr>
      <w:r>
        <w:t>8</w:t>
      </w:r>
      <w:r w:rsidRPr="003F22B6">
        <w:t>.</w:t>
      </w:r>
      <w:r w:rsidRPr="003F22B6">
        <w:tab/>
        <w:t xml:space="preserve">poziva režim da u svim svojim oblicima ukine </w:t>
      </w:r>
      <w:r w:rsidRPr="003F22B6">
        <w:t>predkaznene</w:t>
      </w:r>
      <w:r w:rsidRPr="003F22B6">
        <w:t xml:space="preserve"> mehanizme koji se koriste ušutkavanje i proizvoljno zatvaranje građana te da pusti na slobodu sve osobe osuđene na temelju toga bez počinjenja kaznenog djela;</w:t>
      </w:r>
    </w:p>
    <w:p w:rsidR="00D738FA" w:rsidRPr="003F22B6" w:rsidP="00D738FA" w14:paraId="5EE2F522" w14:textId="6E6FBD12">
      <w:pPr>
        <w:spacing w:after="240"/>
        <w:ind w:left="567" w:hanging="567"/>
        <w:rPr>
          <w:bCs/>
          <w:iCs/>
        </w:rPr>
      </w:pPr>
      <w:r>
        <w:t>9</w:t>
      </w:r>
      <w:r w:rsidRPr="003F22B6">
        <w:t>.</w:t>
      </w:r>
      <w:r w:rsidRPr="003F22B6">
        <w:tab/>
        <w:t>poziva na neovisnu međunarodnu istragu zatvorskih uvjeta, režima prisilne pothranjenosti i smrtnih slučajeva u pritvoru;</w:t>
      </w:r>
    </w:p>
    <w:p w:rsidR="00D738FA" w:rsidRPr="003F22B6" w:rsidP="00D738FA" w14:paraId="43E30CD2" w14:textId="4FB545F0">
      <w:pPr>
        <w:spacing w:after="240"/>
        <w:ind w:left="567" w:hanging="567"/>
        <w:rPr>
          <w:bCs/>
          <w:iCs/>
        </w:rPr>
      </w:pPr>
      <w:r>
        <w:t>10</w:t>
      </w:r>
      <w:r w:rsidRPr="003F22B6">
        <w:t>.</w:t>
      </w:r>
      <w:r w:rsidRPr="003F22B6">
        <w:tab/>
        <w:t xml:space="preserve">osuđuje materijalnu potporu režima ruskoj ratnoj agresiji na Ukrajinu, uključujući novačenje kubanskih državljana za borbu protiv Ukrajine i sve tješnju vojnu suradnju s </w:t>
      </w:r>
      <w:r w:rsidRPr="003F22B6">
        <w:t xml:space="preserve">Moskvom, te ustraje u tome da to pitanje bude središnji element revizije odnosa između EU-a i Kube; jednako tako osuđuje svrstavanje režima uz </w:t>
      </w:r>
      <w:r w:rsidRPr="003F22B6">
        <w:t>Lukašenkov</w:t>
      </w:r>
      <w:r w:rsidRPr="003F22B6">
        <w:t xml:space="preserve"> režim u </w:t>
      </w:r>
      <w:r w:rsidRPr="003F22B6">
        <w:t>Bjelarusu</w:t>
      </w:r>
      <w:r w:rsidRPr="003F22B6">
        <w:t>, uključujući bliske vojne i sigurnosne veze kojima se ugrožava europska sigurnost;</w:t>
      </w:r>
    </w:p>
    <w:p w:rsidR="00D738FA" w:rsidRPr="003F22B6" w:rsidP="00D738FA" w14:paraId="786F9B3E" w14:textId="7848DF53">
      <w:pPr>
        <w:spacing w:after="240"/>
        <w:ind w:left="567" w:hanging="567"/>
      </w:pPr>
      <w:r>
        <w:t>11</w:t>
      </w:r>
      <w:r w:rsidRPr="003F22B6">
        <w:t>.</w:t>
      </w:r>
      <w:r w:rsidRPr="003F22B6">
        <w:tab/>
        <w:t>ustraje u tome da neovisno civilno društvo i demokratska oporba moraju moći sudjelovati u svim dijalozima u okviru Sporazuma o političkom dijalogu i suradnji bez straha od odmazde, što je također zahtjev Sporazuma o političkom dijalogu i suradnji, te da EU ni na koji način ne smije biti uključen u kršenja ljudskih prava na otoku, uključujući medicinske misije za prisilni rad, od kojih režim zahtijeva da ih napusti u svim oblicima;</w:t>
      </w:r>
    </w:p>
    <w:p w:rsidR="00D738FA" w:rsidRPr="003F22B6" w:rsidP="00D738FA" w14:paraId="6CA39A3F" w14:textId="1EAC7CDF">
      <w:pPr>
        <w:spacing w:after="240"/>
        <w:ind w:left="567" w:hanging="567"/>
        <w:rPr>
          <w:bCs/>
          <w:iCs/>
        </w:rPr>
      </w:pPr>
      <w:r>
        <w:t>12</w:t>
      </w:r>
      <w:r w:rsidRPr="003F22B6">
        <w:t>.</w:t>
      </w:r>
      <w:r w:rsidRPr="003F22B6">
        <w:tab/>
        <w:t>izražava duboku i goruću zabrinutost zbog dramatičnog pogoršanja životnih uvjeta na Kubi i sve većih humanitarnih posljedica nedostatka pristupa gorivu, lijekovima, hrani i drugim osnovnim dobrima i javnim uslugama, što posebno utječe na ranjive skupine; poziva Komisiju i države članice da razviju humanitarne kanale za izravnu isporuku energije, hrane i lijekova kubanskom narodu i neovisnim poduzećima, zaobilazeći državu, te poziva sve donatore da povećaju humanitarnu pomoć, koja mora ostati zaštićena, bez državnog posredovanja i nikada ne smije financirati režim;</w:t>
      </w:r>
    </w:p>
    <w:p w:rsidR="00D738FA" w:rsidRPr="003F22B6" w:rsidP="00D738FA" w14:paraId="5B61657C" w14:textId="5A3F4B74">
      <w:pPr>
        <w:spacing w:after="240"/>
        <w:ind w:left="567" w:hanging="567"/>
        <w:rPr>
          <w:bCs/>
          <w:iCs/>
        </w:rPr>
      </w:pPr>
      <w:r>
        <w:t>13</w:t>
      </w:r>
      <w:r w:rsidRPr="003F22B6">
        <w:t>.</w:t>
      </w:r>
      <w:r w:rsidRPr="003F22B6">
        <w:tab/>
        <w:t>spreman je, zajedno s međunarodnom zajednicom, pružiti Kubi znatnu pomoć preko kanala koji djeluju neovisno od vlade kad Kuba započne s vjerodostojnom demokratskom tranzicijom kako bi ta zemlja mogla prosperirati i jamčiti dobrobit svojih građana; poziva potpredsjednicu Komisije / visoku predstavnicu Unije za vanjske poslove i sigurnosnu politiku i države članice da dosljedno raspravljaju o tim slučajevima na svim relevantnim forumima te da podrže odgovornost i mirnu tranziciju koju predvode građani;</w:t>
      </w:r>
    </w:p>
    <w:p w:rsidR="00E365E1" w:rsidRPr="003F22B6" w:rsidP="003F22B6" w14:paraId="652BD96E" w14:textId="493E962E">
      <w:pPr>
        <w:ind w:left="567" w:hanging="567"/>
      </w:pPr>
      <w:r>
        <w:t>14</w:t>
      </w:r>
      <w:r w:rsidRPr="003F22B6" w:rsidR="00D738FA">
        <w:t>.</w:t>
      </w:r>
      <w:r w:rsidRPr="003F22B6" w:rsidR="00D738FA">
        <w:tab/>
        <w:t>nalaže svojoj predsjednici da ovu Rezoluciju proslijedi Vijeću, Komisiji, rotirajućem predsjedništvu Vijeća, potpredsjednici Komisije / visokoj predstavnici Unije za vanjske poslove i sigurnosnu politiku, posebnom predstavniku EU-a za ljudska prava, vladama i parlamentima država članica, Organizaciji američkih država, Ujedinjenim narodima, Europsko-</w:t>
      </w:r>
      <w:r w:rsidRPr="003F22B6" w:rsidR="00D738FA">
        <w:t>latinskoameričkoj</w:t>
      </w:r>
      <w:r w:rsidRPr="003F22B6" w:rsidR="00D738FA">
        <w:t xml:space="preserve"> parlamentarnoj skupštini, zemljama Zajednice </w:t>
      </w:r>
      <w:r w:rsidRPr="003F22B6" w:rsidR="00D738FA">
        <w:t>latinskoameričkih</w:t>
      </w:r>
      <w:r w:rsidRPr="003F22B6" w:rsidR="00D738FA">
        <w:t xml:space="preserve"> i karipskih država te kubanskom režimu.</w:t>
      </w:r>
    </w:p>
    <w:sectPr w:rsidSect="00EC2C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35FAC" w:rsidRPr="00EC2CE7" w14:paraId="6D4BBA47" w14:textId="77777777">
      <w:r w:rsidRPr="00EC2CE7">
        <w:separator/>
      </w:r>
    </w:p>
  </w:footnote>
  <w:footnote w:type="continuationSeparator" w:id="1">
    <w:p w:rsidR="00C35FAC" w:rsidRPr="00EC2CE7" w14:paraId="734C6EC2" w14:textId="77777777">
      <w:r w:rsidRPr="00EC2CE7">
        <w:continuationSeparator/>
      </w:r>
    </w:p>
  </w:footnote>
  <w:footnote w:id="2">
    <w:p w:rsidR="00D738FA" w:rsidRPr="00EC2CE7" w:rsidP="00EC2CE7" w14:paraId="256C714E" w14:textId="1DCF45A4">
      <w:pPr>
        <w:pStyle w:val="FootnoteText"/>
        <w:ind w:left="567" w:hanging="567"/>
        <w:rPr>
          <w:sz w:val="24"/>
          <w:lang w:val="hr-HR"/>
        </w:rPr>
      </w:pPr>
      <w:r w:rsidRPr="00EC2CE7">
        <w:rPr>
          <w:rStyle w:val="FootnoteReference"/>
          <w:sz w:val="24"/>
          <w:lang w:val="hr-HR"/>
        </w:rPr>
        <w:footnoteRef/>
      </w:r>
      <w:r w:rsidRPr="00EC2CE7" w:rsidR="00EC2CE7">
        <w:rPr>
          <w:sz w:val="24"/>
          <w:lang w:val="hr-HR"/>
        </w:rPr>
        <w:t xml:space="preserve"> </w:t>
      </w:r>
      <w:r w:rsidRPr="00EC2CE7" w:rsidR="00EC2CE7">
        <w:rPr>
          <w:sz w:val="24"/>
          <w:lang w:val="hr-HR"/>
        </w:rPr>
        <w:tab/>
      </w:r>
      <w:r w:rsidRPr="00EC2CE7">
        <w:rPr>
          <w:sz w:val="24"/>
          <w:lang w:val="hr-HR"/>
        </w:rPr>
        <w:t xml:space="preserve">SL C, C/2024/7213, 10.12.2024., ELI: </w:t>
      </w:r>
      <w:hyperlink r:id="rId1" w:history="1">
        <w:r w:rsidRPr="003F22B6">
          <w:rPr>
            <w:rStyle w:val="Hyperlink"/>
            <w:sz w:val="24"/>
            <w:lang w:val="hr-HR"/>
          </w:rPr>
          <w:t>http://data.europa.eu/eli/C/2024/7213/oj</w:t>
        </w:r>
      </w:hyperlink>
      <w:r w:rsidRPr="00EC2CE7">
        <w:rPr>
          <w:sz w:val="24"/>
          <w:lang w:val="hr-HR"/>
        </w:rPr>
        <w:t>.</w:t>
      </w:r>
    </w:p>
  </w:footnote>
  <w:footnote w:id="3">
    <w:p w:rsidR="00D738FA" w:rsidRPr="00EC2CE7" w:rsidP="00EC2CE7" w14:paraId="4C43936E" w14:textId="73509BFF">
      <w:pPr>
        <w:pStyle w:val="FootnoteText"/>
        <w:ind w:left="567" w:hanging="567"/>
        <w:rPr>
          <w:sz w:val="24"/>
          <w:lang w:val="hr-HR"/>
        </w:rPr>
      </w:pPr>
      <w:r w:rsidRPr="00EC2CE7">
        <w:rPr>
          <w:rStyle w:val="FootnoteReference"/>
          <w:sz w:val="24"/>
          <w:lang w:val="hr-HR"/>
        </w:rPr>
        <w:footnoteRef/>
      </w:r>
      <w:r w:rsidRPr="00EC2CE7" w:rsidR="00EC2CE7">
        <w:rPr>
          <w:sz w:val="24"/>
          <w:lang w:val="hr-HR"/>
        </w:rPr>
        <w:t xml:space="preserve"> </w:t>
      </w:r>
      <w:r w:rsidRPr="00EC2CE7" w:rsidR="00EC2CE7">
        <w:rPr>
          <w:sz w:val="24"/>
          <w:lang w:val="hr-HR"/>
        </w:rPr>
        <w:tab/>
      </w:r>
      <w:r w:rsidRPr="00EC2CE7">
        <w:rPr>
          <w:sz w:val="24"/>
          <w:lang w:val="hr-HR"/>
        </w:rPr>
        <w:t xml:space="preserve">SL C, C/2024/6748, 26.11.2024., ELI: </w:t>
      </w:r>
      <w:hyperlink r:id="rId2" w:history="1">
        <w:r w:rsidRPr="003F22B6">
          <w:rPr>
            <w:rStyle w:val="Hyperlink"/>
            <w:sz w:val="24"/>
            <w:lang w:val="hr-HR"/>
          </w:rPr>
          <w:t>http://data.europa.eu/eli/C/2024/6748/oj</w:t>
        </w:r>
      </w:hyperlink>
      <w:r w:rsidRPr="00EC2CE7">
        <w:rPr>
          <w:sz w:val="24"/>
          <w:lang w:val="hr-HR"/>
        </w:rPr>
        <w:t>.</w:t>
      </w:r>
    </w:p>
  </w:footnote>
  <w:footnote w:id="4">
    <w:p w:rsidR="00D738FA" w:rsidRPr="00EC2CE7" w:rsidP="00EC2CE7" w14:paraId="577BB17C" w14:textId="0AF39D2C">
      <w:pPr>
        <w:pStyle w:val="FootnoteText"/>
        <w:ind w:left="567" w:hanging="567"/>
        <w:rPr>
          <w:sz w:val="24"/>
          <w:lang w:val="hr-HR"/>
        </w:rPr>
      </w:pPr>
      <w:r w:rsidRPr="00EC2CE7">
        <w:rPr>
          <w:rStyle w:val="FootnoteReference"/>
          <w:sz w:val="24"/>
          <w:lang w:val="hr-HR"/>
        </w:rPr>
        <w:footnoteRef/>
      </w:r>
      <w:r w:rsidRPr="00EC2CE7" w:rsidR="00EC2CE7">
        <w:rPr>
          <w:sz w:val="24"/>
          <w:lang w:val="hr-HR"/>
        </w:rPr>
        <w:t xml:space="preserve"> </w:t>
      </w:r>
      <w:r w:rsidRPr="00EC2CE7" w:rsidR="00EC2CE7">
        <w:rPr>
          <w:sz w:val="24"/>
          <w:lang w:val="hr-HR"/>
        </w:rPr>
        <w:tab/>
      </w:r>
      <w:r w:rsidRPr="00EC2CE7">
        <w:rPr>
          <w:sz w:val="24"/>
          <w:lang w:val="hr-HR"/>
        </w:rPr>
        <w:t xml:space="preserve">SL C, C/2024/4001, 17.7.2024., ELI: </w:t>
      </w:r>
      <w:hyperlink r:id="rId3" w:history="1">
        <w:r w:rsidRPr="003F22B6">
          <w:rPr>
            <w:rStyle w:val="Hyperlink"/>
            <w:sz w:val="24"/>
            <w:lang w:val="hr-HR"/>
          </w:rPr>
          <w:t>http://data.europa.eu/eli/C/2024/4001/oj</w:t>
        </w:r>
      </w:hyperlink>
      <w:r w:rsidRPr="00EC2CE7">
        <w:rPr>
          <w:sz w:val="24"/>
          <w:lang w:val="hr-HR"/>
        </w:rPr>
        <w:t>.</w:t>
      </w:r>
    </w:p>
  </w:footnote>
  <w:footnote w:id="5">
    <w:p w:rsidR="00D738FA" w:rsidRPr="00EC2CE7" w:rsidP="00EC2CE7" w14:paraId="3F54C9AC" w14:textId="7536A0F1">
      <w:pPr>
        <w:pStyle w:val="FootnoteText"/>
        <w:ind w:left="567" w:hanging="567"/>
        <w:rPr>
          <w:sz w:val="24"/>
          <w:lang w:val="hr-HR"/>
        </w:rPr>
      </w:pPr>
      <w:r w:rsidRPr="00EC2CE7">
        <w:rPr>
          <w:rStyle w:val="FootnoteReference"/>
          <w:sz w:val="24"/>
          <w:lang w:val="hr-HR"/>
        </w:rPr>
        <w:footnoteRef/>
      </w:r>
      <w:r w:rsidRPr="00EC2CE7" w:rsidR="00EC2CE7">
        <w:rPr>
          <w:sz w:val="24"/>
          <w:lang w:val="hr-HR"/>
        </w:rPr>
        <w:t xml:space="preserve"> </w:t>
      </w:r>
      <w:r w:rsidRPr="00EC2CE7" w:rsidR="00EC2CE7">
        <w:rPr>
          <w:sz w:val="24"/>
          <w:lang w:val="hr-HR"/>
        </w:rPr>
        <w:tab/>
      </w:r>
      <w:r w:rsidRPr="00EC2CE7">
        <w:rPr>
          <w:sz w:val="24"/>
          <w:lang w:val="hr-HR"/>
        </w:rPr>
        <w:t>SL L 337</w:t>
      </w:r>
      <w:r w:rsidR="00CF4359">
        <w:rPr>
          <w:sz w:val="24"/>
          <w:lang w:val="hr-HR"/>
        </w:rPr>
        <w:t xml:space="preserve"> </w:t>
      </w:r>
      <w:r w:rsidRPr="00EC2CE7">
        <w:rPr>
          <w:sz w:val="24"/>
          <w:lang w:val="hr-HR"/>
        </w:rPr>
        <w:t xml:space="preserve">I, 13.12.2016., str. 3., ELI: </w:t>
      </w:r>
      <w:hyperlink r:id="rId4" w:history="1">
        <w:r w:rsidRPr="003F22B6">
          <w:rPr>
            <w:rStyle w:val="Hyperlink"/>
            <w:sz w:val="24"/>
            <w:lang w:val="hr-HR"/>
          </w:rPr>
          <w:t>http://data.europa.eu/eli/agree_internation/2016/2232/oj</w:t>
        </w:r>
      </w:hyperlink>
      <w:r w:rsidRPr="00EC2CE7">
        <w:rPr>
          <w:sz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6028758">
    <w:abstractNumId w:val="9"/>
  </w:num>
  <w:num w:numId="2" w16cid:durableId="177164892">
    <w:abstractNumId w:val="9"/>
  </w:num>
  <w:num w:numId="3" w16cid:durableId="2028171951">
    <w:abstractNumId w:val="7"/>
  </w:num>
  <w:num w:numId="4" w16cid:durableId="1263101098">
    <w:abstractNumId w:val="7"/>
  </w:num>
  <w:num w:numId="5" w16cid:durableId="1177118125">
    <w:abstractNumId w:val="6"/>
  </w:num>
  <w:num w:numId="6" w16cid:durableId="632642196">
    <w:abstractNumId w:val="6"/>
  </w:num>
  <w:num w:numId="7" w16cid:durableId="293171134">
    <w:abstractNumId w:val="5"/>
  </w:num>
  <w:num w:numId="8" w16cid:durableId="948241278">
    <w:abstractNumId w:val="5"/>
  </w:num>
  <w:num w:numId="9" w16cid:durableId="494416743">
    <w:abstractNumId w:val="4"/>
  </w:num>
  <w:num w:numId="10" w16cid:durableId="1979452787">
    <w:abstractNumId w:val="4"/>
  </w:num>
  <w:num w:numId="11" w16cid:durableId="1550264626">
    <w:abstractNumId w:val="8"/>
  </w:num>
  <w:num w:numId="12" w16cid:durableId="1668560384">
    <w:abstractNumId w:val="8"/>
  </w:num>
  <w:num w:numId="13" w16cid:durableId="1457798352">
    <w:abstractNumId w:val="3"/>
  </w:num>
  <w:num w:numId="14" w16cid:durableId="619150844">
    <w:abstractNumId w:val="3"/>
  </w:num>
  <w:num w:numId="15" w16cid:durableId="765686447">
    <w:abstractNumId w:val="2"/>
  </w:num>
  <w:num w:numId="16" w16cid:durableId="1642610810">
    <w:abstractNumId w:val="2"/>
  </w:num>
  <w:num w:numId="17" w16cid:durableId="1921059905">
    <w:abstractNumId w:val="1"/>
  </w:num>
  <w:num w:numId="18" w16cid:durableId="891845884">
    <w:abstractNumId w:val="1"/>
  </w:num>
  <w:num w:numId="19" w16cid:durableId="1739281146">
    <w:abstractNumId w:val="0"/>
  </w:num>
  <w:num w:numId="20" w16cid:durableId="252126667">
    <w:abstractNumId w:val="0"/>
  </w:num>
  <w:num w:numId="21" w16cid:durableId="654799822">
    <w:abstractNumId w:val="9"/>
  </w:num>
  <w:num w:numId="22" w16cid:durableId="1360282924">
    <w:abstractNumId w:val="7"/>
  </w:num>
  <w:num w:numId="23" w16cid:durableId="1714306178">
    <w:abstractNumId w:val="6"/>
  </w:num>
  <w:num w:numId="24" w16cid:durableId="14037142">
    <w:abstractNumId w:val="5"/>
  </w:num>
  <w:num w:numId="25" w16cid:durableId="2008971544">
    <w:abstractNumId w:val="4"/>
  </w:num>
  <w:num w:numId="26" w16cid:durableId="1228493266">
    <w:abstractNumId w:val="8"/>
  </w:num>
  <w:num w:numId="27" w16cid:durableId="275020068">
    <w:abstractNumId w:val="3"/>
  </w:num>
  <w:num w:numId="28" w16cid:durableId="1657220677">
    <w:abstractNumId w:val="2"/>
  </w:num>
  <w:num w:numId="29" w16cid:durableId="1270356562">
    <w:abstractNumId w:val="1"/>
  </w:num>
  <w:num w:numId="30" w16cid:durableId="1959096360">
    <w:abstractNumId w:val="0"/>
  </w:num>
  <w:num w:numId="31" w16cid:durableId="171527340">
    <w:abstractNumId w:val="9"/>
  </w:num>
  <w:num w:numId="32" w16cid:durableId="660037167">
    <w:abstractNumId w:val="7"/>
  </w:num>
  <w:num w:numId="33" w16cid:durableId="637762896">
    <w:abstractNumId w:val="6"/>
  </w:num>
  <w:num w:numId="34" w16cid:durableId="1719888300">
    <w:abstractNumId w:val="5"/>
  </w:num>
  <w:num w:numId="35" w16cid:durableId="595554039">
    <w:abstractNumId w:val="4"/>
  </w:num>
  <w:num w:numId="36" w16cid:durableId="1111318058">
    <w:abstractNumId w:val="8"/>
  </w:num>
  <w:num w:numId="37" w16cid:durableId="1079248197">
    <w:abstractNumId w:val="3"/>
  </w:num>
  <w:num w:numId="38" w16cid:durableId="1063409434">
    <w:abstractNumId w:val="2"/>
  </w:num>
  <w:num w:numId="39" w16cid:durableId="215818592">
    <w:abstractNumId w:val="1"/>
  </w:num>
  <w:num w:numId="40" w16cid:durableId="345208214">
    <w:abstractNumId w:val="0"/>
  </w:num>
  <w:num w:numId="41" w16cid:durableId="322199578">
    <w:abstractNumId w:val="10"/>
  </w:num>
  <w:num w:numId="42" w16cid:durableId="1982030332">
    <w:abstractNumId w:val="10"/>
  </w:num>
  <w:num w:numId="43" w16cid:durableId="677849578">
    <w:abstractNumId w:val="10"/>
  </w:num>
  <w:num w:numId="44" w16cid:durableId="1765374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864"/>
    <w:rsid w:val="00343214"/>
    <w:rsid w:val="00361C00"/>
    <w:rsid w:val="00395FA1"/>
    <w:rsid w:val="003E15D4"/>
    <w:rsid w:val="003F22B6"/>
    <w:rsid w:val="00411CCE"/>
    <w:rsid w:val="0041666E"/>
    <w:rsid w:val="00421060"/>
    <w:rsid w:val="00471C19"/>
    <w:rsid w:val="004867E3"/>
    <w:rsid w:val="00494A28"/>
    <w:rsid w:val="004C0004"/>
    <w:rsid w:val="004C5D52"/>
    <w:rsid w:val="004D49BE"/>
    <w:rsid w:val="0050519A"/>
    <w:rsid w:val="005072A1"/>
    <w:rsid w:val="00514517"/>
    <w:rsid w:val="00524E2E"/>
    <w:rsid w:val="00545827"/>
    <w:rsid w:val="00560270"/>
    <w:rsid w:val="00564BA3"/>
    <w:rsid w:val="005C2568"/>
    <w:rsid w:val="005F1B17"/>
    <w:rsid w:val="006037C0"/>
    <w:rsid w:val="006631B6"/>
    <w:rsid w:val="00680577"/>
    <w:rsid w:val="006F74FA"/>
    <w:rsid w:val="00731ADD"/>
    <w:rsid w:val="00734777"/>
    <w:rsid w:val="0073774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FAC"/>
    <w:rsid w:val="00C61C0C"/>
    <w:rsid w:val="00C941CB"/>
    <w:rsid w:val="00CC2357"/>
    <w:rsid w:val="00CF071A"/>
    <w:rsid w:val="00CF4359"/>
    <w:rsid w:val="00D058B8"/>
    <w:rsid w:val="00D56C11"/>
    <w:rsid w:val="00D738FA"/>
    <w:rsid w:val="00D834A0"/>
    <w:rsid w:val="00D872DF"/>
    <w:rsid w:val="00D91E21"/>
    <w:rsid w:val="00DA7FCD"/>
    <w:rsid w:val="00E365E1"/>
    <w:rsid w:val="00E820A4"/>
    <w:rsid w:val="00EB006A"/>
    <w:rsid w:val="00EB4772"/>
    <w:rsid w:val="00EC2CE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85/2026"/>
    <w:docVar w:name="dvlangue" w:val="HR"/>
    <w:docVar w:name="dvnumam" w:val="0"/>
    <w:docVar w:name="dvpe" w:val="783.341"/>
    <w:docVar w:name="dvtitre" w:val="Rezolucija Europskog parlamenta od .... 2026. o političkoj represiji i humanitarnoj situaciji na Kubi(2026/273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C417F6"/>
  <w15:chartTrackingRefBased/>
  <w15:docId w15:val="{ABC0EFBB-0D97-4F70-8321-CCC79042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styleId="Hyperlink">
    <w:name w:val="Hyperlink"/>
    <w:basedOn w:val="DefaultParagraphFont"/>
    <w:rsid w:val="003F22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22B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3774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7213/oj" TargetMode="External" /><Relationship Id="rId2" Type="http://schemas.openxmlformats.org/officeDocument/2006/relationships/hyperlink" Target="http://data.europa.eu/eli/C/2024/6748/oj" TargetMode="External" /><Relationship Id="rId3" Type="http://schemas.openxmlformats.org/officeDocument/2006/relationships/hyperlink" Target="http://data.europa.eu/eli/C/2024/4001/oj" TargetMode="External" /><Relationship Id="rId4" Type="http://schemas.openxmlformats.org/officeDocument/2006/relationships/hyperlink" Target="http://data.europa.eu/eli/agree_internation/2016/223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2612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2026-07-14T09:32:00Z</dcterms:created>
  <dcterms:modified xsi:type="dcterms:W3CDTF">2026-07-14T09:32:00Z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B10-0285/2026</vt:lpwstr>
  </property>
  <property fmtid="{D5CDD505-2E9C-101B-9397-08002B2CF9AE}" pid="4" name="&lt;Type&gt;">
    <vt:lpwstr>RR</vt:lpwstr>
  </property>
</Properties>
</file>